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580" w:hanging="3812"/>
        <w:spacing w:after="0" w:line="391" w:lineRule="auto"/>
        <w:tabs>
          <w:tab w:leader="none" w:pos="51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8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951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color w:val="222222"/>
        </w:rPr>
        <w:t>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TREVI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300"/>
              <w:spacing w:after="0"/>
              <w:rPr>
                <w:sz w:val="20"/>
                <w:szCs w:val="20"/>
                <w:color w:val="auto"/>
              </w:rPr>
            </w:pPr>
            <w:r>
              <w:rPr>
                <w:rFonts w:ascii="Arial" w:cs="Arial" w:eastAsia="Arial" w:hAnsi="Arial"/>
                <w:sz w:val="18"/>
                <w:szCs w:val="18"/>
                <w:b w:val="1"/>
                <w:bCs w:val="1"/>
                <w:color w:val="auto"/>
              </w:rPr>
              <w:t>45-0834299</w:t>
            </w: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1058"/>
              <w:spacing w:after="0" w:line="149" w:lineRule="exact"/>
              <w:rPr>
                <w:sz w:val="20"/>
                <w:szCs w:val="20"/>
                <w:color w:val="auto"/>
              </w:rPr>
            </w:pPr>
            <w:r>
              <w:rPr>
                <w:rFonts w:ascii="Arial" w:cs="Arial" w:eastAsia="Arial" w:hAnsi="Arial"/>
                <w:sz w:val="14"/>
                <w:szCs w:val="14"/>
                <w:b w:val="1"/>
                <w:bCs w:val="1"/>
                <w:color w:val="auto"/>
                <w:w w:val="93"/>
              </w:rPr>
              <w:t>( State or other jurisdiction of</w:t>
            </w: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80" w:type="dxa"/>
            <w:vAlign w:val="bottom"/>
          </w:tcPr>
          <w:p>
            <w:pPr>
              <w:jc w:val="center"/>
              <w:ind w:right="204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58"/>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91"/>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1"/>
              </w:rPr>
              <w:t>195 Church Street, 14</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500" w:type="dxa"/>
            <w:vAlign w:val="bottom"/>
            <w:gridSpan w:val="3"/>
          </w:tcPr>
          <w:p>
            <w:pPr>
              <w:jc w:val="center"/>
              <w:ind w:left="1038"/>
              <w:spacing w:after="0"/>
              <w:rPr>
                <w:sz w:val="20"/>
                <w:szCs w:val="20"/>
                <w:color w:val="auto"/>
              </w:rPr>
            </w:pPr>
            <w:r>
              <w:rPr>
                <w:rFonts w:ascii="Arial" w:cs="Arial" w:eastAsia="Arial" w:hAnsi="Arial"/>
                <w:sz w:val="18"/>
                <w:szCs w:val="18"/>
                <w:b w:val="1"/>
                <w:bCs w:val="1"/>
                <w:color w:val="auto"/>
                <w:w w:val="90"/>
              </w:rPr>
              <w:t>New Haven, Connecticut</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500"/>
              <w:spacing w:after="0"/>
              <w:rPr>
                <w:sz w:val="20"/>
                <w:szCs w:val="20"/>
                <w:color w:val="auto"/>
              </w:rPr>
            </w:pPr>
            <w:r>
              <w:rPr>
                <w:rFonts w:ascii="Arial" w:cs="Arial" w:eastAsia="Arial" w:hAnsi="Arial"/>
                <w:sz w:val="18"/>
                <w:szCs w:val="18"/>
                <w:b w:val="1"/>
                <w:bCs w:val="1"/>
                <w:color w:val="auto"/>
              </w:rPr>
              <w:t>06510</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04"/>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(203) 304-2499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60" w:type="dxa"/>
            <w:vAlign w:val="bottom"/>
            <w:gridSpan w:val="7"/>
          </w:tcPr>
          <w:p>
            <w:pPr>
              <w:jc w:val="center"/>
              <w:ind w:left="341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500" w:type="dxa"/>
            <w:vAlign w:val="bottom"/>
            <w:gridSpan w:val="3"/>
            <w:vMerge w:val="restart"/>
          </w:tcPr>
          <w:p>
            <w:pPr>
              <w:jc w:val="center"/>
              <w:ind w:right="52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450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5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89"/>
              </w:rPr>
              <w:t>Title of each class</w:t>
            </w:r>
          </w:p>
        </w:tc>
        <w:tc>
          <w:tcPr>
            <w:tcW w:w="326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3"/>
              </w:rPr>
              <w:t>Trading</w:t>
            </w:r>
          </w:p>
        </w:tc>
        <w:tc>
          <w:tcPr>
            <w:tcW w:w="3480" w:type="dxa"/>
            <w:vAlign w:val="bottom"/>
            <w:vMerge w:val="restart"/>
          </w:tcPr>
          <w:p>
            <w:pPr>
              <w:jc w:val="center"/>
              <w:ind w:right="36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gridSpan w:val="3"/>
            <w:vMerge w:val="continue"/>
          </w:tcPr>
          <w:p>
            <w:pPr>
              <w:spacing w:after="0"/>
              <w:rPr>
                <w:sz w:val="14"/>
                <w:szCs w:val="14"/>
                <w:color w:val="auto"/>
              </w:rPr>
            </w:pPr>
          </w:p>
        </w:tc>
        <w:tc>
          <w:tcPr>
            <w:tcW w:w="326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1"/>
              </w:rPr>
              <w:t>Symbol(s)</w:t>
            </w:r>
          </w:p>
        </w:tc>
        <w:tc>
          <w:tcPr>
            <w:tcW w:w="3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rPr>
              <w:t>TRVI</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tcPr>
          <w:p>
            <w:pPr>
              <w:jc w:val="center"/>
              <w:ind w:right="360"/>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80"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4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4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16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12, 2021, the registrant had 19,927,348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540385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“estimate,” “expect,” “intend,” “may,” “might,” “plan,” “potential,” “predict,” “project,” “should,” “target,” “would,” “could,” “continue” and similar expressions are intended to identify forward-looking statements, although not all forward-looking statements contain these identifying words.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clinical trials, business and operations and our response to the pandemic;</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clinical trials, including our Phase 2b/3 PRISM trial of Haduvio (nalbuphine ER) for the treatment of pruritus associated with prurigo nodularis;</w:t>
      </w:r>
    </w:p>
    <w:p>
      <w:pPr>
        <w:spacing w:after="0" w:line="62"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Haduvio for the treatment of pruritus associated with prurigo nodularis or for other serious neurologically mediated conditions;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for the initiation of clinical trials and the reporting of data from such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to obtain and maintain regulatory approvals for Haduvio;</w:t>
      </w:r>
    </w:p>
    <w:p>
      <w:pPr>
        <w:spacing w:after="0" w:line="144"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and cash equivalents and to continue as a going concern;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obtain additional funding.</w:t>
      </w:r>
    </w:p>
    <w:p>
      <w:pPr>
        <w:spacing w:after="0" w:line="25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p>
    <w:p>
      <w:pPr>
        <w:spacing w:after="0" w:line="187"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We own or have rights to trademarks, service marks and trade names that we use in connection with the operation of our business, including our corporate name, logos and website names. We own the trademarks Trevi®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 and ™ symbols, but we will assert, to the fullest extent under applicable law, our rights to our trademarks, service marks and trade names. We intend to propose Haduvio as the trade name for our nalbuphine ER investigational product and therefore plan to use that name when we refer to nalbuphine ER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 w:name="page3"/>
    <w:bookmarkEnd w:id="2"/>
    <w:p>
      <w:pPr>
        <w:jc w:val="center"/>
        <w:ind w:left="500"/>
        <w:spacing w:after="0"/>
        <w:rPr>
          <w:sz w:val="20"/>
          <w:szCs w:val="20"/>
          <w:color w:val="auto"/>
        </w:rPr>
      </w:pPr>
      <w:r>
        <w:rPr>
          <w:rFonts w:ascii="Arial" w:cs="Arial" w:eastAsia="Arial" w:hAnsi="Arial"/>
          <w:sz w:val="18"/>
          <w:szCs w:val="18"/>
          <w:b w:val="1"/>
          <w:bCs w:val="1"/>
          <w:color w:val="auto"/>
        </w:rPr>
        <w:t>RISK FACTOR SUMMARY</w:t>
      </w:r>
    </w:p>
    <w:p>
      <w:pPr>
        <w:spacing w:after="0" w:line="243"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the “Risk Factors” section of this Quarterly Report on Form 10-Q, and should be carefully considered, together with other information in this Quarterly Report on Form 10-Q and our other filings with the Securities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177" w:lineRule="exact"/>
        <w:rPr>
          <w:sz w:val="20"/>
          <w:szCs w:val="20"/>
          <w:color w:val="auto"/>
        </w:rPr>
      </w:pPr>
    </w:p>
    <w:p>
      <w:pPr>
        <w:ind w:left="740" w:right="160" w:hanging="368"/>
        <w:spacing w:after="0" w:line="25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related to health epidemics and other widespread outbreaks of contagious disease, including the novel coronavirus pandemic, or COVID-19, which has delayed our ability to complete our ongoing clinical trials, disrupted our business operations and may further delay our clinical trials, interrupt our supply chain, disrupt regulatory activities, or have other adverse effects on our business and operations. In addition, the COVID-19 pandemic has caused substantial disruption in the financial markets and economies worldwide, which could result in adverse effects on our business and operations.</w:t>
      </w:r>
    </w:p>
    <w:p>
      <w:pPr>
        <w:spacing w:after="0" w:line="187"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expect to incur significant and increasing losses for the foreseeable future, and may never achieve or maintain profitability.</w:t>
      </w:r>
    </w:p>
    <w:p>
      <w:pPr>
        <w:spacing w:after="0" w:line="170"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identified conditions and events that raise substantial doubt about our ability to continue as a going concern.</w:t>
      </w:r>
    </w:p>
    <w:p>
      <w:pPr>
        <w:spacing w:after="0" w:line="333" w:lineRule="exact"/>
        <w:rPr>
          <w:rFonts w:ascii="Arial" w:cs="Arial" w:eastAsia="Arial" w:hAnsi="Arial"/>
          <w:sz w:val="18"/>
          <w:szCs w:val="18"/>
          <w:color w:val="auto"/>
        </w:rPr>
      </w:pPr>
    </w:p>
    <w:p>
      <w:pPr>
        <w:ind w:left="740" w:right="60" w:hanging="368"/>
        <w:spacing w:after="0" w:line="28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6"/>
          <w:szCs w:val="16"/>
          <w:color w:val="auto"/>
        </w:rPr>
        <w:t>Our existing indebtedness, together with our other financial obligations and contractual commitments, could adversely affect our financial condition and restrict our future operations. For instance, if we fail to meet certain equity raise requirements under our loan facility with Silicon Valley Bank, or SVB, including raising $12.0 million by June 30, 2021, we will be required to deposit unrestricted and unencumbered cash equal to 100% of the principal amount of the indebtedness then outstanding in a cash collateral account controlled by SVB, which would reduce the amounts available to fund working capital, capital expenditures, product development efforts and other general corporate purposes.</w:t>
      </w:r>
    </w:p>
    <w:p>
      <w:pPr>
        <w:spacing w:after="0" w:line="168" w:lineRule="exact"/>
        <w:rPr>
          <w:rFonts w:ascii="Arial" w:cs="Arial" w:eastAsia="Arial" w:hAnsi="Arial"/>
          <w:sz w:val="18"/>
          <w:szCs w:val="18"/>
          <w:color w:val="auto"/>
        </w:rPr>
      </w:pPr>
    </w:p>
    <w:p>
      <w:pPr>
        <w:ind w:left="740" w:hanging="368"/>
        <w:spacing w:after="0" w:line="296"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 In addition, the development of Haduvio for the treatment of pruritus associated with prurigo nodularis is currently significantly more advanced than our other target indications. If we are not successful in developing and commercializing Haduvio for the treatment of pruritus associated with prurigo nodularis, our business could also be substantially harmed.</w:t>
      </w:r>
    </w:p>
    <w:p>
      <w:pPr>
        <w:spacing w:after="0" w:line="161" w:lineRule="exact"/>
        <w:rPr>
          <w:rFonts w:ascii="Arial" w:cs="Arial" w:eastAsia="Arial" w:hAnsi="Arial"/>
          <w:sz w:val="16"/>
          <w:szCs w:val="16"/>
          <w:color w:val="auto"/>
        </w:rPr>
      </w:pPr>
    </w:p>
    <w:p>
      <w:pPr>
        <w:ind w:left="740" w:hanging="368"/>
        <w:spacing w:after="0" w:line="25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delays and difficulties in the enrollment of patients in our clinical trials, including our Phase 2b/3 PRISM trial and our Phase 2 CANAL trial. If we experience further delays or difficulties in the enrollment of patients in clinical trials, our receipt of necessary regulatory approvals could be delayed or prevented. Other companies are conducting clinical trials or have announced plans for future clinical trials that are seeking, or are likely to seek, to enroll patients with prurigo nodularis, and patients are generally only able to enroll in a single trial at a time. In addition, many patients use various treatments off-label to treat pruritus associated with prurigo nodularis and these patients and their physicians may be reluctant to forgo, discontinue or otherwise alter their use of such off-label therapeutic approaches to participate in our clinical trials.</w:t>
      </w:r>
    </w:p>
    <w:p>
      <w:pPr>
        <w:spacing w:after="0" w:line="194"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approach to the development and commercialization of Haduvio to treat serious neurologically mediated conditions is unproven.</w:t>
      </w:r>
    </w:p>
    <w:p>
      <w:pPr>
        <w:spacing w:after="0" w:line="236" w:lineRule="exact"/>
        <w:rPr>
          <w:rFonts w:ascii="Arial" w:cs="Arial" w:eastAsia="Arial" w:hAnsi="Arial"/>
          <w:sz w:val="17"/>
          <w:szCs w:val="17"/>
          <w:color w:val="auto"/>
        </w:rPr>
      </w:pPr>
    </w:p>
    <w:p>
      <w:pPr>
        <w:ind w:left="740" w:right="22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Even if we complete the necessary preclinical studies and clinical trials, the regulatory approval process is expensive, time consuming and uncertain and may prevent us from obtaining approvals for the commercialization of Haduvio or any future product candidate.</w:t>
      </w:r>
    </w:p>
    <w:p>
      <w:pPr>
        <w:spacing w:after="0" w:line="183" w:lineRule="exact"/>
        <w:rPr>
          <w:rFonts w:ascii="Arial" w:cs="Arial" w:eastAsia="Arial" w:hAnsi="Arial"/>
          <w:sz w:val="18"/>
          <w:szCs w:val="18"/>
          <w:color w:val="auto"/>
        </w:rPr>
      </w:pPr>
    </w:p>
    <w:p>
      <w:pPr>
        <w:jc w:val="both"/>
        <w:ind w:left="740" w:right="30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Phase 2 clinical trial of Haduvio for the treatment of pruritus associated with prurigo nodularis may not be predictive of the results of our PRISM trial, including due to the small patient size of the Phase 2 clinical trial, the discontinuation rate among patients in the Phase 2 clinical trial, the limited number of patients who completed treatment in the Phase 2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740" w:right="120"/>
        <w:spacing w:after="0" w:line="277" w:lineRule="auto"/>
        <w:rPr>
          <w:sz w:val="20"/>
          <w:szCs w:val="20"/>
          <w:color w:val="auto"/>
        </w:rPr>
      </w:pPr>
      <w:r>
        <w:rPr>
          <w:rFonts w:ascii="Arial" w:cs="Arial" w:eastAsia="Arial" w:hAnsi="Arial"/>
          <w:sz w:val="18"/>
          <w:szCs w:val="18"/>
          <w:color w:val="auto"/>
        </w:rPr>
        <w:t>trial and differences in the design of the Phase 2 clinical trial and the PRISM trial, including the longer treatment period for Haduvio being used in the PRISM trial.</w:t>
      </w:r>
    </w:p>
    <w:p>
      <w:pPr>
        <w:spacing w:after="0" w:line="170" w:lineRule="exact"/>
        <w:rPr>
          <w:sz w:val="20"/>
          <w:szCs w:val="20"/>
          <w:color w:val="auto"/>
        </w:rPr>
      </w:pPr>
    </w:p>
    <w:p>
      <w:pPr>
        <w:ind w:left="740" w:hanging="368"/>
        <w:spacing w:after="0" w:line="293"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Adverse events or undesirable side effects caused by, or other unexpected properties of, Haduvio or any future project candidate may be identified during development and could delay or prevent the marketing approval or limit the use of Haduvio or any future product.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 The drug label for nalbuphine, the active ingredient in Haduvio, carries a warning for serious, life-threatening or fatal respiratory depression, and Haduvio, if approved for marketing in any indication, will likely carry a similar label.</w:t>
      </w:r>
    </w:p>
    <w:p>
      <w:pPr>
        <w:spacing w:after="0" w:line="164" w:lineRule="exact"/>
        <w:rPr>
          <w:rFonts w:ascii="Arial" w:cs="Arial" w:eastAsia="Arial" w:hAnsi="Arial"/>
          <w:sz w:val="16"/>
          <w:szCs w:val="16"/>
          <w:color w:val="auto"/>
        </w:rPr>
      </w:pPr>
    </w:p>
    <w:p>
      <w:pPr>
        <w:ind w:left="740" w:right="120" w:hanging="368"/>
        <w:spacing w:after="0" w:line="273"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Many currently approved μ-opioid products are subject to restrictive marketing and distribution regulations which, if applied to Haduvio, could potentially restrict its use and harm our ability to generate profits. We plan to conduct a human abuse liability, or HAL, study to further characterize the abuse potential of oral nalbuphine. If the results of the HAL study suggest that Haduvio may carry risks of misuse, abuse or addiction, or even if the trial indicates that Haduvio does not carry such risks, to the United States Food and Drug Administration, or FDA, may require us to implement a Risk Evaluation and Mitigation Strategy in connection with any commercialization of Haduvio and the U.S. Drug Enforcement Agency could determine that Haduvio should be classified as a controlled substance.</w:t>
      </w:r>
    </w:p>
    <w:p>
      <w:pPr>
        <w:spacing w:after="0" w:line="177" w:lineRule="exact"/>
        <w:rPr>
          <w:rFonts w:ascii="Arial" w:cs="Arial" w:eastAsia="Arial" w:hAnsi="Arial"/>
          <w:sz w:val="17"/>
          <w:szCs w:val="17"/>
          <w:color w:val="auto"/>
        </w:rPr>
      </w:pPr>
    </w:p>
    <w:p>
      <w:pPr>
        <w:ind w:left="740" w:right="120" w:hanging="368"/>
        <w:spacing w:after="0" w:line="308"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146" w:lineRule="exact"/>
        <w:rPr>
          <w:rFonts w:ascii="Arial" w:cs="Arial" w:eastAsia="Arial" w:hAnsi="Arial"/>
          <w:sz w:val="17"/>
          <w:szCs w:val="17"/>
          <w:color w:val="auto"/>
        </w:rPr>
      </w:pPr>
    </w:p>
    <w:p>
      <w:pPr>
        <w:ind w:left="740" w:hanging="36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substantial competition, which may result in others developing or commercializing products before or more successfully than we do.</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they do not perform satisfactorily, our business could be harmed.</w:t>
      </w:r>
    </w:p>
    <w:p>
      <w:pPr>
        <w:spacing w:after="0" w:line="225" w:lineRule="exact"/>
        <w:rPr>
          <w:rFonts w:ascii="Arial" w:cs="Arial" w:eastAsia="Arial" w:hAnsi="Arial"/>
          <w:sz w:val="18"/>
          <w:szCs w:val="18"/>
          <w:color w:val="auto"/>
        </w:rPr>
      </w:pPr>
    </w:p>
    <w:p>
      <w:pPr>
        <w:ind w:left="740" w:right="180" w:hanging="368"/>
        <w:spacing w:after="0" w:line="26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storage, packaging and distribution of Haduvio for clinical trials, including a single supplier for the active ingredient, and expect to continue to rely on third parties for these services in connection with our future development and commercialization efforts for Haduvio and any future product candidates.</w:t>
      </w:r>
    </w:p>
    <w:p>
      <w:pPr>
        <w:spacing w:after="0" w:line="183" w:lineRule="exact"/>
        <w:rPr>
          <w:rFonts w:ascii="Arial" w:cs="Arial" w:eastAsia="Arial" w:hAnsi="Arial"/>
          <w:sz w:val="18"/>
          <w:szCs w:val="18"/>
          <w:color w:val="auto"/>
        </w:rPr>
      </w:pPr>
    </w:p>
    <w:p>
      <w:pPr>
        <w:jc w:val="both"/>
        <w:ind w:left="740" w:right="20" w:hanging="368"/>
        <w:spacing w:after="0" w:line="26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under our existing and any future intellectual property licenses with third parties, including our licenses with Endo Pharmaceuticals Inc. and with Rutgers, the State University of New Jersey, we could lose license rights that are critical to our business or owe damages to the licensor of such intellectual property.</w:t>
      </w:r>
    </w:p>
    <w:p>
      <w:pPr>
        <w:spacing w:after="0" w:line="184"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60" w:type="dxa"/>
            <w:vAlign w:val="bottom"/>
            <w:gridSpan w:val="6"/>
          </w:tcPr>
          <w:p>
            <w:pPr>
              <w:ind w:left="3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6"/>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INFORMATION</w:t>
              </w:r>
            </w:hyperlink>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660" w:type="dxa"/>
            <w:vAlign w:val="bottom"/>
            <w:gridSpan w:val="16"/>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Financial Statements (Unaudited)</w:t>
              </w:r>
            </w:hyperlink>
          </w:p>
        </w:tc>
        <w:tc>
          <w:tcPr>
            <w:tcW w:w="7240" w:type="dxa"/>
            <w:vAlign w:val="bottom"/>
            <w:gridSpan w:val="9"/>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Operations</w:t>
              </w:r>
            </w:hyperlink>
          </w:p>
        </w:tc>
        <w:tc>
          <w:tcPr>
            <w:tcW w:w="600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6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Stockholders’ Equity</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tcBorders>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52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Unaudited Condensed Consolidated Financial Statements</w:t>
              </w:r>
            </w:hyperlink>
          </w:p>
        </w:tc>
        <w:tc>
          <w:tcPr>
            <w:tcW w:w="48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3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OTHER INFORMATION</w:t>
              </w:r>
            </w:hyperlink>
          </w:p>
        </w:tc>
        <w:tc>
          <w:tcPr>
            <w:tcW w:w="7780" w:type="dxa"/>
            <w:vAlign w:val="bottom"/>
            <w:gridSpan w:val="11"/>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18"/>
                <w:szCs w:val="18"/>
                <w:color w:val="auto"/>
              </w:rPr>
            </w:pPr>
          </w:p>
        </w:tc>
        <w:tc>
          <w:tcPr>
            <w:tcW w:w="834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Unregistered Sales of Equity Securities and Use of Proceeds</w:t>
              </w:r>
            </w:hyperlink>
          </w:p>
        </w:tc>
        <w:tc>
          <w:tcPr>
            <w:tcW w:w="53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60" w:type="dxa"/>
            <w:vAlign w:val="bottom"/>
            <w:gridSpan w:val="1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0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09"/>
        </w:trPr>
        <w:tc>
          <w:tcPr>
            <w:tcW w:w="67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Current assets: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1240" w:type="dxa"/>
            <w:vAlign w:val="bottom"/>
            <w:gridSpan w:val="2"/>
            <w:shd w:val="clear" w:color="auto" w:fill="CFF0FC"/>
          </w:tcPr>
          <w:p>
            <w:pPr>
              <w:jc w:val="right"/>
              <w:ind w:right="12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41,570</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45,001</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9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1,268</w:t>
            </w:r>
          </w:p>
        </w:tc>
        <w:tc>
          <w:tcPr>
            <w:tcW w:w="120" w:type="dxa"/>
            <w:vAlign w:val="bottom"/>
            <w:tcBorders>
              <w:bottom w:val="single" w:sz="8" w:color="CFF0FC"/>
            </w:tcBorders>
          </w:tcPr>
          <w:p>
            <w:pPr>
              <w:spacing w:after="0"/>
              <w:rPr>
                <w:sz w:val="18"/>
                <w:szCs w:val="18"/>
                <w:color w:val="auto"/>
              </w:rPr>
            </w:pPr>
          </w:p>
        </w:tc>
      </w:tr>
      <w:tr>
        <w:trPr>
          <w:trHeight w:val="209"/>
        </w:trPr>
        <w:tc>
          <w:tcPr>
            <w:tcW w:w="67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current assets</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42,159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46,269</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Deferred offering costs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right-of-use asset</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227</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Security deposits and other non-current assets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248</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Arial" w:cs="Arial" w:eastAsia="Arial" w:hAnsi="Arial"/>
                <w:sz w:val="17"/>
                <w:szCs w:val="17"/>
                <w:color w:val="auto"/>
              </w:rPr>
              <w:t>Property, equipment and leasehold improvements, net</w:t>
            </w:r>
          </w:p>
        </w:tc>
        <w:tc>
          <w:tcPr>
            <w:tcW w:w="9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FF0FC"/>
          </w:tcPr>
          <w:p>
            <w:pPr>
              <w:spacing w:after="0"/>
              <w:rPr>
                <w:sz w:val="18"/>
                <w:szCs w:val="18"/>
                <w:color w:val="auto"/>
              </w:rPr>
            </w:pPr>
          </w:p>
        </w:tc>
      </w:tr>
      <w:tr>
        <w:trPr>
          <w:trHeight w:val="249"/>
        </w:trPr>
        <w:tc>
          <w:tcPr>
            <w:tcW w:w="670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assets</w:t>
            </w:r>
          </w:p>
        </w:tc>
        <w:tc>
          <w:tcPr>
            <w:tcW w:w="9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42,864</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47,131</w:t>
            </w:r>
          </w:p>
        </w:tc>
        <w:tc>
          <w:tcPr>
            <w:tcW w:w="120" w:type="dxa"/>
            <w:vAlign w:val="bottom"/>
            <w:tcBorders>
              <w:bottom w:val="single" w:sz="8" w:color="CFF0FC"/>
            </w:tcBorders>
          </w:tcPr>
          <w:p>
            <w:pPr>
              <w:spacing w:after="0"/>
              <w:rPr>
                <w:sz w:val="21"/>
                <w:szCs w:val="21"/>
                <w:color w:val="auto"/>
              </w:rPr>
            </w:pPr>
          </w:p>
        </w:tc>
      </w:tr>
      <w:tr>
        <w:trPr>
          <w:trHeight w:val="197"/>
        </w:trPr>
        <w:tc>
          <w:tcPr>
            <w:tcW w:w="670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Liabilities and stockholders’ equity</w:t>
            </w: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Current liabilities: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payable</w:t>
            </w:r>
          </w:p>
        </w:tc>
        <w:tc>
          <w:tcPr>
            <w:tcW w:w="1240" w:type="dxa"/>
            <w:vAlign w:val="bottom"/>
            <w:gridSpan w:val="2"/>
            <w:shd w:val="clear" w:color="auto" w:fill="CFF0FC"/>
          </w:tcPr>
          <w:p>
            <w:pPr>
              <w:jc w:val="right"/>
              <w:ind w:right="12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801</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2,016</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7"/>
                <w:szCs w:val="17"/>
                <w:color w:val="auto"/>
              </w:rPr>
              <w:t>Accrued expenses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3,847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3,426</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Term loan - current portion</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670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Operating lease liability - current portion</w:t>
            </w:r>
          </w:p>
        </w:tc>
        <w:tc>
          <w:tcPr>
            <w:tcW w:w="9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Borders>
              <w:bottom w:val="single" w:sz="8" w:color="CFF0FC"/>
            </w:tcBorders>
          </w:tcPr>
          <w:p>
            <w:pPr>
              <w:spacing w:after="0"/>
              <w:rPr>
                <w:sz w:val="18"/>
                <w:szCs w:val="18"/>
                <w:color w:val="auto"/>
              </w:rPr>
            </w:pPr>
          </w:p>
        </w:tc>
      </w:tr>
      <w:tr>
        <w:trPr>
          <w:trHeight w:val="210"/>
        </w:trPr>
        <w:tc>
          <w:tcPr>
            <w:tcW w:w="67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current liabilities</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5,338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5,555</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Term loan - long term portion</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13,516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13,954</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Arial" w:cs="Arial" w:eastAsia="Arial" w:hAnsi="Arial"/>
                <w:sz w:val="17"/>
                <w:szCs w:val="17"/>
                <w:color w:val="auto"/>
              </w:rPr>
              <w:t>Term loan derivative liability</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Operating lease liability - long term portion</w:t>
            </w:r>
          </w:p>
        </w:tc>
        <w:tc>
          <w:tcPr>
            <w:tcW w:w="9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Borders>
              <w:bottom w:val="single" w:sz="8" w:color="CFF0FC"/>
            </w:tcBorders>
          </w:tcPr>
          <w:p>
            <w:pPr>
              <w:spacing w:after="0"/>
              <w:rPr>
                <w:sz w:val="18"/>
                <w:szCs w:val="18"/>
                <w:color w:val="auto"/>
              </w:rPr>
            </w:pPr>
          </w:p>
        </w:tc>
      </w:tr>
      <w:tr>
        <w:trPr>
          <w:trHeight w:val="210"/>
        </w:trPr>
        <w:tc>
          <w:tcPr>
            <w:tcW w:w="67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liabilities</w:t>
            </w:r>
          </w:p>
        </w:tc>
        <w:tc>
          <w:tcPr>
            <w:tcW w:w="9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19,179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19,849</w:t>
            </w:r>
          </w:p>
        </w:tc>
        <w:tc>
          <w:tcPr>
            <w:tcW w:w="120" w:type="dxa"/>
            <w:vAlign w:val="bottom"/>
            <w:shd w:val="clear" w:color="auto" w:fill="CFF0FC"/>
          </w:tcPr>
          <w:p>
            <w:pPr>
              <w:spacing w:after="0"/>
              <w:rPr>
                <w:sz w:val="18"/>
                <w:szCs w:val="18"/>
                <w:color w:val="auto"/>
              </w:rPr>
            </w:pPr>
          </w:p>
        </w:tc>
      </w:tr>
      <w:tr>
        <w:trPr>
          <w:trHeight w:val="208"/>
        </w:trPr>
        <w:tc>
          <w:tcPr>
            <w:tcW w:w="6700" w:type="dxa"/>
            <w:vAlign w:val="bottom"/>
          </w:tcPr>
          <w:p>
            <w:pPr>
              <w:spacing w:after="0"/>
              <w:rPr>
                <w:sz w:val="20"/>
                <w:szCs w:val="20"/>
                <w:color w:val="auto"/>
              </w:rPr>
            </w:pPr>
            <w:r>
              <w:rPr>
                <w:rFonts w:ascii="Arial" w:cs="Arial" w:eastAsia="Arial" w:hAnsi="Arial"/>
                <w:sz w:val="17"/>
                <w:szCs w:val="17"/>
                <w:color w:val="auto"/>
              </w:rPr>
              <w:t>Commitments and contingencies (Note 11)</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670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6700" w:type="dxa"/>
            <w:vAlign w:val="bottom"/>
          </w:tcPr>
          <w:p>
            <w:pPr>
              <w:spacing w:after="0"/>
              <w:rPr>
                <w:sz w:val="20"/>
                <w:szCs w:val="20"/>
                <w:color w:val="auto"/>
              </w:rPr>
            </w:pPr>
            <w:r>
              <w:rPr>
                <w:rFonts w:ascii="Arial" w:cs="Arial" w:eastAsia="Arial" w:hAnsi="Arial"/>
                <w:sz w:val="17"/>
                <w:szCs w:val="17"/>
                <w:color w:val="auto"/>
              </w:rPr>
              <w:t>Preferred stock: $0.001 par value; 5,000,000 shares authorized at March 31, 2021</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00" w:type="dxa"/>
            <w:vAlign w:val="bottom"/>
          </w:tcPr>
          <w:p>
            <w:pPr>
              <w:ind w:left="140"/>
              <w:spacing w:after="0"/>
              <w:rPr>
                <w:sz w:val="20"/>
                <w:szCs w:val="20"/>
                <w:color w:val="auto"/>
              </w:rPr>
            </w:pPr>
            <w:r>
              <w:rPr>
                <w:rFonts w:ascii="Arial" w:cs="Arial" w:eastAsia="Arial" w:hAnsi="Arial"/>
                <w:sz w:val="17"/>
                <w:szCs w:val="17"/>
                <w:color w:val="auto"/>
              </w:rPr>
              <w:t>and December 31, 2020; no shares issued or outstanding at March 31, 2021 or</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6700" w:type="dxa"/>
            <w:vAlign w:val="bottom"/>
          </w:tcPr>
          <w:p>
            <w:pPr>
              <w:ind w:left="140"/>
              <w:spacing w:after="0"/>
              <w:rPr>
                <w:sz w:val="20"/>
                <w:szCs w:val="20"/>
                <w:color w:val="auto"/>
              </w:rPr>
            </w:pPr>
            <w:r>
              <w:rPr>
                <w:rFonts w:ascii="Arial" w:cs="Arial" w:eastAsia="Arial" w:hAnsi="Arial"/>
                <w:sz w:val="17"/>
                <w:szCs w:val="17"/>
                <w:color w:val="auto"/>
              </w:rPr>
              <w:t>December 31, 2020.</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0"/>
        </w:trPr>
        <w:tc>
          <w:tcPr>
            <w:tcW w:w="6700" w:type="dxa"/>
            <w:vAlign w:val="bottom"/>
            <w:shd w:val="clear" w:color="auto" w:fill="CFF0FC"/>
          </w:tcPr>
          <w:p>
            <w:pPr>
              <w:spacing w:after="0"/>
              <w:rPr>
                <w:sz w:val="20"/>
                <w:szCs w:val="20"/>
                <w:color w:val="auto"/>
              </w:rPr>
            </w:pPr>
            <w:r>
              <w:rPr>
                <w:rFonts w:ascii="Arial" w:cs="Arial" w:eastAsia="Arial" w:hAnsi="Arial"/>
                <w:sz w:val="17"/>
                <w:szCs w:val="17"/>
                <w:color w:val="auto"/>
              </w:rPr>
              <w:t>Common stock: $0.001 par value; 200,000,000 shares authorized at March 31, 2021</w:t>
            </w: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7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and December 31, 2020; and 19,914,407 and 18,546,786 shares</w:t>
            </w: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67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issued and outstanding at March 31, 2021 and December 31, 2020, respectively.</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FF0FC"/>
          </w:tcPr>
          <w:p>
            <w:pPr>
              <w:spacing w:after="0"/>
              <w:rPr>
                <w:sz w:val="19"/>
                <w:szCs w:val="19"/>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7"/>
                <w:szCs w:val="17"/>
                <w:color w:val="auto"/>
              </w:rPr>
              <w:t>Additional paid-in capital</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179,013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174,240</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deficit</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(155,348)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(146,977)</w:t>
            </w:r>
          </w:p>
        </w:tc>
      </w:tr>
      <w:tr>
        <w:trPr>
          <w:trHeight w:val="210"/>
        </w:trPr>
        <w:tc>
          <w:tcPr>
            <w:tcW w:w="670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stockholders’ equity</w:t>
            </w:r>
          </w:p>
        </w:tc>
        <w:tc>
          <w:tcPr>
            <w:tcW w:w="96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23,685</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27,282</w:t>
            </w:r>
          </w:p>
        </w:tc>
        <w:tc>
          <w:tcPr>
            <w:tcW w:w="120" w:type="dxa"/>
            <w:vAlign w:val="bottom"/>
            <w:tcBorders>
              <w:bottom w:val="single" w:sz="8" w:color="CFF0FC"/>
            </w:tcBorders>
          </w:tcPr>
          <w:p>
            <w:pPr>
              <w:spacing w:after="0"/>
              <w:rPr>
                <w:sz w:val="18"/>
                <w:szCs w:val="18"/>
                <w:color w:val="auto"/>
              </w:rPr>
            </w:pPr>
          </w:p>
        </w:tc>
      </w:tr>
      <w:tr>
        <w:trPr>
          <w:trHeight w:val="210"/>
        </w:trPr>
        <w:tc>
          <w:tcPr>
            <w:tcW w:w="6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liabilities and stockholders’ equity</w:t>
            </w: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42,864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47,131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61"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Three Months Ended</w:t>
      </w:r>
    </w:p>
    <w:p>
      <w:pPr>
        <w:jc w:val="center"/>
        <w:ind w:left="75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600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5,589</w:t>
            </w:r>
          </w:p>
        </w:tc>
        <w:tc>
          <w:tcPr>
            <w:tcW w:w="28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6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Other (expense) income:</w:t>
            </w:r>
          </w:p>
        </w:tc>
        <w:tc>
          <w:tcPr>
            <w:tcW w:w="1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1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(294)</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 income, net</w:t>
            </w:r>
          </w:p>
        </w:tc>
        <w:tc>
          <w:tcPr>
            <w:tcW w:w="16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benefit</w:t>
            </w:r>
          </w:p>
        </w:tc>
        <w:tc>
          <w:tcPr>
            <w:tcW w:w="1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benefit</w:t>
            </w:r>
          </w:p>
        </w:tc>
        <w:tc>
          <w:tcPr>
            <w:tcW w:w="16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20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FF0FC"/>
            </w:tcBorders>
            <w:vMerge w:val="continue"/>
          </w:tcPr>
          <w:p>
            <w:pPr>
              <w:spacing w:after="0"/>
              <w:rPr>
                <w:sz w:val="21"/>
                <w:szCs w:val="21"/>
                <w:color w:val="auto"/>
              </w:rPr>
            </w:pPr>
          </w:p>
        </w:tc>
        <w:tc>
          <w:tcPr>
            <w:tcW w:w="168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common shares used in net loss per share</w:t>
            </w:r>
          </w:p>
        </w:tc>
        <w:tc>
          <w:tcPr>
            <w:tcW w:w="16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16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19,417,038</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17,834,570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214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Paid-</w:t>
            </w: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56"/>
        </w:trPr>
        <w:tc>
          <w:tcPr>
            <w:tcW w:w="48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Amount</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9"/>
              </w:rPr>
              <w:t>in Capital</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Deficit</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December 31, 2020</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18,546,786</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713"/>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174,240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(146,977)</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27,282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82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under the at-the-market sales</w:t>
            </w: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8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agreement, net of commissions and allocated fees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1,367,621</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4,055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20"/>
                <w:szCs w:val="20"/>
                <w:color w:val="auto"/>
              </w:rPr>
            </w:pPr>
            <w:r>
              <w:rPr>
                <w:rFonts w:ascii="Arial" w:cs="Arial" w:eastAsia="Arial" w:hAnsi="Arial"/>
                <w:sz w:val="13"/>
                <w:szCs w:val="13"/>
                <w:color w:val="auto"/>
              </w:rPr>
              <w:t>Net loss</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(8,371)</w:t>
            </w: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(8,371)</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at March 31, 2021</w:t>
            </w: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vMerge w:val="continue"/>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19,914,407</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713"/>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179,013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(155,348)</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23,685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December 31, 2019</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17,834,570</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13"/>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168,746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(114,219)</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54,545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(8,473)</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(8,473)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3"/>
                <w:szCs w:val="13"/>
                <w:b w:val="1"/>
                <w:bCs w:val="1"/>
                <w:color w:val="auto"/>
              </w:rPr>
              <w:t>Balance at March 31, 2020</w:t>
            </w: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vMerge w:val="continue"/>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17,834,570</w:t>
            </w:r>
          </w:p>
        </w:tc>
        <w:tc>
          <w:tcPr>
            <w:tcW w:w="220" w:type="dxa"/>
            <w:vAlign w:val="bottom"/>
          </w:tcPr>
          <w:p>
            <w:pPr>
              <w:spacing w:after="0"/>
              <w:rPr>
                <w:sz w:val="13"/>
                <w:szCs w:val="13"/>
                <w:color w:val="auto"/>
              </w:rPr>
            </w:pPr>
          </w:p>
        </w:tc>
        <w:tc>
          <w:tcPr>
            <w:tcW w:w="860" w:type="dxa"/>
            <w:vAlign w:val="bottom"/>
          </w:tcPr>
          <w:p>
            <w:pPr>
              <w:jc w:val="right"/>
              <w:ind w:right="713"/>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18</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169,476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(122,692)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46,802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1"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09"/>
        </w:trPr>
        <w:tc>
          <w:tcPr>
            <w:tcW w:w="77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activities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7"/>
                <w:szCs w:val="17"/>
                <w:color w:val="auto"/>
              </w:rPr>
              <w:t>Net loss</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(8,371)</w:t>
            </w:r>
          </w:p>
        </w:tc>
        <w:tc>
          <w:tcPr>
            <w:tcW w:w="480" w:type="dxa"/>
            <w:vAlign w:val="bottom"/>
            <w:gridSpan w:val="2"/>
          </w:tcPr>
          <w:p>
            <w:pPr>
              <w:jc w:val="right"/>
              <w:ind w:right="205"/>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(8,473)</w:t>
            </w: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60"/>
              <w:spacing w:after="0"/>
              <w:rPr>
                <w:sz w:val="20"/>
                <w:szCs w:val="20"/>
                <w:color w:val="auto"/>
              </w:rPr>
            </w:pPr>
            <w:r>
              <w:rPr>
                <w:rFonts w:ascii="Arial" w:cs="Arial" w:eastAsia="Arial" w:hAnsi="Arial"/>
                <w:sz w:val="17"/>
                <w:szCs w:val="17"/>
                <w:color w:val="auto"/>
              </w:rPr>
              <w:t>Depreciation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760" w:type="dxa"/>
            <w:vAlign w:val="bottom"/>
          </w:tcPr>
          <w:p>
            <w:pPr>
              <w:ind w:left="260"/>
              <w:spacing w:after="0"/>
              <w:rPr>
                <w:sz w:val="20"/>
                <w:szCs w:val="20"/>
                <w:color w:val="auto"/>
              </w:rPr>
            </w:pPr>
            <w:r>
              <w:rPr>
                <w:rFonts w:ascii="Arial" w:cs="Arial" w:eastAsia="Arial" w:hAnsi="Arial"/>
                <w:sz w:val="17"/>
                <w:szCs w:val="17"/>
                <w:color w:val="auto"/>
              </w:rPr>
              <w:t>Accretion/accrual of term loan discounts and debt issuance costs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Stock-based compensation</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9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(1,215)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594</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expenses and other</w:t>
            </w: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1,407</w:t>
            </w:r>
          </w:p>
        </w:tc>
        <w:tc>
          <w:tcPr>
            <w:tcW w:w="100" w:type="dxa"/>
            <w:vAlign w:val="bottom"/>
            <w:shd w:val="clear" w:color="auto" w:fill="CFF0FC"/>
          </w:tcPr>
          <w:p>
            <w:pPr>
              <w:spacing w:after="0"/>
              <w:rPr>
                <w:sz w:val="18"/>
                <w:szCs w:val="18"/>
                <w:color w:val="auto"/>
              </w:rPr>
            </w:pPr>
          </w:p>
        </w:tc>
      </w:tr>
      <w:tr>
        <w:trPr>
          <w:trHeight w:val="209"/>
        </w:trPr>
        <w:tc>
          <w:tcPr>
            <w:tcW w:w="7760" w:type="dxa"/>
            <w:vAlign w:val="bottom"/>
          </w:tcPr>
          <w:p>
            <w:pPr>
              <w:ind w:left="740"/>
              <w:spacing w:after="0"/>
              <w:rPr>
                <w:sz w:val="20"/>
                <w:szCs w:val="20"/>
                <w:color w:val="auto"/>
              </w:rPr>
            </w:pPr>
            <w:r>
              <w:rPr>
                <w:rFonts w:ascii="Arial" w:cs="Arial" w:eastAsia="Arial" w:hAnsi="Arial"/>
                <w:sz w:val="17"/>
                <w:szCs w:val="17"/>
                <w:color w:val="auto"/>
              </w:rPr>
              <w:t>Net cash used in operating activities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(7,578)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(4,673)</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Financing activities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7"/>
                <w:szCs w:val="17"/>
                <w:color w:val="auto"/>
              </w:rPr>
              <w:t>Proceeds from at-the-market sales, net of commissions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7"/>
                <w:szCs w:val="17"/>
                <w:color w:val="auto"/>
              </w:rPr>
              <w:t>Payments of offering costs</w:t>
            </w: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776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financing activities</w:t>
            </w:r>
          </w:p>
        </w:tc>
        <w:tc>
          <w:tcPr>
            <w:tcW w:w="9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4,147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7"/>
                <w:szCs w:val="17"/>
                <w:color w:val="auto"/>
              </w:rPr>
              <w:t>Net decrease in cash and cash equivalents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(4,673)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45,001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57,313</w:t>
            </w:r>
          </w:p>
        </w:tc>
        <w:tc>
          <w:tcPr>
            <w:tcW w:w="100" w:type="dxa"/>
            <w:vAlign w:val="bottom"/>
            <w:tcBorders>
              <w:bottom w:val="single" w:sz="8" w:color="CFF0FC"/>
            </w:tcBorders>
          </w:tcPr>
          <w:p>
            <w:pPr>
              <w:spacing w:after="0"/>
              <w:rPr>
                <w:sz w:val="18"/>
                <w:szCs w:val="18"/>
                <w:color w:val="auto"/>
              </w:rPr>
            </w:pPr>
          </w:p>
        </w:tc>
      </w:tr>
      <w:tr>
        <w:trPr>
          <w:trHeight w:val="209"/>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980" w:type="dxa"/>
            <w:vAlign w:val="bottom"/>
            <w:tcBorders>
              <w:bottom w:val="single" w:sz="8" w:color="auto"/>
            </w:tcBorders>
            <w:shd w:val="clear" w:color="auto" w:fill="CFF0FC"/>
          </w:tcPr>
          <w:p>
            <w:pPr>
              <w:jc w:val="right"/>
              <w:ind w:right="82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9"/>
              </w:rPr>
              <w:t>41,570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52,640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5"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Trevi Therapeutics, Inc. (“Trevi” or the “Company”) is a clinical-stage biopharmaceutical company focused on the development and commercialization of the investigational therapy Haduvio (nalbuphine ER) to treat serious neurologically mediated conditions. The Company is currently developing Haduvio for the treatment of chronic pruritus associated with prurigo nodularis and chronic cough in patients with idiopathic pulmonary fibrosis (“IPF”). The Company is also developing Haduvio in levodopa-induced dyskinesia (“LID”) in patients with Parkinson’s disease.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w:t>
      </w:r>
    </w:p>
    <w:p>
      <w:pPr>
        <w:spacing w:after="0" w:line="56" w:lineRule="exact"/>
        <w:rPr>
          <w:sz w:val="20"/>
          <w:szCs w:val="20"/>
          <w:color w:val="auto"/>
        </w:rPr>
      </w:pPr>
    </w:p>
    <w:p>
      <w:pPr>
        <w:ind w:right="240" w:firstLine="510"/>
        <w:spacing w:after="0" w:line="275" w:lineRule="auto"/>
        <w:rPr>
          <w:sz w:val="20"/>
          <w:szCs w:val="20"/>
          <w:color w:val="auto"/>
        </w:rPr>
      </w:pPr>
      <w:r>
        <w:rPr>
          <w:rFonts w:ascii="Arial" w:cs="Arial" w:eastAsia="Arial" w:hAnsi="Arial"/>
          <w:sz w:val="17"/>
          <w:szCs w:val="17"/>
          <w:color w:val="auto"/>
        </w:rPr>
        <w:t>Haduvio is an oral extended release formulation of nalbuphine. Nalbuphine is a mixed κ-opioid receptor agonist and μ-opioid receptor antagonist that has been approved and marketed as an injectable for pain indications for more than 20 years in the United States and Europe. The κ- and μ-opioid receptors are known to be critical mediators of itch, cough and certain movement disorders. Nalbuphine’s mechanism of action also mitigates the risk of abuse associated with μ-opioid agonists because it antagonizes, or blocks, the μ-opioid receptor. Nalbuphine is currently the only opioid approved for marketing that is not classified as a controlled substance in the United States and most of Europe.</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 xml:space="preserve">In accordance with Accounting Standards Update (“ASU”) No. 2014-15, </w:t>
      </w:r>
      <w:r>
        <w:rPr>
          <w:rFonts w:ascii="Arial" w:cs="Arial" w:eastAsia="Arial" w:hAnsi="Arial"/>
          <w:sz w:val="16"/>
          <w:szCs w:val="16"/>
          <w:i w:val="1"/>
          <w:iCs w:val="1"/>
          <w:color w:val="auto"/>
        </w:rPr>
        <w:t>Disclosures of Uncertainties about an Entity’s Ability to Continue as a</w:t>
      </w:r>
      <w:r>
        <w:rPr>
          <w:rFonts w:ascii="Arial" w:cs="Arial" w:eastAsia="Arial" w:hAnsi="Arial"/>
          <w:sz w:val="16"/>
          <w:szCs w:val="16"/>
          <w:color w:val="auto"/>
        </w:rPr>
        <w:t xml:space="preserve"> </w:t>
      </w:r>
      <w:r>
        <w:rPr>
          <w:rFonts w:ascii="Arial" w:cs="Arial" w:eastAsia="Arial" w:hAnsi="Arial"/>
          <w:sz w:val="16"/>
          <w:szCs w:val="16"/>
          <w:i w:val="1"/>
          <w:iCs w:val="1"/>
          <w:color w:val="auto"/>
        </w:rPr>
        <w:t>Going Concern (Subtopic 205-40) (“ASU No. 2014-15”)</w:t>
      </w:r>
      <w:r>
        <w:rPr>
          <w:rFonts w:ascii="Arial" w:cs="Arial" w:eastAsia="Arial" w:hAnsi="Arial"/>
          <w:sz w:val="16"/>
          <w:szCs w:val="16"/>
          <w:color w:val="auto"/>
        </w:rPr>
        <w:t>, management must evaluate whether there are conditions or events, considered in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before the date that the financial statements are issued.</w:t>
      </w:r>
    </w:p>
    <w:p>
      <w:pPr>
        <w:spacing w:after="0" w:line="60"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The Company’s Condensed Consolidated Financial Statements have been prepared on a going concern basis, which contemplates the continuity of operations, realization of assets and the satisfaction of liabilities and commitments in the ordinary course of business. Since inception, the Company has financed its operations primarily through private placements of convertible preferred stock and convertible notes prior to its initial public offering, borrowings under its prior term loan facility, proceeds from its initial public offering and concurrent private placement completed in May 2019, sales of its common stock pursuant to the sales agreement with SVB Leerink LLC it entered into in June 2020 (the “ATM Sales Agreement”) (Note 7) and the term loan facility with Silicon Valley Bank that the Company entered into in August 2020. The Company has incurred recurring losses since inception, including net losses of $8.4 million for the three months ended March 31, 2021 and $32.8 million for the year ended December 31, 2020. As of March 31, 2021, the Company had cash and cash equivalents of $41.6 million. The Company has incurred losses and negative cash flows from operations and had an accumulated deficit of $155.3 million as of March 31, 2021. The Company expects to continue to generate losses for the foreseeable future.</w:t>
      </w:r>
    </w:p>
    <w:p>
      <w:pPr>
        <w:spacing w:after="0" w:line="58"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As of May 13, 2021, the date of issuance of these Condensed Consolidated Financial Statements, the Company expects that its cash and cash equivalents as of March 31, 2021, will not be sufficient to fund its current business plan including related operating expenses and capital expenditure requirements through at least 12 months from the date of issuance of these Condensed Consolidated Financial Statements. The Company plans to seek to address this condition by raising additional capital to finance its operations. The future viability of the Company is dependent on its ability to raise additional capital to finance its operations. Although the Company has been successful in raising capital in the past, there is no assurance that it will be successful in obtaining such additional financing. Therefore, it is not considered probable, as defined in ASU No. 2014-15, that the Company’s plans to raise additional capital will alleviate the substantial doubt regarding its ability to continue as a going concern.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0" w:name="page11"/>
    <w:bookmarkEnd w:id="10"/>
    <w:p>
      <w:pPr>
        <w:ind w:right="80" w:firstLine="510"/>
        <w:spacing w:after="0" w:line="293" w:lineRule="auto"/>
        <w:rPr>
          <w:sz w:val="20"/>
          <w:szCs w:val="20"/>
          <w:color w:val="auto"/>
        </w:rPr>
      </w:pPr>
      <w:r>
        <w:rPr>
          <w:rFonts w:ascii="Arial" w:cs="Arial" w:eastAsia="Arial" w:hAnsi="Arial"/>
          <w:sz w:val="16"/>
          <w:szCs w:val="16"/>
          <w:color w:val="auto"/>
        </w:rPr>
        <w:t>To execute its business plans, the Company will need substantial funding to support its continuing operations and pursue its growth strategy. Until such time as the Company can generate significant revenue from product sales, if ever, the Company expects to finance its operations through the sale of common stock in public offerings and/or private placements, debt financings or other capital sources, including collaborations with other companies or other strategic transactions. The Company may not be able to obtain financing when needed, on acceptable terms or at all. The terms of any financing may adversely affect the holdings or the rights of the Company’s stockholders. If the Company is unable to obtain funding, the Company could be forced to delay, reduce or abandon its product development programs or commercialization efforts, which could adversely affect its business prospects.</w:t>
      </w:r>
    </w:p>
    <w:p>
      <w:pPr>
        <w:spacing w:after="0" w:line="160" w:lineRule="exact"/>
        <w:rPr>
          <w:sz w:val="20"/>
          <w:szCs w:val="20"/>
          <w:color w:val="auto"/>
        </w:rPr>
      </w:pPr>
    </w:p>
    <w:p>
      <w:pPr>
        <w:ind w:left="520" w:right="7340" w:hanging="512"/>
        <w:spacing w:after="0" w:line="378" w:lineRule="auto"/>
        <w:tabs>
          <w:tab w:leader="none" w:pos="51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40" w:firstLine="510"/>
        <w:spacing w:after="0" w:line="254" w:lineRule="auto"/>
        <w:rPr>
          <w:sz w:val="20"/>
          <w:szCs w:val="20"/>
          <w:color w:val="auto"/>
        </w:rPr>
      </w:pPr>
      <w:r>
        <w:rPr>
          <w:rFonts w:ascii="Arial" w:cs="Arial" w:eastAsia="Arial" w:hAnsi="Arial"/>
          <w:sz w:val="18"/>
          <w:szCs w:val="18"/>
          <w:color w:val="auto"/>
        </w:rPr>
        <w:t>The accompanying unaudited interim Condensed Consolidated Financial Statements for the three months ended March 31, 2021 and 2020 included herein, have been prepared in accordance with accounting principles generally accepted in the United States of America (“GAAP”) for interim financial information and the rules and regulations of the Securities and Exchange Commission (“SEC”) for interim information. Certain prior year balances have been reclassified to conform to the current year presentation. Such reclassifications did not affect loss from operations or net loss.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2020 (the “Annual Report on Form 10-K”).</w:t>
      </w:r>
    </w:p>
    <w:p>
      <w:pPr>
        <w:spacing w:after="0" w:line="19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Trevi Therapeutics, Inc. and its wholly-owned subsidiary Trevi Therapeutics Limited. Intercompany balances and transactions have been eliminated.</w:t>
      </w:r>
    </w:p>
    <w:p>
      <w:pPr>
        <w:spacing w:after="0" w:line="6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All amounts presented are in thousands of dollars, except share and per share amounts, unless noted otherwise. The Company has evaluated events occurring subsequent to March 31, 2021 for potential recognition or disclosure in the Condensed Consolidated Financial Statements and concluded there were no subsequent events that required recognition or disclosure.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the valuation of stock-based awards and the valuation allowance of deferred tax assets resulting from net operating losses. In addition, management’s assessment of the Company’s ability to continue as a going concern involves the estimation of the amount and timing of future cash inflows and outflows. On an ongoing basis, management evaluates its estimates in light of changes in circumstances, facts and experience. Changes in estimates are recorded in the period in which they become known. Actual results could differ from those estimates. The inputs into the Company’s estimates also considered the economic implications of COVID-19 on the Company’s estimates.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accompanying interim Condensed Consolidated Balance Sheet as of March 31, 2021 and the Condensed Consolidated Statements of Operations, the Condensed Consolidated Statements of Stockholders’ Equity and the Condensed Consolidated Statements of Cash Flows for the three months ended March 31, 2021 and 2020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March 31, 2021 and the results of its operations and its cash flows for the three months ended March 31, 2021 and 2020. The results for the three months ended March 31, 2021 and 2020 are not necessarily indicative of results to be expected for the year ending December 31, 2021, or any other interim period, or any future year or period.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800" w:firstLine="510"/>
        <w:spacing w:after="0" w:line="277" w:lineRule="auto"/>
        <w:rPr>
          <w:sz w:val="20"/>
          <w:szCs w:val="20"/>
          <w:color w:val="auto"/>
        </w:rPr>
      </w:pPr>
      <w:r>
        <w:rPr>
          <w:rFonts w:ascii="Arial" w:cs="Arial" w:eastAsia="Arial" w:hAnsi="Arial"/>
          <w:sz w:val="18"/>
          <w:szCs w:val="18"/>
          <w:color w:val="auto"/>
        </w:rPr>
        <w:t>The Company classifies short-term, highly liquid investments with an original term of three months or less at the date of purchase as cash equivalents.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Company’s financial instruments have consisted of cash and cash equivalents, other current assets, accounts payable, accrued expenses, term loans and term loan derivative liability (Note 6).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The carrying amount of the term loan approximates its fair value due to its floating market-based interest rate. The term loan derivative liability is recorded at fair value, which is estimated utilizing a probability-weighted cash flow approach (Note 6).</w:t>
      </w:r>
    </w:p>
    <w:p>
      <w:pPr>
        <w:spacing w:after="0" w:line="84"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 xml:space="preserve">Current accounting guidance defines fair value, establishes a framework for measuring fair value in accordance with Accounting Standards Codification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440"/>
        <w:spacing w:after="0" w:line="263"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7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278"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The following table summarizes the financial assets and financial liabilities measured at fair value on a recurring basis and the basis for that measurement, by level within the fair value hierarchy (Note 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509"/>
              <w:spacing w:after="0"/>
              <w:rPr>
                <w:sz w:val="20"/>
                <w:szCs w:val="20"/>
                <w:color w:val="auto"/>
              </w:rPr>
            </w:pPr>
            <w:r>
              <w:rPr>
                <w:rFonts w:ascii="Arial" w:cs="Arial" w:eastAsia="Arial" w:hAnsi="Arial"/>
                <w:sz w:val="17"/>
                <w:szCs w:val="17"/>
                <w:b w:val="1"/>
                <w:bCs w:val="1"/>
                <w:color w:val="auto"/>
              </w:rPr>
              <w:t>Level 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ind w:left="240"/>
              <w:spacing w:after="0"/>
              <w:rPr>
                <w:sz w:val="20"/>
                <w:szCs w:val="20"/>
                <w:color w:val="auto"/>
              </w:rPr>
            </w:pPr>
            <w:r>
              <w:rPr>
                <w:rFonts w:ascii="Arial" w:cs="Arial" w:eastAsia="Arial" w:hAnsi="Arial"/>
                <w:sz w:val="17"/>
                <w:szCs w:val="17"/>
                <w:b w:val="1"/>
                <w:bCs w:val="1"/>
                <w:color w:val="auto"/>
              </w:rPr>
              <w:t>Level 2</w:t>
            </w:r>
          </w:p>
        </w:tc>
        <w:tc>
          <w:tcPr>
            <w:tcW w:w="320" w:type="dxa"/>
            <w:vAlign w:val="bottom"/>
          </w:tcPr>
          <w:p>
            <w:pPr>
              <w:spacing w:after="0"/>
              <w:rPr>
                <w:sz w:val="19"/>
                <w:szCs w:val="19"/>
                <w:color w:val="auto"/>
              </w:rPr>
            </w:pPr>
          </w:p>
        </w:tc>
        <w:tc>
          <w:tcPr>
            <w:tcW w:w="1480" w:type="dxa"/>
            <w:vAlign w:val="bottom"/>
            <w:gridSpan w:val="2"/>
          </w:tcPr>
          <w:p>
            <w:pPr>
              <w:ind w:left="240"/>
              <w:spacing w:after="0"/>
              <w:rPr>
                <w:sz w:val="20"/>
                <w:szCs w:val="20"/>
                <w:color w:val="auto"/>
              </w:rPr>
            </w:pPr>
            <w:r>
              <w:rPr>
                <w:rFonts w:ascii="Arial" w:cs="Arial" w:eastAsia="Arial" w:hAnsi="Arial"/>
                <w:sz w:val="17"/>
                <w:szCs w:val="17"/>
                <w:b w:val="1"/>
                <w:bCs w:val="1"/>
                <w:color w:val="auto"/>
              </w:rPr>
              <w:t>Level 3</w:t>
            </w:r>
          </w:p>
        </w:tc>
      </w:tr>
      <w:tr>
        <w:trPr>
          <w:trHeight w:val="211"/>
        </w:trPr>
        <w:tc>
          <w:tcPr>
            <w:tcW w:w="5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March 31, 2021</w:t>
            </w:r>
          </w:p>
        </w:tc>
        <w:tc>
          <w:tcPr>
            <w:tcW w:w="1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CFF0FC"/>
            </w:tcBorders>
          </w:tcPr>
          <w:p>
            <w:pPr>
              <w:spacing w:after="0"/>
              <w:rPr>
                <w:sz w:val="18"/>
                <w:szCs w:val="18"/>
                <w:color w:val="auto"/>
              </w:rPr>
            </w:pPr>
          </w:p>
        </w:tc>
        <w:tc>
          <w:tcPr>
            <w:tcW w:w="1340" w:type="dxa"/>
            <w:vAlign w:val="bottom"/>
            <w:tcBorders>
              <w:top w:val="single" w:sz="8" w:color="auto"/>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CFF0FC"/>
            </w:tcBorders>
          </w:tcPr>
          <w:p>
            <w:pPr>
              <w:spacing w:after="0"/>
              <w:rPr>
                <w:sz w:val="18"/>
                <w:szCs w:val="18"/>
                <w:color w:val="auto"/>
              </w:rPr>
            </w:pPr>
          </w:p>
        </w:tc>
        <w:tc>
          <w:tcPr>
            <w:tcW w:w="1340" w:type="dxa"/>
            <w:vAlign w:val="bottom"/>
            <w:tcBorders>
              <w:top w:val="single" w:sz="8" w:color="auto"/>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CFF0FC"/>
            </w:tcBorders>
          </w:tcPr>
          <w:p>
            <w:pPr>
              <w:spacing w:after="0"/>
              <w:rPr>
                <w:sz w:val="18"/>
                <w:szCs w:val="18"/>
                <w:color w:val="auto"/>
              </w:rPr>
            </w:pPr>
          </w:p>
        </w:tc>
        <w:tc>
          <w:tcPr>
            <w:tcW w:w="1360" w:type="dxa"/>
            <w:vAlign w:val="bottom"/>
            <w:tcBorders>
              <w:top w:val="single" w:sz="8" w:color="auto"/>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2"/>
        </w:trPr>
        <w:tc>
          <w:tcPr>
            <w:tcW w:w="53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Financial assets carried at fair value:</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7"/>
                <w:szCs w:val="17"/>
                <w:color w:val="auto"/>
              </w:rPr>
              <w:t xml:space="preserve">Money market funds </w:t>
            </w:r>
            <w:r>
              <w:rPr>
                <w:rFonts w:ascii="Arial" w:cs="Arial" w:eastAsia="Arial" w:hAnsi="Arial"/>
                <w:sz w:val="14"/>
                <w:szCs w:val="14"/>
                <w:color w:val="auto"/>
              </w:rPr>
              <w:t>(1)</w:t>
            </w: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40,772</w:t>
            </w: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5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7"/>
                <w:szCs w:val="17"/>
                <w:b w:val="1"/>
                <w:bCs w:val="1"/>
                <w:color w:val="auto"/>
              </w:rPr>
              <w:t>Financial liabilities carried at fair value: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Term loan derivative liability</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FF0FC"/>
          </w:tcPr>
          <w:p>
            <w:pPr>
              <w:ind w:left="1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w:t>
            </w:r>
          </w:p>
        </w:tc>
        <w:tc>
          <w:tcPr>
            <w:tcW w:w="120" w:type="dxa"/>
            <w:vAlign w:val="bottom"/>
            <w:shd w:val="clear" w:color="auto" w:fill="CFF0FC"/>
          </w:tcPr>
          <w:p>
            <w:pPr>
              <w:spacing w:after="0"/>
              <w:rPr>
                <w:sz w:val="18"/>
                <w:szCs w:val="18"/>
                <w:color w:val="auto"/>
              </w:rPr>
            </w:pPr>
          </w:p>
        </w:tc>
      </w:tr>
      <w:tr>
        <w:trPr>
          <w:trHeight w:val="430"/>
        </w:trPr>
        <w:tc>
          <w:tcPr>
            <w:tcW w:w="5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December 31, 2020</w:t>
            </w:r>
          </w:p>
        </w:tc>
        <w:tc>
          <w:tcPr>
            <w:tcW w:w="18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134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134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13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12"/>
        </w:trPr>
        <w:tc>
          <w:tcPr>
            <w:tcW w:w="53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Financial assets carried at fair value:</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
        </w:trPr>
        <w:tc>
          <w:tcPr>
            <w:tcW w:w="5340" w:type="dxa"/>
            <w:vAlign w:val="bottom"/>
          </w:tcPr>
          <w:p>
            <w:pPr>
              <w:spacing w:after="0" w:line="20" w:lineRule="exact"/>
              <w:rPr>
                <w:sz w:val="20"/>
                <w:szCs w:val="20"/>
                <w:color w:val="auto"/>
              </w:rPr>
            </w:pPr>
            <w:r>
              <w:rPr>
                <w:rFonts w:ascii="Arial" w:cs="Arial" w:eastAsia="Arial" w:hAnsi="Arial"/>
                <w:sz w:val="2"/>
                <w:szCs w:val="2"/>
                <w:color w:val="auto"/>
              </w:rPr>
              <w:t>Money market funds</w:t>
            </w:r>
          </w:p>
        </w:tc>
        <w:tc>
          <w:tcPr>
            <w:tcW w:w="500" w:type="dxa"/>
            <w:vAlign w:val="bottom"/>
            <w:gridSpan w:val="2"/>
          </w:tcPr>
          <w:p>
            <w:pPr>
              <w:jc w:val="right"/>
              <w:ind w:right="240"/>
              <w:spacing w:after="0" w:line="20" w:lineRule="exact"/>
              <w:rPr>
                <w:sz w:val="20"/>
                <w:szCs w:val="20"/>
                <w:color w:val="auto"/>
              </w:rPr>
            </w:pPr>
            <w:r>
              <w:rPr>
                <w:rFonts w:ascii="Arial" w:cs="Arial" w:eastAsia="Arial" w:hAnsi="Arial"/>
                <w:sz w:val="2"/>
                <w:szCs w:val="2"/>
                <w:color w:val="auto"/>
              </w:rPr>
              <w:t>$</w:t>
            </w:r>
          </w:p>
        </w:tc>
        <w:tc>
          <w:tcPr>
            <w:tcW w:w="1340" w:type="dxa"/>
            <w:vAlign w:val="bottom"/>
          </w:tcPr>
          <w:p>
            <w:pPr>
              <w:jc w:val="right"/>
              <w:spacing w:after="0" w:line="20" w:lineRule="exact"/>
              <w:rPr>
                <w:sz w:val="20"/>
                <w:szCs w:val="20"/>
                <w:color w:val="auto"/>
              </w:rPr>
            </w:pPr>
            <w:r>
              <w:rPr>
                <w:rFonts w:ascii="Arial" w:cs="Arial" w:eastAsia="Arial" w:hAnsi="Arial"/>
                <w:sz w:val="2"/>
                <w:szCs w:val="2"/>
                <w:color w:val="auto"/>
              </w:rPr>
              <w:t>44,095</w:t>
            </w:r>
          </w:p>
        </w:tc>
        <w:tc>
          <w:tcPr>
            <w:tcW w:w="620" w:type="dxa"/>
            <w:vAlign w:val="bottom"/>
            <w:gridSpan w:val="2"/>
          </w:tcPr>
          <w:p>
            <w:pPr>
              <w:jc w:val="right"/>
              <w:ind w:right="240"/>
              <w:spacing w:after="0" w:line="20" w:lineRule="exact"/>
              <w:rPr>
                <w:sz w:val="20"/>
                <w:szCs w:val="20"/>
                <w:color w:val="auto"/>
              </w:rPr>
            </w:pPr>
            <w:r>
              <w:rPr>
                <w:rFonts w:ascii="Arial" w:cs="Arial" w:eastAsia="Arial" w:hAnsi="Arial"/>
                <w:sz w:val="2"/>
                <w:szCs w:val="2"/>
                <w:color w:val="auto"/>
              </w:rPr>
              <w:t>$</w:t>
            </w:r>
          </w:p>
        </w:tc>
        <w:tc>
          <w:tcPr>
            <w:tcW w:w="1640" w:type="dxa"/>
            <w:vAlign w:val="bottom"/>
            <w:gridSpan w:val="2"/>
          </w:tcPr>
          <w:p>
            <w:pPr>
              <w:ind w:left="1160"/>
              <w:spacing w:after="0" w:line="20" w:lineRule="exact"/>
              <w:rPr>
                <w:sz w:val="20"/>
                <w:szCs w:val="20"/>
                <w:color w:val="auto"/>
              </w:rPr>
            </w:pPr>
            <w:r>
              <w:rPr>
                <w:rFonts w:ascii="Arial" w:cs="Arial" w:eastAsia="Arial" w:hAnsi="Arial"/>
                <w:sz w:val="2"/>
                <w:szCs w:val="2"/>
                <w:color w:val="auto"/>
              </w:rPr>
              <w:t>—</w:t>
            </w:r>
          </w:p>
        </w:tc>
        <w:tc>
          <w:tcPr>
            <w:tcW w:w="320" w:type="dxa"/>
            <w:vAlign w:val="bottom"/>
          </w:tcPr>
          <w:p>
            <w:pPr>
              <w:jc w:val="right"/>
              <w:ind w:right="181"/>
              <w:spacing w:after="0" w:line="20" w:lineRule="exact"/>
              <w:rPr>
                <w:sz w:val="20"/>
                <w:szCs w:val="20"/>
                <w:color w:val="auto"/>
              </w:rPr>
            </w:pPr>
            <w:r>
              <w:rPr>
                <w:rFonts w:ascii="Arial" w:cs="Arial" w:eastAsia="Arial" w:hAnsi="Arial"/>
                <w:sz w:val="2"/>
                <w:szCs w:val="2"/>
                <w:color w:val="auto"/>
              </w:rPr>
              <w:t>$</w:t>
            </w:r>
          </w:p>
        </w:tc>
        <w:tc>
          <w:tcPr>
            <w:tcW w:w="1480" w:type="dxa"/>
            <w:vAlign w:val="bottom"/>
            <w:gridSpan w:val="2"/>
          </w:tcPr>
          <w:p>
            <w:pPr>
              <w:jc w:val="right"/>
              <w:ind w:right="140"/>
              <w:spacing w:after="0" w:line="20" w:lineRule="exact"/>
              <w:rPr>
                <w:sz w:val="20"/>
                <w:szCs w:val="20"/>
                <w:color w:val="auto"/>
              </w:rPr>
            </w:pPr>
            <w:r>
              <w:rPr>
                <w:rFonts w:ascii="Arial" w:cs="Arial" w:eastAsia="Arial" w:hAnsi="Arial"/>
                <w:sz w:val="2"/>
                <w:szCs w:val="2"/>
                <w:color w:val="auto"/>
              </w:rPr>
              <w:t>—</w:t>
            </w:r>
          </w:p>
        </w:tc>
      </w:tr>
      <w:tr>
        <w:trPr>
          <w:trHeight w:val="190"/>
        </w:trPr>
        <w:tc>
          <w:tcPr>
            <w:tcW w:w="5340" w:type="dxa"/>
            <w:vAlign w:val="bottom"/>
          </w:tcPr>
          <w:p>
            <w:pPr>
              <w:ind w:left="1440"/>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5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7"/>
                <w:szCs w:val="17"/>
                <w:b w:val="1"/>
                <w:bCs w:val="1"/>
                <w:color w:val="auto"/>
              </w:rPr>
              <w:t>Financial liabilities carried at fair value: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Term loan derivative liability</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FF0FC"/>
          </w:tcPr>
          <w:p>
            <w:pPr>
              <w:ind w:left="1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w:t>
            </w:r>
          </w:p>
        </w:tc>
        <w:tc>
          <w:tcPr>
            <w:tcW w:w="120" w:type="dxa"/>
            <w:vAlign w:val="bottom"/>
            <w:shd w:val="clear" w:color="auto" w:fill="CFF0FC"/>
          </w:tcPr>
          <w:p>
            <w:pPr>
              <w:spacing w:after="0"/>
              <w:rPr>
                <w:sz w:val="18"/>
                <w:szCs w:val="18"/>
                <w:color w:val="auto"/>
              </w:rPr>
            </w:pPr>
          </w:p>
        </w:tc>
      </w:tr>
    </w:tbl>
    <w:p>
      <w:pPr>
        <w:spacing w:after="0" w:line="94"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Included in cash and cash equivalents on the Condensed Consolidated Balance Sheets.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represents a roll-forward of the fair value of Level 3 instruments (significant unobservable inputs):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140" w:type="dxa"/>
            <w:vAlign w:val="bottom"/>
          </w:tcPr>
          <w:p>
            <w:pPr>
              <w:jc w:val="right"/>
              <w:ind w:right="98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11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Ending balance</w:t>
            </w:r>
          </w:p>
        </w:tc>
        <w:tc>
          <w:tcPr>
            <w:tcW w:w="1140" w:type="dxa"/>
            <w:vAlign w:val="bottom"/>
            <w:tcBorders>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Equipment and Leasehold Improvements</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 xml:space="preserve">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addresses the financial accounting and reporting for impairment or disposal of long-lived assets. The Company reviews the recorded values of long-lived assets for impairment whenever events or changes in business circumstances indicate that the carrying amount of an asset or group of assets may not be fully recoverable.</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The Company, at times, contracts with vendors and consultants outside of the United States, resulting in liabilities denominated in foreign currency. The transactions are recorded in U.S. dollars on the transaction dates and any currency fluctuation through the payment date is recorded as currency gains or losses in the Condensed Consolidated Statements of Operations.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offering. Should the planned equity financing no longer be considered probable of being consummated, the deferred offering costs are expensed immediately as a charge to operating expenses. Deferred offering costs relating to the Company’s ATM Sales Agreement were $162 and $284 as of March 31, 2021 and December 31, 2020, respectively, excluding $279 and $105, respectively, which has been recorded as a reduction to stockholders’ equity in connection with sales under the agreement.</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All of the Company’s research and development expenses consist of expenses incurred in connection with the development of Haduvio. These expenses include certain payroll and personnel expenses, including stock-based compensation, consulting costs, contract manufacturing costs and fees paid to clinical research organizations (“CROs”) to conduct certain research and development activities on the Company’s behalf. The Company does not allocate its costs by each indication for which it is developing Haduvio, as a significant amount of the Company’s development activities broadly support all indications. In addition, several of the Company’s departments support the Company’s Haduvio drug candidate development program and the Company does not identify internal costs for each potential indication. The Company expenses both internal and external research and development expenses as they are incurred.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Company has entered into agreements with CROs, contract manufacturing organizations (“CMOs”) and other companies that provide services in connection with the Company’s research and development activities.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non-current deposits, as applicable, and are recognized as expenses as the goods are delivered or the related services are performed.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All patent-related costs in connection with filing and prosecuting patent applications are expensed to general and administrative expense as incurred, as recoverability of such expenditures is uncertain.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The Company accounts for stock-based compensation arrangements with employees and non-employees for consultancy services in accordance with ASC 718,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(“ASC 718”). ASC 718 requires the recognition of compensation expense, using a fair value based method, for costs related to all stock-based payments including stock options. The Company’s determination of the fair value of stock options on the date of grant utilizes the Black-Scholes option-pricing model for stock options with time-based and performance-based vesting, and is impacted by the price of its common stock as well as changes in assumptions regarding a number of complex and subjective variables. These variables include expected term that options will remain outstanding, expected common stock price volatility over the term of the option awards, risk-free interest rates and expected dividends.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right="20" w:firstLine="510"/>
        <w:spacing w:after="0" w:line="279" w:lineRule="auto"/>
        <w:rPr>
          <w:sz w:val="20"/>
          <w:szCs w:val="20"/>
          <w:color w:val="auto"/>
        </w:rPr>
      </w:pPr>
      <w:r>
        <w:rPr>
          <w:rFonts w:ascii="Arial" w:cs="Arial" w:eastAsia="Arial" w:hAnsi="Arial"/>
          <w:sz w:val="17"/>
          <w:szCs w:val="17"/>
          <w:color w:val="auto"/>
        </w:rPr>
        <w:t>The fair value is recognized over the period during which an optionee is required to provide services in exchange for the option award, known as the requisite service period (usually the vesting period) on a straight-line basis. For performance-based vesting, the fair value is also recognized on a straight-line basis over the requisite service period based on whether the performance conditions are probable. The Company reassesses the probability of achieving the performance conditions at each reporting date. Forfeitures are accounted for as they occur.</w:t>
      </w:r>
    </w:p>
    <w:p>
      <w:pPr>
        <w:spacing w:after="0" w:line="63"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Estimating the fair value of equity-settled awards as of the grant date using valuation models, such as the Black-Scholes option pricing model, is affected by assumptions regarding a number of complex variables. Changes in the assumptions can materially affect the fair value and ultimately how much stock-based compensation expense is recognized. These inputs are subjective and generally require analysis and judgment to develop.</w:t>
      </w:r>
    </w:p>
    <w:p>
      <w:pPr>
        <w:spacing w:after="0" w:line="57"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Expected Term—The expected term assumption represents the weighted average period that the stock-based awards are expected to be outstanding. The Company has elected to use the “simplified method” for estimating the expected term of the options, whereby the expected term equals the arithmetic average of the vesting term and the original contractual term of the option.</w:t>
      </w:r>
    </w:p>
    <w:p>
      <w:pPr>
        <w:spacing w:after="0" w:line="76"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spacing w:after="0" w:line="76"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Expected Dividend—The Black-Scholes valuation model calls for a single expected dividend yield as an input. The Company currently has no history or expectation of paying cash dividends on its common stock.</w:t>
      </w:r>
    </w:p>
    <w:p>
      <w:pPr>
        <w:spacing w:after="0" w:line="62"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Risk-Free Interest Rate—The risk-free interest rate is based on the yield available on U.S. Treasury zero-coupon issues similar in duration to the expected term of the equity-settled award.</w:t>
      </w:r>
    </w:p>
    <w:p>
      <w:pPr>
        <w:spacing w:after="0" w:line="62"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Prior to the Company’s IPO in May 2019, the estimated fair value of the common stock underlying the Company’s stock options was determined at each grant date by the Company’s board of directors, with input from management. All options to purchase shares of common stock were intended to be exercisable at a price per share not less than the per share fair value of the Company’s common stock underlying those options on the date of grant.</w:t>
      </w:r>
    </w:p>
    <w:p>
      <w:pPr>
        <w:spacing w:after="0" w:line="4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the absence of a public trading market for the Company’s common stock prior to the Company’s IPO in May 2019, on each grant date, the Company developed an estimate of the fair value of its common stock based on the information known to the Company on the date of grant, upon a review of any recent events and their potential impact on the estimated fair value per share of the common stock, and in part on input from an independent third-party valuation. As is provided for in Section 409A of the Internal Revenue Code of 1986, as amended (the “Code”), the Company generally relied on valuations for up to twelve months unless the Company had experienced a material event that would have affected the estimated fair value of its common stock.</w:t>
      </w:r>
    </w:p>
    <w:p>
      <w:pPr>
        <w:spacing w:after="0" w:line="84"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The valuations of the Company’s common stock performed prior to the Company’s IPO in May 2019, were determined in accordance with the guidelines outlined in the American Institute of Certified Public Accountants Practice Aid, Valuation of Privately-Held-Company Equity Securities Issued as Compensation (the “Practice Aid”). The methodology to determine the fair value of common stock included estimating the fair value of the enterprise using a market approach, which estimates the fair value of the Company by including an estimation of the value of the business based on guideline public companies under a number of different scenarios. The assumptions used to determine the estimated fair value of the Company’s common stock were based on numerous objective and subjective factors, combined with management judgment, including external market conditions affecting the pharmaceutical and biotechnology industry and trends within the industry; the Company’s stage of development; the rights, preferences and privileges of the Company’s convertible preferred stock relative to those of the Company’s common stock; the prices at which the Company sold shares of convertible preferred stock; the Company’s financial condition and operating results, including the Company’s levels of available capital resources; the progress of the Company’s research and development efforts, stage of development and business strategy; equity market conditions affecting comparable public companies; general U.S. market conditions; and the lack of marketability of the Company’s common stock.</w:t>
      </w:r>
    </w:p>
    <w:p>
      <w:pPr>
        <w:spacing w:after="0" w:line="64" w:lineRule="exact"/>
        <w:rPr>
          <w:sz w:val="20"/>
          <w:szCs w:val="20"/>
          <w:color w:val="auto"/>
        </w:rPr>
      </w:pPr>
    </w:p>
    <w:p>
      <w:pPr>
        <w:ind w:right="500" w:firstLine="510"/>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the Company considered the following methods:</w:t>
      </w:r>
    </w:p>
    <w:p>
      <w:pPr>
        <w:spacing w:after="0" w:line="2" w:lineRule="exact"/>
        <w:rPr>
          <w:sz w:val="20"/>
          <w:szCs w:val="20"/>
          <w:color w:val="auto"/>
        </w:rPr>
      </w:pPr>
    </w:p>
    <w:p>
      <w:pPr>
        <w:ind w:left="1260" w:right="40" w:hanging="375"/>
        <w:spacing w:after="0" w:line="291" w:lineRule="auto"/>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Option Pricing Method (“OPM”)—The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preferences at the time of a liquidity event, such as a strategic sale or merger.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left="1260" w:right="60"/>
        <w:spacing w:after="0" w:line="286" w:lineRule="auto"/>
        <w:rPr>
          <w:sz w:val="20"/>
          <w:szCs w:val="20"/>
          <w:color w:val="auto"/>
        </w:rPr>
      </w:pPr>
      <w:r>
        <w:rPr>
          <w:rFonts w:ascii="Arial" w:cs="Arial" w:eastAsia="Arial" w:hAnsi="Arial"/>
          <w:sz w:val="17"/>
          <w:szCs w:val="17"/>
          <w:color w:val="auto"/>
        </w:rPr>
        <w:t>immediately after the convertible preferred stock liquidation preference is paid. 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w:t>
      </w:r>
    </w:p>
    <w:p>
      <w:pPr>
        <w:spacing w:after="0" w:line="138" w:lineRule="exact"/>
        <w:rPr>
          <w:sz w:val="20"/>
          <w:szCs w:val="20"/>
          <w:color w:val="auto"/>
        </w:rPr>
      </w:pPr>
    </w:p>
    <w:p>
      <w:pPr>
        <w:ind w:left="1260" w:right="120" w:hanging="375"/>
        <w:spacing w:after="0" w:line="296" w:lineRule="auto"/>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Probability Weighted Expected Return Method (“PWERM”)—Under the PWERM methodology, the fair value of common stock is estimated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147" w:lineRule="exact"/>
        <w:rPr>
          <w:rFonts w:ascii="Arial" w:cs="Arial" w:eastAsia="Arial" w:hAnsi="Arial"/>
          <w:sz w:val="16"/>
          <w:szCs w:val="16"/>
          <w:color w:val="auto"/>
        </w:rPr>
      </w:pPr>
    </w:p>
    <w:p>
      <w:pPr>
        <w:ind w:left="1260" w:right="80" w:hanging="375"/>
        <w:spacing w:after="0" w:line="291" w:lineRule="auto"/>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Hybrid Method—The hybrid method is a PWERM where the equity value in one of the scenarios is calculated using an OPM. In the hybrid method used by the Company, it considered an IPO as the other potential future liquidity event. The equity value for the IPO scenario was determined using the guideline public company (“GPC”), method under the market approach. The relative probability of the IPO scenario was determined based on an analysis of market conditions at the time and expectations as to the timing and likely prospects of the IPO at each valuation date. In application of the GPC method, the Company considered publicly traded companies in the biopharmaceutical industry that had a similar profile to the Company’s as well as recently completed IPOs as indicators of estimated future value in an IPO. The Company then discounted that future value back to the valuation date at an appropriate discount rate.</w:t>
      </w:r>
    </w:p>
    <w:p>
      <w:pPr>
        <w:spacing w:after="0" w:line="15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determining the estimated fair value of the Company’s common stock prior to Company’s IPO in May 2019, the board of directors considered the fact that the Company’s stockholders could not freely trade the Company’s common stock in the public markets. Accordingly, the Company’s board of directors applied discounts to reflect the lack of marketability of common stock based on the weighted-average expected time to liquidity. The estimated fair value of the Company’s common stock at each grant date reflected a non-marketability discount partially based on the anticipated likelihood and timing of a future liquidity event.</w:t>
      </w:r>
    </w:p>
    <w:p>
      <w:pPr>
        <w:spacing w:after="0" w:line="80"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Subsequent to the completion of the Company’s IPO in May 2019, the fair value of the Company’s common stock has been determined based on the closing price of the Company’s common stock as reported on the date of grant on the primary stock exchange on which the Company’s common stock is traded.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spacing w:after="0" w:line="7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Company applies the provisions of ASC 740, Income Taxes (“ASC 740”),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Under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 operating right-of-use asset represents the Company’s right of use to an underlying asset for the term of the lease, and the operating liability represents the Company’s obligation to make lease payments arising from the lease.</w:t>
      </w:r>
    </w:p>
    <w:p>
      <w:pPr>
        <w:spacing w:after="0" w:line="8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which is updated periodically, based on information available at the commencement date of the lease to determine the present value of the lease payments.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Basic and diluted net loss per common share outstanding is determined by dividing net loss by the weighted average common shares outstanding during the period. For all periods presented, shares issuable upon exercise of stock options have been excluded from the calculation because their effects would be anti-dilutive. Therefore, the weighted average common shares used to calculate both basic and diluted net loss per share are the same for each of the periods presented.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On January 1, 2021, the Company adopted ASU No. 2019-12-</w:t>
      </w:r>
      <w:r>
        <w:rPr>
          <w:rFonts w:ascii="Arial" w:cs="Arial" w:eastAsia="Arial" w:hAnsi="Arial"/>
          <w:sz w:val="18"/>
          <w:szCs w:val="18"/>
          <w:i w:val="1"/>
          <w:iCs w:val="1"/>
          <w:color w:val="auto"/>
        </w:rPr>
        <w:t>Income Taxes (Topic 740)</w:t>
      </w:r>
      <w:r>
        <w:rPr>
          <w:rFonts w:ascii="Arial" w:cs="Arial" w:eastAsia="Arial" w:hAnsi="Arial"/>
          <w:sz w:val="18"/>
          <w:szCs w:val="18"/>
          <w:color w:val="auto"/>
        </w:rPr>
        <w:t>, which simplifies the accounting for income taxes. The adoption of the new guidance did not affect the Company’s Condensed Consolidated Financial Statements.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have been no new accounting pronouncements during the three months ended March 31, 2021, which could be expected to materially impact the Company’s unaudited Condensed Consolidated Financial Statements.</w:t>
      </w:r>
    </w:p>
    <w:p>
      <w:pPr>
        <w:spacing w:after="0" w:line="166"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160" w:type="dxa"/>
            <w:vAlign w:val="bottom"/>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Prepaid corporate insurance</w:t>
            </w:r>
          </w:p>
        </w:tc>
        <w:tc>
          <w:tcPr>
            <w:tcW w:w="1160" w:type="dxa"/>
            <w:vAlign w:val="bottom"/>
            <w:shd w:val="clear" w:color="auto" w:fill="CFF0FC"/>
          </w:tcPr>
          <w:p>
            <w:pPr>
              <w:jc w:val="right"/>
              <w:ind w:right="10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Prepaid R&amp;D payments</w:t>
            </w:r>
          </w:p>
        </w:tc>
        <w:tc>
          <w:tcPr>
            <w:tcW w:w="1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19"/>
                <w:szCs w:val="19"/>
                <w:color w:val="auto"/>
              </w:rPr>
            </w:pPr>
          </w:p>
        </w:tc>
        <w:tc>
          <w:tcPr>
            <w:tcW w:w="1160" w:type="dxa"/>
            <w:vAlign w:val="bottom"/>
            <w:tcBorders>
              <w:bottom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Effective March 1, 2013, the Company entered into a lease for office space in New Haven, CT and commencing March 1, 2018, the Company entered into the First Amendment to the lease. The leased space approximates 5,600 square feet and the lease has a term of 60 months. The lease requires monthly payments ranging from approximately $10 to $11 through February 1, 2023 and provides for two designated months of free rent.</w:t>
      </w:r>
    </w:p>
    <w:p>
      <w:pPr>
        <w:spacing w:after="0" w:line="41"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incremental borrowing rate used on existing leases as of March 31, 2021 was 13.0%. The right-of-use asset also includes any lease payments related to initial direct costs and prepayments, and excludes lease incentives. Lease expense is recognized on a straight-line basis over the lease term. The Company had no new leases during the three months ended March 31, 2021.</w:t>
      </w:r>
    </w:p>
    <w:p>
      <w:pPr>
        <w:spacing w:after="0" w:line="76"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The Company’s operating leases consist of real estate and equipment, and have remaining terms of approximately 2 years. The Company has no financing leases. The following table summarizes the Company’s operating leases as presented on its Condensed 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160" w:type="dxa"/>
            <w:vAlign w:val="bottom"/>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6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Assets:</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6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1160" w:type="dxa"/>
            <w:vAlign w:val="bottom"/>
          </w:tcPr>
          <w:p>
            <w:pPr>
              <w:jc w:val="right"/>
              <w:ind w:right="1007"/>
              <w:spacing w:after="0"/>
              <w:rPr>
                <w:sz w:val="20"/>
                <w:szCs w:val="20"/>
                <w:color w:val="auto"/>
              </w:rPr>
            </w:pPr>
            <w:r>
              <w:rPr>
                <w:rFonts w:ascii="Arial" w:cs="Arial" w:eastAsia="Arial" w:hAnsi="Arial"/>
                <w:sz w:val="15"/>
                <w:szCs w:val="15"/>
                <w:color w:val="auto"/>
                <w:w w:val="71"/>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23"/>
                <w:szCs w:val="23"/>
                <w:color w:val="auto"/>
              </w:rPr>
            </w:pP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Liabilities:</w:t>
            </w:r>
          </w:p>
        </w:tc>
        <w:tc>
          <w:tcPr>
            <w:tcW w:w="11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Operating lease liabilities, current portion</w:t>
            </w:r>
          </w:p>
        </w:tc>
        <w:tc>
          <w:tcPr>
            <w:tcW w:w="116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long term portion</w:t>
            </w:r>
          </w:p>
        </w:tc>
        <w:tc>
          <w:tcPr>
            <w:tcW w:w="11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operating lease liabilities</w:t>
            </w:r>
          </w:p>
        </w:tc>
        <w:tc>
          <w:tcPr>
            <w:tcW w:w="1160" w:type="dxa"/>
            <w:vAlign w:val="bottom"/>
            <w:tcBorders>
              <w:bottom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520"/>
              <w:spacing w:after="0"/>
              <w:rPr>
                <w:sz w:val="20"/>
                <w:szCs w:val="20"/>
                <w:color w:val="auto"/>
              </w:rPr>
            </w:pPr>
            <w:r>
              <w:rPr>
                <w:rFonts w:ascii="Arial" w:cs="Arial" w:eastAsia="Arial" w:hAnsi="Arial"/>
                <w:sz w:val="18"/>
                <w:szCs w:val="18"/>
                <w:color w:val="auto"/>
              </w:rPr>
              <w:t>Future minimum lease payments under the operating leases were as follows:</w:t>
            </w: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39"/>
        </w:trPr>
        <w:tc>
          <w:tcPr>
            <w:tcW w:w="7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60" w:type="dxa"/>
            <w:vAlign w:val="bottom"/>
            <w:tcBorders>
              <w:bottom w:val="single" w:sz="8" w:color="CFF0FC"/>
            </w:tcBorders>
          </w:tcPr>
          <w:p>
            <w:pPr>
              <w:spacing w:after="0"/>
              <w:rPr>
                <w:sz w:val="14"/>
                <w:szCs w:val="14"/>
                <w:color w:val="auto"/>
              </w:rPr>
            </w:pPr>
          </w:p>
        </w:tc>
        <w:tc>
          <w:tcPr>
            <w:tcW w:w="116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spacing w:after="0"/>
              <w:rPr>
                <w:sz w:val="19"/>
                <w:szCs w:val="19"/>
                <w:color w:val="auto"/>
              </w:rPr>
            </w:pPr>
          </w:p>
        </w:tc>
        <w:tc>
          <w:tcPr>
            <w:tcW w:w="18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2022</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lease payments</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Less: imputed discount rate</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Carrying value of operating lease liabilities</w:t>
            </w:r>
          </w:p>
        </w:tc>
        <w:tc>
          <w:tcPr>
            <w:tcW w:w="11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Lease expense under operating leases, including leases of office equipment, was $30 and $34 for the three months ended March 31, 2021 and 2020, respectively. Lease payments made in the three months ended March 31, 2021 and 2020 were $34 and $45, respectively, with such amounts reflected in the Condensed Consolidated Statements of Cash Flows in operating activities.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R&amp;D projects</w:t>
            </w: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2,606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Accrued consulting and professional fees</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benefits</w:t>
            </w: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3,847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Silicon Valley Bank Term Loan</w:t>
      </w:r>
    </w:p>
    <w:p>
      <w:pPr>
        <w:spacing w:after="0" w:line="225"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On August 13, 2020 (the “Effective Date”), the Company entered into a loan and security agreement (the “SVB Loan Agreement”) with Silicon Valley Bank, as lender (“SVB”), pursuant to which SVB provided a term loan to the Company in the original principal amount of $14.0 million (the “SVB Term Loan”). The Company may use the proceeds from the SVB Term Loan for working capital and general corporate purposes. The SVB Term Loan bears interest at a floating rate per annum equal to the greater of (A) the prime rate plus 1.00% and (B) 4.25%. If SVB receives evidence satisfactory to it that the Company has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will be adjusted to a floating rate equal to the greater of (A) the prime rate plus 3.00% and (B) 6.25% (see term loan derivative liability discussion below). On the first business day of each month, the Company will be required to make monthly interest payments and commencing on March 1, 2022, the Company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will be required to pay a final payment fee equal to $1.2 million. The SVB Term Loan and related obligations under the SVB Loan Agreement are secured by substantially all of the Company’s properties, rights and assets, except for its intellectual property (which is subject to a negative pledge under the SVB Loan Agreement). If the Company fails to meet certain equity raise requirements under the SVB Loan Agreement, including raising $12.0 million by June 30, 2021, the Company will be required to deposit unrestricted and unencumbered cash equal to 100% of the principal amount of the SVB Term Loan then outstanding in a cash collateral account with SVB, which can be used by SVB to prepay the SVB Term Loan at any time.</w:t>
      </w:r>
    </w:p>
    <w:p>
      <w:pPr>
        <w:spacing w:after="0" w:line="74"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w:t>
      </w:r>
    </w:p>
    <w:p>
      <w:pPr>
        <w:spacing w:after="0" w:line="68"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In August 2020, in connection with the SVB Term Loan, the Company paid $57 in financing costs to a third party, which were recorded as deferred charges—loan and will be amortized over the life of the SVB Term Loan using the effective interest method. Amortization of these deferred financing charges totaled $6 for the three months ended March 31, 2021 and is included in interest expense in the Company’s Condensed Consolidated Statements of Operations. Loan discount—unamortized deferred charges totaled $42 and $48 at March 31, 2021 and December 31, 2020, respectively, and is included as a direct reduction of the carrying value of the term loan payable on the Company’s Condensed Consolidated Balance Sheets.</w:t>
      </w:r>
    </w:p>
    <w:p>
      <w:pPr>
        <w:spacing w:after="0" w:line="53"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August 2020, in connection with the execution of the SVB Loan Agreement, the Company paid $27 in financing costs to SVB, which were recorded as loan discounts. These loan discounts are included as a reduction in the balance of the term loan payable on the Company’s Condensed Consolidated Balance Sheets and will be accreted over the life of the SVB Term Loan using the effective interest method. Accretion of these loan discounts totaled $3 for the three months ended March 31, 2021, and is included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ind w:right="480"/>
        <w:spacing w:after="0" w:line="277" w:lineRule="auto"/>
        <w:rPr>
          <w:sz w:val="20"/>
          <w:szCs w:val="20"/>
          <w:color w:val="auto"/>
        </w:rPr>
      </w:pPr>
      <w:r>
        <w:rPr>
          <w:rFonts w:ascii="Arial" w:cs="Arial" w:eastAsia="Arial" w:hAnsi="Arial"/>
          <w:sz w:val="18"/>
          <w:szCs w:val="18"/>
          <w:color w:val="auto"/>
        </w:rPr>
        <w:t>interest expense in the Company’s Condensed Consolidated Statements of Operations. At March 31, 2021 and December 31, 2020, the loan discount-financing costs balance was $20 and $23, respectively.</w:t>
      </w:r>
    </w:p>
    <w:p>
      <w:pPr>
        <w:spacing w:after="0" w:line="62"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In connection with the SVB Loan Agreement, the Company is obligated to pay a final payment fee of $1.2 million upon repayment in full of the SVB Term Loan. The final payment fee is being accrued over the life of the SVB Term Loan using the effective interest method and is included as an increase in the balance of the term loan payable on the Company’s Condensed Consolidated Balance Sheets. At March 31, 2021 and December 31, 2020, $301 and $183 was accrued for the final payment fee, respectively.</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Upon the occurrence of the Phase 3 Event, the interest rate on the SVB Term Loan will increase by 2.00% (the “Contingent Interest Rate Increase”)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described above. The Contingent Interest Rate Increase represents a free-standing financial instrument. Accordingly, the Company accounted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Contingent Interest Rate Increase as a derivative under ASC 815, Derivatives and Hedging, and therefore, recorded a term loan derivative liability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Contingent Interest Rate Increase at its fair value of $187 on the Effective Date of the SVB Loan Agreement. The Company adjusts this liability to fair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value at each reporting date it remains outstanding, with such adjustments recorded as non-cash charges in other (expense) income, net in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Operations. The total fair value of this liability was determined to be $202 and $196 at March 31, 2021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respectively. The change in fair value of the term loan derivative liability as of March 31, 2021 as compared to the fair value at its last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measurement at December 31, 2020 date was $6. The term loan derivative liability is presented as a non-current liability on the Company’s Condensed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 as of March 31, 2021 and December 31, 2020. Upon recording such term loan derivative liability, the Company also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offsetting term loan discount – interest, to be amortized to interest expense in the Company’s Condensed Consolidated Statements of Operations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SVB Term Loan’s maturity date using the effective interest method. Such amortization was $18 in the three months ended March 31, 2021.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2021 and December 31, 2020, the balance of the term loan discount – interest was $140 and $158, respectively, and is included as a reduction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the term loan payable on the Company’s Condensed Consolidated Balance Sheets.</w:t>
      </w:r>
    </w:p>
    <w:p>
      <w:pPr>
        <w:spacing w:after="0" w:line="103"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Fair values of the term loan derivative liability are estimated utilizing a probability-weighted cash flow approach, including variables for the timing of the Phase 3 Event and other probability estimates. For the fair value calculations of the term loan derivative liability at March 31, 2021 and December 31, 2020, significant inputs included the Contingent Interest Rate Increase of 2.00%, a discount rate of 12.0%; and the SVB Term Loan maturity date of February 1, 2024.</w:t>
      </w:r>
    </w:p>
    <w:p>
      <w:pPr>
        <w:spacing w:after="0" w:line="79" w:lineRule="exact"/>
        <w:rPr>
          <w:sz w:val="20"/>
          <w:szCs w:val="20"/>
          <w:color w:val="auto"/>
        </w:rPr>
      </w:pPr>
    </w:p>
    <w:p>
      <w:pPr>
        <w:ind w:right="40" w:firstLine="510"/>
        <w:spacing w:after="0" w:line="262" w:lineRule="auto"/>
        <w:rPr>
          <w:sz w:val="20"/>
          <w:szCs w:val="20"/>
          <w:color w:val="auto"/>
        </w:rPr>
      </w:pPr>
      <w:r>
        <w:rPr>
          <w:rFonts w:ascii="Arial" w:cs="Arial" w:eastAsia="Arial" w:hAnsi="Arial"/>
          <w:sz w:val="18"/>
          <w:szCs w:val="18"/>
          <w:color w:val="auto"/>
        </w:rPr>
        <w:t>For the three-month period ended March 31, 2021, interest expense under the SVB Term Loan totaled $294, which includes amortization of deferred financing charges, accretion of loan discount-financing costs, accrual of the final payment fee, amortization of the term loan discount-interest and the stated interest on the SVB Term Loan, all as described above. There was no such interest expense on the SVB Term Loan for the three-month period ended March 31, 2020. As of March 31, 2021 the Company had outstanding borrowings of $14.0 million under the SVB Term Loan and the term loan payable balance as presented on the Company’s Condensed Consolidated Balance Sheets as of March 31, 2021 and December 31, 2020 was comprised as shown below.</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Principal outstanding under term loan</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Term loan discount-interest</w:t>
            </w:r>
          </w:p>
        </w:tc>
        <w:tc>
          <w:tcPr>
            <w:tcW w:w="3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Term loan discount-unamortized deferred charges</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Term loan discount-financing costs, net of accretion</w:t>
            </w:r>
          </w:p>
        </w:tc>
        <w:tc>
          <w:tcPr>
            <w:tcW w:w="3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Term loan-final payment fee</w:t>
            </w:r>
          </w:p>
        </w:tc>
        <w:tc>
          <w:tcPr>
            <w:tcW w:w="3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r>
      <w:tr>
        <w:trPr>
          <w:trHeight w:val="223"/>
        </w:trPr>
        <w:tc>
          <w:tcPr>
            <w:tcW w:w="7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14,099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13,954</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Term loan payable, non-current</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13,516</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13,954</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Interest expense on the SVB Term Loan, which is comprised of interest payments, accretion and amortization of term loan discounts and the accrual of the final payment fee, is shown below for the three months ended March 31, 2021. There was no such expense under the SVB Term Loan for the three months ended March 31, 2020.</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80" w:type="dxa"/>
            <w:vAlign w:val="bottom"/>
            <w:tcBorders>
              <w:bottom w:val="single" w:sz="8" w:color="CFF0FC"/>
            </w:tcBorders>
          </w:tcPr>
          <w:p>
            <w:pPr>
              <w:spacing w:after="0"/>
              <w:rPr>
                <w:sz w:val="13"/>
                <w:szCs w:val="13"/>
                <w:color w:val="auto"/>
              </w:rPr>
            </w:pPr>
          </w:p>
        </w:tc>
        <w:tc>
          <w:tcPr>
            <w:tcW w:w="43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140" w:type="dxa"/>
            <w:vAlign w:val="bottom"/>
            <w:tcBorders>
              <w:top w:val="single" w:sz="8" w:color="auto"/>
              <w:bottom w:val="single" w:sz="8" w:color="auto"/>
            </w:tcBorders>
          </w:tcPr>
          <w:p>
            <w:pPr>
              <w:jc w:val="right"/>
              <w:ind w:right="916"/>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Interest payments</w:t>
            </w:r>
          </w:p>
        </w:tc>
        <w:tc>
          <w:tcPr>
            <w:tcW w:w="4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Accretion and amortization of term loan discounts</w:t>
            </w:r>
          </w:p>
        </w:tc>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Accrual of the final payment fee</w:t>
            </w:r>
          </w:p>
        </w:tc>
        <w:tc>
          <w:tcPr>
            <w:tcW w:w="4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300" w:type="dxa"/>
            <w:vAlign w:val="bottom"/>
            <w:vMerge w:val="restart"/>
          </w:tcPr>
          <w:p>
            <w:pPr>
              <w:jc w:val="right"/>
              <w:ind w:right="307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8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8" w:name="page19"/>
    <w:bookmarkEnd w:id="18"/>
    <w:p>
      <w:pPr>
        <w:ind w:left="520" w:right="9100" w:hanging="512"/>
        <w:spacing w:after="0" w:line="425" w:lineRule="auto"/>
        <w:tabs>
          <w:tab w:leader="none" w:pos="51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Preferred Stock</w:t>
      </w:r>
    </w:p>
    <w:p>
      <w:pPr>
        <w:ind w:right="460" w:firstLine="510"/>
        <w:spacing w:after="0" w:line="277" w:lineRule="auto"/>
        <w:rPr>
          <w:sz w:val="20"/>
          <w:szCs w:val="20"/>
          <w:color w:val="auto"/>
        </w:rPr>
      </w:pPr>
      <w:r>
        <w:rPr>
          <w:rFonts w:ascii="Arial" w:cs="Arial" w:eastAsia="Arial" w:hAnsi="Arial"/>
          <w:sz w:val="18"/>
          <w:szCs w:val="18"/>
          <w:color w:val="auto"/>
        </w:rPr>
        <w:t>As of March 31, 2021 and December 31, 2020, the Company’s restated certificate of incorporation authorized the Company to issue 5,000,000 shares of preferred stock.</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As of March 31, 2021 and December 31, 2020, the Company’s restated certificate of incorporation authorized the Company to issue 200,000,000 shares of common stock with a par value of $0.001 per share.</w:t>
      </w:r>
    </w:p>
    <w:p>
      <w:pPr>
        <w:spacing w:after="0" w:line="89"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As of March 31, 2021 and December 31, 2020, the Company had reserved 4,573,538 shares and 3,646,200 shares of common stock, respectively, for the exercise of outstanding stock options and the number of shares of common stock remaining available for future stock-based awards under the Company’s 2012 Stock Incentive Plan, 2019 Stock Incentive Plan and 2019 Employee Stock Purchase Plan, as shown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76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60" w:type="dxa"/>
            <w:vAlign w:val="bottom"/>
            <w:tcBorders>
              <w:bottom w:val="single" w:sz="8" w:color="CFF0FC"/>
            </w:tcBorders>
          </w:tcPr>
          <w:p>
            <w:pPr>
              <w:spacing w:after="0"/>
              <w:rPr>
                <w:sz w:val="14"/>
                <w:szCs w:val="14"/>
                <w:color w:val="auto"/>
              </w:rPr>
            </w:pPr>
          </w:p>
        </w:tc>
        <w:tc>
          <w:tcPr>
            <w:tcW w:w="29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2012</w:t>
            </w:r>
          </w:p>
        </w:tc>
        <w:tc>
          <w:tcPr>
            <w:tcW w:w="2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Incentive Plan</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921,824</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921,824</w:t>
            </w: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296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480" w:type="dxa"/>
            <w:vAlign w:val="bottom"/>
          </w:tcPr>
          <w:p>
            <w:pPr>
              <w:jc w:val="right"/>
              <w:spacing w:after="0"/>
              <w:rPr>
                <w:sz w:val="20"/>
                <w:szCs w:val="20"/>
                <w:color w:val="auto"/>
              </w:rPr>
            </w:pPr>
            <w:r>
              <w:rPr>
                <w:rFonts w:ascii="Arial" w:cs="Arial" w:eastAsia="Arial" w:hAnsi="Arial"/>
                <w:sz w:val="18"/>
                <w:szCs w:val="18"/>
                <w:color w:val="auto"/>
              </w:rPr>
              <w:t>3,138,793</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2,396,922</w:t>
            </w:r>
          </w:p>
        </w:tc>
        <w:tc>
          <w:tcPr>
            <w:tcW w:w="100" w:type="dxa"/>
            <w:vAlign w:val="bottom"/>
          </w:tcPr>
          <w:p>
            <w:pPr>
              <w:spacing w:after="0"/>
              <w:rPr>
                <w:sz w:val="19"/>
                <w:szCs w:val="19"/>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2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w:t>
            </w: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Plan</w:t>
            </w:r>
          </w:p>
        </w:tc>
        <w:tc>
          <w:tcPr>
            <w:tcW w:w="2960" w:type="dxa"/>
            <w:vAlign w:val="bottom"/>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512,921</w:t>
            </w:r>
          </w:p>
        </w:tc>
        <w:tc>
          <w:tcPr>
            <w:tcW w:w="280" w:type="dxa"/>
            <w:vAlign w:val="bottom"/>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327,454</w:t>
            </w:r>
          </w:p>
        </w:tc>
        <w:tc>
          <w:tcPr>
            <w:tcW w:w="100" w:type="dxa"/>
            <w:vAlign w:val="bottom"/>
            <w:shd w:val="clear" w:color="auto" w:fill="CFF0FC"/>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4,573,538</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3,646,200</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June 2020, the Company entered into the ATM Sales Agreement, under which the Company may issue and sell shares of its common stock, from time to time, having an aggregate offering price of up to $12.0 million. Sales of common stock under the ATM Sales Agreement may be made by any method that is deemed an “at the market” offering as defined in Rule 415(a)(4) under the Securities Act of 1933, as amended. The Company is not obligated to make any sales of its common stock under the ATM Sales Agreement. The Company began making sales pursuant to the ATM Sales Agreement in July 2020. During the three months ended March 31, 2021, the Company issued and sold an aggregate of 1,367,621 shares of common stock for gross proceeds of $4.4 million, before deducting estimated commissions and allocated fees of $0.3 million. As of March 31, 2021 the Company had issued and sold an aggregate of 2,055,497 shares of common stock for gross proceeds of $7.6 million, before deducting estimated commissions and allocated fees of $0.5 million.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79"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 total number of shares of common stock that may be issued under the 2019 Plan and the 2012 Plan was 4,060,617 as of March 31, 2021, of which 815,416 shares remained available for grant under the 2019 Plan. As of March 31, 2021, awards may be made under the 2019 Plan for up to such number of shares of the Company’s common stock as is equal to the sum of i) 1,578,947 shares; plus ii) the number of shares (up to 1,157,894 shares) equal to the number of shares of the Company’s common stock subject to outstanding awards under the 2012 Stock Incentive Plan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 Effective January 1, 2021 and January 1, 2020, respectively, the number of shares reserved for issuance under the 2019 Plan increased, pursuant to the terms of the 2019 Plan, by an additional 741,871 shares and 713,383 shares, equal to 4% of the Company’s then-outstanding common stock</w:t>
      </w:r>
      <w:r>
        <w:rPr>
          <w:rFonts w:ascii="Arial" w:cs="Arial" w:eastAsia="Arial" w:hAnsi="Arial"/>
          <w:sz w:val="17"/>
          <w:szCs w:val="17"/>
          <w:color w:val="FF0000"/>
        </w:rPr>
        <w:t>.</w:t>
      </w:r>
    </w:p>
    <w:p>
      <w:pPr>
        <w:spacing w:after="0" w:line="77" w:lineRule="exact"/>
        <w:rPr>
          <w:sz w:val="20"/>
          <w:szCs w:val="20"/>
          <w:color w:val="auto"/>
        </w:rPr>
      </w:pPr>
    </w:p>
    <w:p>
      <w:pPr>
        <w:ind w:right="180" w:firstLine="510"/>
        <w:spacing w:after="0" w:line="341" w:lineRule="auto"/>
        <w:rPr>
          <w:sz w:val="20"/>
          <w:szCs w:val="20"/>
          <w:color w:val="auto"/>
        </w:rPr>
      </w:pPr>
      <w:r>
        <w:rPr>
          <w:rFonts w:ascii="Arial" w:cs="Arial" w:eastAsia="Arial" w:hAnsi="Arial"/>
          <w:sz w:val="17"/>
          <w:szCs w:val="17"/>
          <w:color w:val="auto"/>
        </w:rPr>
        <w:t>The 2012 Plan was adopted by the Company’s board of directors and stockholders. The 2012 Plan provides for the issuance of stock-based awards to the Company’s employees, officers, directors, consultants and advisors. The Company’s board of directors administers the 2012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right="160" w:firstLine="510"/>
        <w:spacing w:after="0" w:line="300" w:lineRule="auto"/>
        <w:rPr>
          <w:sz w:val="20"/>
          <w:szCs w:val="20"/>
          <w:color w:val="auto"/>
        </w:rPr>
      </w:pPr>
      <w:r>
        <w:rPr>
          <w:rFonts w:ascii="Arial" w:cs="Arial" w:eastAsia="Arial" w:hAnsi="Arial"/>
          <w:sz w:val="16"/>
          <w:szCs w:val="16"/>
          <w:color w:val="auto"/>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As of March 31, 2021 and December 31, 2020, respectively, options to purchase 2,323,377 shares and 1,249,653 shares of common stock were granted and outstanding, net of cancelations, under the 2019 Plan. As of March 31, 2021 and December 31, 2020, options to purchase 921,824 shares of common stock were granted and outstanding, net of cancelations, under the 2012 Plan.</w:t>
      </w:r>
    </w:p>
    <w:p>
      <w:pPr>
        <w:spacing w:after="0" w:line="51"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In April 2019, the Company’s board of directors adopted a resolution effective on May 7, 2019 that no further stock options or other equity-based awards may be granted under the 2012 Plan.</w:t>
      </w:r>
    </w:p>
    <w:p>
      <w:pPr>
        <w:spacing w:after="0" w:line="62"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In February 2021, the compensation committee of the Company’s board of directors approved the grant of stock options with performance-based vesting (“PSOs”) to employees of the Company. The PSOs granted in February 2021 vest based on the timing and successful results of the Company’s PRISM or CANAL clinical trials.</w:t>
      </w:r>
    </w:p>
    <w:p>
      <w:pPr>
        <w:spacing w:after="0" w:line="76"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 summary of the Company’s combined stock option activity for the 2019 Plan and the 2012 Plan for the three months ended March 31, 2021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7760" w:type="dxa"/>
            <w:vAlign w:val="bottom"/>
          </w:tcPr>
          <w:p>
            <w:pPr>
              <w:spacing w:after="0"/>
              <w:rPr>
                <w:sz w:val="14"/>
                <w:szCs w:val="14"/>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56"/>
        </w:trPr>
        <w:tc>
          <w:tcPr>
            <w:tcW w:w="776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2,171,477</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1,074,875</w:t>
            </w:r>
          </w:p>
        </w:tc>
        <w:tc>
          <w:tcPr>
            <w:tcW w:w="16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Forfeited</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Expired</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Outstanding as of March 31, 2021</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3,245,201</w:t>
            </w:r>
          </w:p>
        </w:tc>
        <w:tc>
          <w:tcPr>
            <w:tcW w:w="16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as of March 31, 2021</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1,189,551</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Options unvested as of March 31, 2021</w:t>
            </w:r>
          </w:p>
        </w:tc>
        <w:tc>
          <w:tcPr>
            <w:tcW w:w="1540" w:type="dxa"/>
            <w:vAlign w:val="bottom"/>
          </w:tcPr>
          <w:p>
            <w:pPr>
              <w:jc w:val="right"/>
              <w:spacing w:after="0"/>
              <w:rPr>
                <w:sz w:val="20"/>
                <w:szCs w:val="20"/>
                <w:color w:val="auto"/>
              </w:rPr>
            </w:pPr>
            <w:r>
              <w:rPr>
                <w:rFonts w:ascii="Arial" w:cs="Arial" w:eastAsia="Arial" w:hAnsi="Arial"/>
                <w:sz w:val="18"/>
                <w:szCs w:val="18"/>
                <w:color w:val="auto"/>
              </w:rPr>
              <w:t>2,055,650</w:t>
            </w:r>
          </w:p>
        </w:tc>
        <w:tc>
          <w:tcPr>
            <w:tcW w:w="16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In April 2019, the Company’s board of directors adopted the 2019 Employee Stock Purchase Plan (the “2019 ESPP”), which became effective on May 7, 2019. The 2019 ESPP is administered by the Company’s board of directors.</w:t>
      </w:r>
    </w:p>
    <w:p>
      <w:pPr>
        <w:spacing w:after="0" w:line="62"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The total number of shares of common stock that may be issued under the 2019 ESPP Plan was 518,918 as of March 31, 2021, of which 512,921 shares remained available for issuance.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Effective January 1, 2021 and January 1, 2020, respectively, the aggregate number of shares of the Company’s common stock that may be issued under the 2019 ESPP increased, pursuant to the terms of the 2019 ESPP, by an additional 185,467 shares and 178,345 shares, equal to 1% of the Company’s then-outstanding common stock.</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the Company’s employees are eligible to participate in the 2019 ESPP, provided that:</w:t>
      </w:r>
    </w:p>
    <w:p>
      <w:pPr>
        <w:spacing w:after="0" w:line="117" w:lineRule="exact"/>
        <w:rPr>
          <w:sz w:val="20"/>
          <w:szCs w:val="20"/>
          <w:color w:val="auto"/>
        </w:rPr>
      </w:pPr>
    </w:p>
    <w:p>
      <w:pPr>
        <w:ind w:left="880" w:hanging="373"/>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such person is customarily employed by the Company for more than 20 hours a week and for more than five months in a calendar year;</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person has been employed by the Company for at least three months prior to enrolling in the 2019 ESPP;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person was an employee of the Company on the first day of the applicable offering period under the 2019 ESPP.</w:t>
      </w:r>
    </w:p>
    <w:p>
      <w:pPr>
        <w:spacing w:after="0" w:line="144"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following table summarizes the classifications of stock-based compensation expenses for the 2012 Plan, the 2019 Plan and the 2019 ESPP recognized in the Condensed Consolidated Statements of Operations:</w:t>
      </w:r>
    </w:p>
    <w:p>
      <w:pPr>
        <w:spacing w:after="0" w:line="81"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4060" w:type="dxa"/>
            <w:vAlign w:val="bottom"/>
            <w:tcBorders>
              <w:bottom w:val="single" w:sz="8" w:color="CFF0FC"/>
            </w:tcBorders>
          </w:tcPr>
          <w:p>
            <w:pPr>
              <w:spacing w:after="0"/>
              <w:rPr>
                <w:sz w:val="13"/>
                <w:szCs w:val="13"/>
                <w:color w:val="auto"/>
              </w:rPr>
            </w:pPr>
          </w:p>
        </w:tc>
        <w:tc>
          <w:tcPr>
            <w:tcW w:w="370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37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37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4060" w:type="dxa"/>
            <w:vAlign w:val="bottom"/>
            <w:shd w:val="clear" w:color="auto" w:fill="CFF0FC"/>
          </w:tcPr>
          <w:p>
            <w:pPr>
              <w:spacing w:after="0"/>
              <w:rPr>
                <w:sz w:val="24"/>
                <w:szCs w:val="24"/>
                <w:color w:val="auto"/>
              </w:rPr>
            </w:pPr>
          </w:p>
        </w:tc>
        <w:tc>
          <w:tcPr>
            <w:tcW w:w="4780" w:type="dxa"/>
            <w:vAlign w:val="bottom"/>
            <w:gridSpan w:val="2"/>
            <w:shd w:val="clear" w:color="auto" w:fill="CFF0FC"/>
          </w:tcPr>
          <w:p>
            <w:pPr>
              <w:jc w:val="right"/>
              <w:ind w:right="92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6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3700" w:type="dxa"/>
            <w:vAlign w:val="bottom"/>
            <w:tcBorders>
              <w:top w:val="single" w:sz="8" w:color="CFF0FC"/>
              <w:bottom w:val="single" w:sz="8" w:color="CFF0FC"/>
            </w:tcBorders>
            <w:vMerge w:val="restart"/>
          </w:tcPr>
          <w:p>
            <w:pPr>
              <w:jc w:val="right"/>
              <w:ind w:right="1950"/>
              <w:spacing w:after="0"/>
              <w:rPr>
                <w:sz w:val="20"/>
                <w:szCs w:val="20"/>
                <w:color w:val="auto"/>
              </w:rPr>
            </w:pPr>
            <w:r>
              <w:rPr>
                <w:rFonts w:ascii="Arial" w:cs="Arial" w:eastAsia="Arial" w:hAnsi="Arial"/>
                <w:sz w:val="18"/>
                <w:szCs w:val="18"/>
                <w:color w:val="auto"/>
              </w:rPr>
              <w:t>15</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0" w:name="page21"/>
    <w:bookmarkEnd w:id="20"/>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During the three months ended March 31, 2021 and 2020, the Company maintained a full valuation allowance on deferred tax assets. Therefore, the Company has not recorded a provision for income taxes.</w:t>
      </w:r>
    </w:p>
    <w:p>
      <w:pPr>
        <w:spacing w:after="0" w:line="166"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the computation of basic and diluted net loss per share attributable to common stockholders of the Company:</w:t>
      </w:r>
    </w:p>
    <w:p>
      <w:pPr>
        <w:spacing w:after="0" w:line="269"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Weighted average common shares used in net loss per share</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7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19,417,038</w:t>
            </w:r>
          </w:p>
        </w:tc>
        <w:tc>
          <w:tcPr>
            <w:tcW w:w="28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17,834,570</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Company’s potential dilutive securities, which include stock options,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common shares underlying stock options, based on stock options outstanding as of March 31, 2021 and 2020, were excluded from the calculation of diluted net loss per share attributable to common stockholders for the periods indicated because including them would have had an anti-dilutive effect.</w:t>
      </w:r>
    </w:p>
    <w:p>
      <w:pPr>
        <w:spacing w:after="0" w:line="323"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and Licensing Agreements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 enters into collaborative and licensing agreements with pharmaceutical companies to in-license, develop, manufacture and/or market products that fit within its business strategy.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Endo Pharmaceuticals Inc.</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May 2011, the Company entered into an agreement with Penwest Pharmaceuticals Co. (“Penwest”) (subsequently merged into its parent, Endo Pharmaceuticals Inc. (“Endo”)) for an exclusive worldwide sublicensable license under certain patent rights and know-how controlled by Penwest to develop and commercialize products incorporating nalbuphine hydrochloride in any formulation, including an extended release formulation such as Haduvio, in all fields and for any use.</w:t>
      </w:r>
    </w:p>
    <w:p>
      <w:pPr>
        <w:spacing w:after="0" w:line="79"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Under the license agreement, the Company paid Penwest a non-creditable, non-refundable upfront license fee of $25. The Company may also become obligated to make milestone payments to Endo of $250, which would become due upon the successful completion of the first Phase 3 clinical trial of a licensed product candidate, such as the Phase 2b/3 PRISM trial, and $750, which would become due upon the marketing approval of a licensed product in the United States,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80"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76"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and the Company has the right to terminate the agreement at its convenience 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ind w:right="100"/>
        <w:spacing w:after="0" w:line="263" w:lineRule="auto"/>
        <w:rPr>
          <w:sz w:val="20"/>
          <w:szCs w:val="20"/>
          <w:color w:val="auto"/>
        </w:rPr>
      </w:pPr>
      <w:r>
        <w:rPr>
          <w:rFonts w:ascii="Arial" w:cs="Arial" w:eastAsia="Arial" w:hAnsi="Arial"/>
          <w:sz w:val="18"/>
          <w:szCs w:val="18"/>
          <w:color w:val="auto"/>
        </w:rPr>
        <w:t>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76"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Exclusive License Agreement with Rutgers</w:t>
      </w:r>
    </w:p>
    <w:p>
      <w:pPr>
        <w:spacing w:after="0" w:line="117"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In November 2018, the Company entered into an agreement with Rutgers, The State University of New Jersey (“Rutgers”) for an exclusive, worldwide, sublicensable license under certain patent rights controlled by Rutgers and for a non-exclusive, worldwide, sublicensable license under certain know-how controlled by Rutgers, in each case to develop and commercialize products incorporating nalbuphine for any human or animal use.</w:t>
      </w:r>
    </w:p>
    <w:p>
      <w:pPr>
        <w:spacing w:after="0" w:line="4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Upon entering into the license agreement, the Company paid Rutgers a minimal upfront license issue fee, which was recorded as R&amp;D expense in 2018, and agreed to pay Rutgers a minimal annual license fee. The Company may become obligated to make milestone payments to Rutgers in the aggregate of up to $331 based on the achievement of certain clinical, regulatory and sales milestones. The Company has also agreed to pay Rutgers a low single-digit percentage of certain income it receives from sublicensees and to pay tiered low single-digit royalties based on net sales of licensed products by the Company and its affiliates and sublicensees.</w:t>
      </w:r>
    </w:p>
    <w:p>
      <w:pPr>
        <w:spacing w:after="0" w:line="80"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The Company’s royalty obligation with respect to each licensed product in each country commences on the date of the first commercial sale of the licensed product in that country following receipt of marketing approval and extends until the later of the date of expiration, unenforceability or invalidation of the last valid claim of any licensed patent or patent application covering the licensed product in the country and 10 years after the first commercial sale of the first licensed product sold anywhere in the world, which period is referred to as the royalty term. Upon the expiration of the royalty term for a licensed product in a country, the license granted to the Company under the agreement shall become perpetual, fully paid-up, irrevocable and royalty-free in such country. The royalty is subject to reduction in certain circumstances.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Restructuring Agreement with MentiNova, LLC</w:t>
      </w:r>
    </w:p>
    <w:p>
      <w:pPr>
        <w:spacing w:after="0" w:line="11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In November 2018, concurrent with the signing of the agreement with Rutgers described above, the Company entered into a restructuring agreement with MentiNova, LLC (“MentiNova”) for the purchase of specified information and know-how, specified contractual rights and benefits, and all books and records of MentiNova related thereto (collectively, the “Acquired Assets”).</w:t>
      </w:r>
    </w:p>
    <w:p>
      <w:pPr>
        <w:spacing w:after="0" w:line="76"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Upon entering into the license agreement, the Company paid MentiNova an aggregate upfront payment of $119, which was recorded as R&amp;D expense in 2018, subject to specified closing adjustments. The Company may become obligated to make milestone payments to MentiNova in the aggregate of up to $1.2 million based on the achievement of certain clinical and regulatory milestones as well as tiered low single-digit royalties based on net sales of products containing nalbuphine as the sole active pharmaceutical ingredient that are developed by the Company using the Acquired Assets or the intellectual property licensed to the Company under the Rutgers agreement described above (the “Rutgers IP”) for indications that are within the scope of the Rutgers IP. The royalty is subject to reduction in certain circumstances.</w:t>
      </w:r>
    </w:p>
    <w:p>
      <w:pPr>
        <w:spacing w:after="0" w:line="66"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right="220" w:firstLine="510"/>
        <w:spacing w:after="0" w:line="311" w:lineRule="auto"/>
        <w:rPr>
          <w:sz w:val="20"/>
          <w:szCs w:val="20"/>
          <w:color w:val="auto"/>
        </w:rPr>
      </w:pPr>
      <w:r>
        <w:rPr>
          <w:rFonts w:ascii="Arial" w:cs="Arial" w:eastAsia="Arial" w:hAnsi="Arial"/>
          <w:sz w:val="16"/>
          <w:szCs w:val="16"/>
          <w:color w:val="auto"/>
        </w:rPr>
        <w:t>A significant portion of the Company’s development activities are outsourced to third parties under agreements, including with clinical research organizations,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has commitments under lease and licensing agreements (Note 4 and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2020 included in our Annual Report on Form 10-K, filed with the Securities and Exchange Commission, or SEC, on March 25, 2021.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spacing w:after="0" w:line="74"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58" w:lineRule="exact"/>
        <w:rPr>
          <w:sz w:val="20"/>
          <w:szCs w:val="20"/>
          <w:color w:val="auto"/>
        </w:rPr>
      </w:pPr>
    </w:p>
    <w:p>
      <w:pPr>
        <w:ind w:right="460" w:firstLine="510"/>
        <w:spacing w:after="0" w:line="375" w:lineRule="auto"/>
        <w:rPr>
          <w:sz w:val="20"/>
          <w:szCs w:val="20"/>
          <w:color w:val="auto"/>
        </w:rPr>
      </w:pPr>
      <w:r>
        <w:rPr>
          <w:rFonts w:ascii="Arial" w:cs="Arial" w:eastAsia="Arial" w:hAnsi="Arial"/>
          <w:sz w:val="18"/>
          <w:szCs w:val="18"/>
          <w:i w:val="1"/>
          <w:iCs w:val="1"/>
          <w:color w:val="auto"/>
        </w:rPr>
        <w:t xml:space="preserve">We caution readers not to place undue reliance on any forward-looking statements made by us, which speak only as of the date they are made. </w:t>
      </w:r>
      <w:r>
        <w:rPr>
          <w:rFonts w:ascii="Arial" w:cs="Arial" w:eastAsia="Arial" w:hAnsi="Arial"/>
          <w:sz w:val="18"/>
          <w:szCs w:val="18"/>
          <w:b w:val="1"/>
          <w:bCs w:val="1"/>
          <w:color w:val="auto"/>
        </w:rPr>
        <w:t>Overview</w:t>
      </w:r>
    </w:p>
    <w:p>
      <w:pPr>
        <w:spacing w:after="0" w:line="1" w:lineRule="exact"/>
        <w:rPr>
          <w:sz w:val="20"/>
          <w:szCs w:val="20"/>
          <w:color w:val="auto"/>
        </w:rPr>
      </w:pPr>
    </w:p>
    <w:p>
      <w:pPr>
        <w:ind w:right="420" w:firstLine="51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the investigational therapy Haduvio (nalbuphine ER) to treat serious neurologically mediated conditions. We are developing Haduvio for the treatment of chronic pruritus associated with prurigo nodularis and chronic cough in patients with idiopathic pulmonary fibrosis, or IPF. We are also developing Haduvio in levodopa-induced dyskinesia, or LID, in patients with Parkinson’s disease.</w:t>
      </w:r>
    </w:p>
    <w:p>
      <w:pPr>
        <w:spacing w:after="0" w:line="7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are conducting a Phase 2b/3 clinical trial of Haduvio, which we refer to as the Phase 2b/3 PRISM trial, in patients with severe pruritus associated with prurigo nodularis. The Phase 2b/3 PRISM trial is a randomized, double-blind, placebo controlled, two-arm treatment study that is designed to evaluate the safety and anti-pruritic efficacy of Haduvio in patients in the United States and Europe. In accordance with the protocol for the Phase 2b/3 PRISM trial, we conducted a sample size re-estimation, or SSRE, analysis in July 2020, following such time as approximately 45% of the initial targeted number of patients in the trial were evaluable for the primary endpoint. Based on the analysis, the independent Data Monitoring Committee, or DMC, recommended that the Phase 2b/3 PRISM trial should continue and that the trial size should increase from an initial enrollment target of 240 to 360 subjects, which maintains the statistical power for the primary endpoint. Based on the DMC’s recommendation, we have increased the planned trial size to 360 subjects. The pace of enrollment in the trial has been impacted by the COVID-19 pandemic as new patient screening and most patient enrollment were temporarily halted in March 2020. Our sites began to restart patient screening and enrollment during May and June 2020. We have increased the number of active sites to more than 60 globally and approximately 255 subjects have enrolled in the trial. Subject to the uncertainties associated with the COVID-19 pandemic, we expect to complete enrollment in the second half of 2021 and report top-line data approximately four months after enrollment is complete. If the Phase 2b/3 PRISM trial is successful, we expect that we will use the Phase 2b/3 PRISM trial and an additional Phase 3 clinical trial that we believe we will need to conduct to support the submission of a new drug application, or NDA, to the United States Food and Drug Administration, or FDA, and a marketing authorization application, or MAA, to the European Medicines Agency, or EMA, for Haduvio for the treatment of pruritus associated with prurigo nodularis.</w:t>
      </w:r>
    </w:p>
    <w:p>
      <w:pPr>
        <w:spacing w:after="0" w:line="290"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are also conducting a Phase 2 clinical trial of Haduvio for chronic cough in patients with IPF, which we refer to as the Phase 2 CANAL trial. The Phase 2 CANAL trial is a randomized, double-blind, placebo controlled, two-treatment, two-period, crossover study that is designed to evaluate the efficacy, safety, tolerability and dosing of Haduvio for chronic cough in patients with IPF and is designed to enroll approximately 60 subjects with a goal to have 44 study completers. We are conducting the trial at multiple sites in the United Kingdom. Due to the COVID-19 pandemic and the specific at-risk nature of IPF patients, our clinical sites halted their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3" w:name="page24"/>
    <w:bookmarkEnd w:id="23"/>
    <w:p>
      <w:pPr>
        <w:ind w:right="100"/>
        <w:spacing w:after="0" w:line="289" w:lineRule="auto"/>
        <w:rPr>
          <w:sz w:val="20"/>
          <w:szCs w:val="20"/>
          <w:color w:val="auto"/>
        </w:rPr>
      </w:pPr>
      <w:r>
        <w:rPr>
          <w:rFonts w:ascii="Arial" w:cs="Arial" w:eastAsia="Arial" w:hAnsi="Arial"/>
          <w:sz w:val="16"/>
          <w:szCs w:val="16"/>
          <w:color w:val="auto"/>
        </w:rPr>
        <w:t>enrollment and treatment of patients in this trial in March 2020. While patient screening and enrollment resumed at certain clinical trial sites in the fourth quarter of 2020, all sites in the trial paused screening again in December 2020 in response to a shelter in place directive from the U.K. government. This directive expired in March 2021 and we expect the other COVID-19 related restrictions will continue to be lifted through June 2021, assuming the pandemic does not worsen in the United Kingdom. Initial screening activity has resumed at certain sites following the lifting of the shelter in place directive. However, we expect that some sites may take longer to resume their trial activity due to increased COVID-19 infection rates in the areas where they are located and that other sites may cease to participate in the trial entirely. We amended the study protocol to reduce the number of in-person visits and procedures to facilitate this study being completed in an at-risk patient population for COVID-19. We have decided not to pursue opening new clinical sites in Germany due to the estimated timing and cost to add these additional sites. Instead, in light of the easing of pandemic restrictions in the United Kingdom, we are focusing our efforts on the completion of enrollment in the Phase 2 CANAL trial in the United Kingdom.</w:t>
      </w:r>
    </w:p>
    <w:p>
      <w:pPr>
        <w:spacing w:after="0" w:line="166" w:lineRule="exact"/>
        <w:rPr>
          <w:sz w:val="20"/>
          <w:szCs w:val="20"/>
          <w:color w:val="auto"/>
        </w:rPr>
      </w:pPr>
    </w:p>
    <w:p>
      <w:pPr>
        <w:ind w:right="20" w:firstLine="514"/>
        <w:spacing w:after="0" w:line="277" w:lineRule="auto"/>
        <w:rPr>
          <w:sz w:val="20"/>
          <w:szCs w:val="20"/>
          <w:color w:val="auto"/>
        </w:rPr>
      </w:pPr>
      <w:r>
        <w:rPr>
          <w:rFonts w:ascii="Arial" w:cs="Arial" w:eastAsia="Arial" w:hAnsi="Arial"/>
          <w:sz w:val="18"/>
          <w:szCs w:val="18"/>
          <w:color w:val="auto"/>
        </w:rPr>
        <w:t>With respect to LID, we have written the protocol for a Phase 2 clinical trial for LID in patients with Parkinson’s disease. We plan to determine next steps in the program once we complete the Phase 2b/3 PRISM and Phase 2 CANAL trials.</w:t>
      </w:r>
    </w:p>
    <w:p>
      <w:pPr>
        <w:spacing w:after="0" w:line="170" w:lineRule="exact"/>
        <w:rPr>
          <w:sz w:val="20"/>
          <w:szCs w:val="20"/>
          <w:color w:val="auto"/>
        </w:rPr>
      </w:pPr>
    </w:p>
    <w:p>
      <w:pPr>
        <w:ind w:firstLine="514"/>
        <w:spacing w:after="0" w:line="342" w:lineRule="auto"/>
        <w:rPr>
          <w:sz w:val="20"/>
          <w:szCs w:val="20"/>
          <w:color w:val="auto"/>
        </w:rPr>
      </w:pPr>
      <w:r>
        <w:rPr>
          <w:rFonts w:ascii="Arial" w:cs="Arial" w:eastAsia="Arial" w:hAnsi="Arial"/>
          <w:sz w:val="16"/>
          <w:szCs w:val="16"/>
          <w:color w:val="auto"/>
        </w:rPr>
        <w:t>We are currently focusing our cash and operational resources on completing the Phase 2b/3 PRISM and the Phase 2 CANAL trials. After we receive top-line data from both of these trials, we will evaluate other additional indications for which we may choose to pursue development of Haduvio.</w:t>
      </w:r>
    </w:p>
    <w:p>
      <w:pPr>
        <w:spacing w:after="0" w:line="1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March 31, 2021, we had an accumulated deficit of $155.3 million, primarily as a result of research and development and general and administrative expenses. We do not expect to generate product revenue unless and until we obtain marketing approval for and commercialize Haduvio for the treatment of pruritus associated with prurigo nodularis, chronic cough in patients with IPF or LID in patients with Parkinson’s disease, and we can provide no assurance that we will ever generate significant revenue or profits.</w:t>
      </w:r>
    </w:p>
    <w:p>
      <w:pPr>
        <w:spacing w:after="0" w:line="70"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In June 2020, we entered into a sales agreement with SVB Leerink LLC, or SVB Leerink, which we refer to as the ATM Sales Agreement, under which we may issue and sell shares of common stock, from time to time, having an aggregate offering price of up to $12.0 million. Sales of common stock under the ATM Sales Agreement may be made by any method that is deemed an “at the market” offering as defined in Rule 415(a)(4) under the Securities Act of 1933, as amended. We are not obligated to make any sales of our common stock under the ATM Sales Agreement. We began making sales pursuant to the ATM Sales Agreement in July 2020, and as of March 31, 2021, we had issued and sold an aggregate of 2,055,497 shares of common stock for gross proceeds of $7.6 million, before deducting estimated commissions and allocated fees of $0.5 million.</w:t>
      </w:r>
    </w:p>
    <w:p>
      <w:pPr>
        <w:spacing w:after="0" w:line="56"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In August 2020, we entered into a loan and security agreement, or the SVB Loan Agreement, with Silicon Valley Bank pursuant to which Silicon Valley Bank provided a term loan, or the SVB Term Loan, to us in the original principal amount of $14.0 million. On the first business day of each month, we will be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For further discussion of the SVB Term Loan, see “—Liquidity and Capital Resources”.</w:t>
      </w:r>
    </w:p>
    <w:p>
      <w:pPr>
        <w:spacing w:after="0" w:line="96"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 xml:space="preserve">As of March 31, 2021, we had cash and cash equivalents of $41.6 million. We believe that our existing cash and cash equivalents will not enable us to fund our operating expenses and capital expenditure requirements for 12 months from the date of issuance of the interim financial statements included in this Quarterly Report on Form 10-Q. After considering various risks and uncertainties as prescribed by Accounting Standards Update No. 2014-15, </w:t>
      </w:r>
      <w:r>
        <w:rPr>
          <w:rFonts w:ascii="Arial" w:cs="Arial" w:eastAsia="Arial" w:hAnsi="Arial"/>
          <w:sz w:val="16"/>
          <w:szCs w:val="16"/>
          <w:i w:val="1"/>
          <w:iCs w:val="1"/>
          <w:color w:val="auto"/>
        </w:rPr>
        <w:t>Disclosures of Uncertainties about an Entity’s Ability to Continue as a Going Concern (Subtopic 205-40)</w:t>
      </w:r>
      <w:r>
        <w:rPr>
          <w:rFonts w:ascii="Arial" w:cs="Arial" w:eastAsia="Arial" w:hAnsi="Arial"/>
          <w:sz w:val="16"/>
          <w:szCs w:val="16"/>
          <w:color w:val="auto"/>
        </w:rPr>
        <w:t>, or ASU No. 2014-15, we concluded that there is</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doubt about our ability to continue as a going concern as of the date of issuance of the interim financial statements included in this Quarterly Report on Form 10-Q without additional capital. We have based our estimate as to how long we expect our existing cash and cash equivalents to continue to fund our operations on assumptions that may prove to be wrong, and we could use our available capital resources sooner than we expect. See “— Liquidity and Capital Resources.” Our future viability beyond that point is dependent on our ability to raise additional capital to finance our operations.</w:t>
      </w:r>
    </w:p>
    <w:p>
      <w:pPr>
        <w:spacing w:after="0" w:line="5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in patients with pruritus associated with prurigo nodularis, and the additional Phase 3 clinical trial we believe we will be required to conduct to support the submission of an NDA to the FDA for Haduvio for the treatment of pruritus associated with prurigo nodularis, our ongoing Phase 2 CANAL trial in chronic cough in patients with IPF, the development and validation of our commercial manufacturing process for Haduvio and other development activities, including potentially commencing Phase 2 clinical trials for the treatment of LID in patients with Parkinson’s disease. In addition, we may continue to incur additional expenses as a result of the COVID-19 pandemic and related clinical trial delays and interruptions.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right="20" w:firstLine="510"/>
        <w:spacing w:after="0" w:line="296" w:lineRule="auto"/>
        <w:rPr>
          <w:sz w:val="20"/>
          <w:szCs w:val="20"/>
          <w:color w:val="auto"/>
        </w:rPr>
      </w:pPr>
      <w:r>
        <w:rPr>
          <w:rFonts w:ascii="Arial" w:cs="Arial" w:eastAsia="Arial" w:hAnsi="Arial"/>
          <w:sz w:val="16"/>
          <w:szCs w:val="16"/>
          <w:color w:val="auto"/>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COVID-19 Pandemic</w:t>
      </w:r>
    </w:p>
    <w:p>
      <w:pPr>
        <w:spacing w:after="0" w:line="117"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The COVID-19 pandemic and government measures taken in response thereto have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example, in our ongoing Phase 2b/3 PRISM trial, new patient screening and most enrollment was temporarily halted due to the COVID-19 pandemic in March 2020. Many of our sites restarted patient screening and enrollment throughout May and June 2020. Furthermore, multiple sites in the Phase 2b/3 PRISM trial are requiring remote monitoring of patient data. We also experienced slower recruitment activities in the Phase 2b/3 PRISM trial worldwide through the latter part of 2020 and the beginning of 2021 due to the resurgence of the COVID-19 pandemic. In addition, the clinical sites in our ongoing Phase 2 CANAL trial temporarily suspended enrollment and treatment of patients in the trial due to the vulnerability of IPF patients to COVID-19 and as a result, we amended the protocol for the trial to reduce the number of in-person patient visits and procedures. While patient screening and enrollment for our Phase 2 CANAL trial resumed at certain clinical trial sites in the fourth quarter of 2020, all sites in the trial paused screening again in December 2020 in response to a shelter in place directive from the U.K. government. This directive expired in March 2021 and we expect the other COVID-19 related restrictions will continue to be lifted through June 2021, assuming the pandemic does not worsen in the United Kingdom. Initial screening activity has resumed at certain sites following the lifting of the shelter in place directive. However, we expect that some sites may take longer to resume their trial activity due to increased COVID-19 infection rates in the areas where they are located and that other sites may cease to participate in the trial entirely. We have decided not to pursue opening new clinical sites in Germany due to the estimated timing and cost to add these additional sites. Instead, in light of the easing of pandemic restrictions in the United Kingdom, we are focusing our efforts on the completion of enrollment in the Phase 2 CANAL trial in the United Kingdom. The COVID-19 pandemic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patients to enroll in trials at this time, or the inability of patients to comply with clinical trial protocols if quarantines or travel restrictions impede patient movement or interrupt healthcare services. The response to the COVID-19 pandemic may also redirect resources of regulators in a way that could adversely impact our ability to progress towards regulatory approvals and we may face impediments to regulatory meetings and approvals relating to our clinical trials due to measures intended to limit in-person interactions.</w:t>
      </w:r>
    </w:p>
    <w:p>
      <w:pPr>
        <w:spacing w:after="0" w:line="70"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w:t>
      </w:r>
    </w:p>
    <w:p>
      <w:pPr>
        <w:spacing w:after="0" w:line="76"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We have taken temporary precautionary measures intended to help minimize the risk of the virus to our employees, including allowing employees to work remotely, suspending all non-essential travel worldwide for our employees and discouraging employee attendance at industry events.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All of our research and development expenses consist of expenses incurred in connection with the development of Haduvio. These expenses include personnel-related costs, including stock-based compensation, consulting costs, contract manufacturing costs and fees paid to clinical research organizations, or CROs, to conduct certain research and development activities on our behalf. We do not allocate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spacing w:after="0" w:line="53"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expect our research and development expenses to increase over the next few years as we pursue our development program, pursue regulatory approval of Haduvio in the United States and Europe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whether as a result of the COVID-19 pandemic or otherwise,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400"/>
        <w:spacing w:after="0" w:line="277" w:lineRule="auto"/>
        <w:rPr>
          <w:sz w:val="20"/>
          <w:szCs w:val="20"/>
          <w:color w:val="auto"/>
        </w:rPr>
      </w:pPr>
      <w:r>
        <w:rPr>
          <w:rFonts w:ascii="Arial" w:cs="Arial" w:eastAsia="Arial" w:hAnsi="Arial"/>
          <w:sz w:val="18"/>
          <w:szCs w:val="18"/>
          <w:color w:val="auto"/>
        </w:rPr>
        <w:t>we could be required to expend significant additional financial resources and time on our development program. Furthermore, we are unable to predict when or if Haduvio will receive regulatory approval in the United States or elsewhere with any certainty.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76" w:lineRule="exact"/>
        <w:rPr>
          <w:sz w:val="20"/>
          <w:szCs w:val="20"/>
          <w:color w:val="auto"/>
        </w:rPr>
      </w:pPr>
    </w:p>
    <w:p>
      <w:pPr>
        <w:ind w:right="1060" w:firstLine="510"/>
        <w:spacing w:after="0" w:line="277"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and expanded infrastructure.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In August 2020, we entered into the SVB Loan Agreement under which we borrowed $14.0 million under a term loan, or the SVB Term Loan. In connection with the SVB Term Loan, we recognize interest expense which includes amortization of deferred financing charges, accretion of loan discount-financing costs, accrual of the final payment fee, amortization of the term loan discount-interest and the stated interest on the SVB Term Loan. The SVB Term Loan bears interest at a floating rate per annum equal to the greater of (A) the prime rate plus 1.00% and (B) 4.25%. If Silicon Valley Bank receives evidence satisfactory to it that we have (i) received positive data for the Phase 2b/3 PRISM trial sufficient to advance Haduvio into a second Phase 3 clinical trial for chronic pruritus associated with prurigo nodularis, and (ii) raised sufficient financing to fund such Phase 3 clinical trial and our operations, which we refer to together as the Phase 3 Event, the interest rate under the SVB Term Loan will be adjusted to a floating rate equal to the greater of (A) the prime rate plus 3.00% and (B) 6.25%. The SVB Term Loan requires interest-only payments until March 2022. We will then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 in Fair Value of Term Loan Derivative Liability</w:t>
      </w:r>
    </w:p>
    <w:p>
      <w:pPr>
        <w:spacing w:after="0" w:line="117"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 xml:space="preserve">In connection with the SVB Term Loan, upon the occurrence of the Phase 3 Event, the interest rate on the SVB Term Loan will increase by 2.00%. This contingent interest rate increase represents a free-standing financial instrument. Accordingly, we accounted for the contingent interest rate increase as a derivative under Accounting Standards Codification, or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and therefore, we recorded a term loan derivative liability for the contingent interest rate increase at its fair value. We adjust this liability to fair value at each reporting date it remains outstanding. We recognized changes in the fair value of this term loan derivative in our statements of operations as a component of other (expense) income, net.</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from money market funds on our cash and cash equivalents.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8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5,589</w:t>
            </w:r>
          </w:p>
        </w:tc>
        <w:tc>
          <w:tcPr>
            <w:tcW w:w="2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6,019</w:t>
            </w:r>
          </w:p>
        </w:tc>
        <w:tc>
          <w:tcPr>
            <w:tcW w:w="160" w:type="dxa"/>
            <w:vAlign w:val="bottom"/>
          </w:tcPr>
          <w:p>
            <w:pPr>
              <w:spacing w:after="0"/>
              <w:rPr>
                <w:sz w:val="19"/>
                <w:szCs w:val="19"/>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86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8,089</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(8,089)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Other (expense) income:</w:t>
            </w:r>
          </w:p>
        </w:tc>
        <w:tc>
          <w:tcPr>
            <w:tcW w:w="1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1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 income, net</w:t>
            </w:r>
          </w:p>
        </w:tc>
        <w:tc>
          <w:tcPr>
            <w:tcW w:w="186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benefit</w:t>
            </w:r>
          </w:p>
        </w:tc>
        <w:tc>
          <w:tcPr>
            <w:tcW w:w="1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(8,386)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8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(8,371)</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60" w:type="dxa"/>
            <w:vAlign w:val="bottom"/>
            <w:vMerge w:val="restart"/>
          </w:tcPr>
          <w:p>
            <w:pPr>
              <w:jc w:val="right"/>
              <w:ind w:right="830"/>
              <w:spacing w:after="0"/>
              <w:rPr>
                <w:sz w:val="20"/>
                <w:szCs w:val="20"/>
                <w:color w:val="auto"/>
              </w:rPr>
            </w:pPr>
            <w:r>
              <w:rPr>
                <w:rFonts w:ascii="Arial" w:cs="Arial" w:eastAsia="Arial" w:hAnsi="Arial"/>
                <w:sz w:val="18"/>
                <w:szCs w:val="18"/>
                <w:color w:val="auto"/>
              </w:rPr>
              <w:t>21</w:t>
            </w: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129"/>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Clinical development expenses</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3,811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1,176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Consulting expenses and professional fees</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5,589</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Research and development expenses for the three months ended March 31, 2021 decreased to $5.6 million from $6.0 million for the corresponding period in 2020, primarily due to a decrease in clinical development expenses related to decreased purchases of clinical trial supplies and decreased expenses reflecting the completion of our Phase 1b clinical trial in patients with chronic liver disease in the first half of 2020. These decreased clinical development expenses were partially offset by increased costs associated with increased activity and enrollment in our ongoing Phase 2b/3 PRISM trial. The decrease in clinical development expenses was partially offset by an increase in personnel-related expenses as a result of an increase in our employee headcount, as well as an increase in consulting and professional fees. For the periods presented, all of our research and development expenses related to our development activity for Haduvio.</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General and administrative expenses for the three months ended March 31, 2021 decreased to $2.5 million from $2.6 million for the corresponding period in 2020. The decrease was primarily due to a decrease in stock-based compensation expense.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Other (expense) income, net for the three months ended March 31, 2021 was an expense of $0.3 million compared to income of $0.2 million for the corresponding period in 2020. This increase in expense was due to a decrease in interest income of $0.2 million, primarily due to lower market interest rates and a $0.3 million increase in interest expense due to interest expense on the SVB Term Loan recognized with no comparable expense recognized in the corresponding period in 2020.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80" w:firstLine="510"/>
        <w:spacing w:after="0" w:line="296"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our prior term loan with Solar Capital, Ltd. and Square 1 Bank, which we refer to as the Solar Term Loan. From inception to our IPO, we raised an aggregate of $102.2 million in gross proceeds from sales of our preferred stock and convertible notes and borrowed $15.0 million under the Solar Term Loan. As of June 30, 2018, all amounts owed under the Solar Term Loan had been paid in full.</w:t>
      </w:r>
    </w:p>
    <w:p>
      <w:pPr>
        <w:spacing w:after="0" w:line="53" w:lineRule="exact"/>
        <w:rPr>
          <w:sz w:val="20"/>
          <w:szCs w:val="20"/>
          <w:color w:val="auto"/>
        </w:rPr>
      </w:pPr>
    </w:p>
    <w:p>
      <w:pPr>
        <w:ind w:right="460" w:firstLine="510"/>
        <w:spacing w:after="0" w:line="286" w:lineRule="auto"/>
        <w:rPr>
          <w:sz w:val="20"/>
          <w:szCs w:val="20"/>
          <w:color w:val="auto"/>
        </w:rPr>
      </w:pPr>
      <w:r>
        <w:rPr>
          <w:rFonts w:ascii="Arial" w:cs="Arial" w:eastAsia="Arial" w:hAnsi="Arial"/>
          <w:sz w:val="17"/>
          <w:szCs w:val="17"/>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5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June 2020, we entered into the ATM Sales Agreement, under which we may issue and sell shares of common stock, from time to time, having an aggregate offering price of up to $12.0 million. Sales of common stock under the ATM Sales Agreement may be made by any method that is deemed an “at the market” offering as defined in Rule 415(a)(4) under the Securities Act of 1933, as amended. We are not obligated to make any sales of our common stock under the ATM Sales Agreement. We began making sales pursuant to the ATM Sales Agreement in July 2020, and as of March 31, 2021 we had issued and sold an aggregate of 2,055,497 shares of common stock for gross proceeds of $7.6 million, before deducting estimated commissions and allocated fees of $0.5 million.</w:t>
      </w:r>
    </w:p>
    <w:p>
      <w:pPr>
        <w:spacing w:after="0" w:line="8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August 2020, we entered into the SVB Loan Agreement, with Silicon Valley Bank, as lender, or SVB, pursuant to which SVB provided the SVB Term Loan in the original principal amount of $14.0 million. The proceeds from the SVB Term Loan may be used by us for working capital and general corporate purposes. The SVB Term Loan bears interest at a floating rate per annum equal to the greater of (A) the prime rate plus 1.00% and (B) 4.25%. If SVB receives evidence satisfactory to it that we have (i) received positive data for the Phase 2b/3 PRISM trial, sufficient to advance Haduvio into a second Phase 3 clinical trial for prurigo nodularis, and (ii) raised sufficient financing to fund such Phase 3 clinical trial and our operations, the interest rate under the SVB Term Loan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ind w:right="140"/>
        <w:spacing w:after="0" w:line="285" w:lineRule="auto"/>
        <w:rPr>
          <w:sz w:val="20"/>
          <w:szCs w:val="20"/>
          <w:color w:val="auto"/>
        </w:rPr>
      </w:pPr>
      <w:r>
        <w:rPr>
          <w:rFonts w:ascii="Arial" w:cs="Arial" w:eastAsia="Arial" w:hAnsi="Arial"/>
          <w:sz w:val="16"/>
          <w:szCs w:val="16"/>
          <w:color w:val="auto"/>
        </w:rPr>
        <w:t>will be adjusted to a floating rate equal to the greater of (A) the prime rate plus 3.00% and (B) 6.25%. On the first business day of each month, we are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date on which we entered into the SVB Term Loan, or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will be required to pay a final payment fee equal to $1.2 million. The SVB Term Loan and related obligations under the SVB Loan Agreement are secured by substantially all of our properties, rights and assets, except for our intellectual property (which is subject to a negative pledge under the SVB Loan Agreement). If we fail to meet certain equity raise requirements under the SVB Loan Agreement, including raising $12.0 million by June 30, 2021, we will be required to deposit unrestricted and unencumbered cash equal to 100% of the principal amount of the SVB Term Loan then outstanding in a cash collateral account with SVB, which can be used by SVB to prepay the SVB Term Loan at any time.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w:t>
      </w:r>
    </w:p>
    <w:p>
      <w:pPr>
        <w:spacing w:after="0" w:line="63"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As of March 31, 2021, we had cash and cash equivalents of $41.6 million. Our cash and cash equivalents are primarily held in money market accounts.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 below (in thousands):</w:t>
      </w:r>
    </w:p>
    <w:p>
      <w:pPr>
        <w:spacing w:after="0" w:line="257"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-3175</wp:posOffset>
            </wp:positionV>
            <wp:extent cx="21431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(7,578)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4,147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decrease in cash and cash equivalents</w:t>
            </w:r>
          </w:p>
        </w:tc>
        <w:tc>
          <w:tcPr>
            <w:tcW w:w="980" w:type="dxa"/>
            <w:vAlign w:val="bottom"/>
            <w:tcBorders>
              <w:top w:val="single" w:sz="8" w:color="auto"/>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(3,431)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0" w:firstLine="510"/>
        <w:spacing w:after="0" w:line="287" w:lineRule="auto"/>
        <w:rPr>
          <w:sz w:val="20"/>
          <w:szCs w:val="20"/>
          <w:color w:val="auto"/>
        </w:rPr>
      </w:pPr>
      <w:r>
        <w:rPr>
          <w:rFonts w:ascii="Arial" w:cs="Arial" w:eastAsia="Arial" w:hAnsi="Arial"/>
          <w:sz w:val="16"/>
          <w:szCs w:val="16"/>
          <w:color w:val="auto"/>
        </w:rPr>
        <w:t>During the three months ended March 31, 2021, operating activities used $7.6 million of cash, resulting from our net loss of $8.4 million and changes in our operating assets and liabilities of $0.1 million, net, partially offset by non-cash charges of $0.9 million. The non-cash charges consisted primarily of stock-based compensation expense of $0.7 million and $0.1 million of accretion/accrual of term loan discounts and debt issuance</w:t>
      </w:r>
    </w:p>
    <w:p>
      <w:pPr>
        <w:spacing w:after="0" w:line="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costs. Changes in our operating assets and liabilities consisted of a $1.2 million decrease in accounts payable, a $0.7 million decrease in prepaid expenses and other current assets and a $0.4 million increase in accrued expenses. The decrease in accounts payable was primarily due to the timing of vendor invoices. The decrease in prepaid expenses and other current assets was primarily due to a decrease in prepayments of our corporate insurance policies and our research, development and clinical trial work performed by our CROs and other vendors. The increase in accrued expenses was primarily due to increased accruals for research, development and clinical trial work performed by our CROs, partially offset by a decrease in accrued compensation and benefits.</w:t>
      </w:r>
    </w:p>
    <w:p>
      <w:pPr>
        <w:spacing w:after="0" w:line="82"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During the three months ended March 31, 2020, operating activities used $4.7 million of cash, resulting from our net loss of $8.5 million, partially offset by changes in our operating assets and liabilities of $3.1 million and non-cash charges of $0.7 million. The non-cash charges consisted primarily of stock-based compensation expense of $0.7 million. Changes in our operating assets and liabilities consisted of a $1.4 million increase in accrued expenses, a $0.6 million increase in accounts payable, a $1.1 million decrease in prepaid expenses and other current assets. The increase in accrued expenses was primarily due to increases in accruals related to our Phase 2b/3 PRISM trial and our Phase 2 CANAL trial. The increase in accounts payable was primarily due to timing of vendor invoices. The decrease in prepaid expenses and other current assets was primarily due to a decrease in prepayments of our insurance, a decrease of prepayments under our ongoing research, development and clinical trial work performed by CROs and a decrease in other current assets for payments made to one of our vendors, which we received in the first quarter of 2020.</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2021 and 2020, no cash was provided by or used in investing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three months ended March 31, 2021, net cash provided by financing activities was $4.1 million, consisting of gross cash proceeds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$4.4 million from sales of our common stock under the ATM Sales Agreement, before deducting estimated commissions and allocated fees of $0.3 million.</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2020, no cash was provided by or used in financing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including as a result of the increase in the target number of patients to be enrolled from 240 to 360 based on the SSRE analysis, the additional Phase 3 clinical trial we believe we will need to conduct to support the submission of an NDA to the FDA and a marketing authorization application to the EMA for Haduvio for the treatment of pruritus associated with prurigo nodularis, our ongoing Phase 2 CANAL trial, the costs of commercialization activities, including manufacturing capabilities, for Haduvio and other development activities including potentially commencing Phase 2 clinical trials for the treatment of LID in patients with Parkinson’s disease. In addition, we have incurred and may continue to incur additional expenses as a result of COVID-19 and resulting clinical trial delays and interruptions. Furthermore, we expect to continue to incur additional costs associated with operating as a public company, including significant legal, accounting, investor relations and other expenses.</w:t>
      </w:r>
    </w:p>
    <w:p>
      <w:pPr>
        <w:spacing w:after="0" w:line="73"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We will need substantial additional funding to support our continuing operations and pursue our growth strategy.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63" w:lineRule="exact"/>
        <w:rPr>
          <w:sz w:val="20"/>
          <w:szCs w:val="20"/>
          <w:color w:val="auto"/>
        </w:rPr>
      </w:pPr>
    </w:p>
    <w:p>
      <w:pPr>
        <w:jc w:val="both"/>
        <w:ind w:left="880" w:right="40" w:hanging="373"/>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Haduvio for the treatment of pruritus associated with prurigo nodularis, as well as the scope, progress, timing, costs and results of clinical trials of Haduvio for other serious neurologically mediated conditions, including our ongoing Phase 2 CANAL trial, as well as any future product candidates;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impacts of the COVID-19 pandemic on the scope, progress, timing, costs and results of our ongoing and planned clinical trials of Haduvio;</w:t>
      </w:r>
    </w:p>
    <w:p>
      <w:pPr>
        <w:spacing w:after="0" w:line="167" w:lineRule="exact"/>
        <w:rPr>
          <w:rFonts w:ascii="Arial" w:cs="Arial" w:eastAsia="Arial" w:hAnsi="Arial"/>
          <w:sz w:val="16"/>
          <w:szCs w:val="16"/>
          <w:color w:val="auto"/>
        </w:rPr>
      </w:pPr>
    </w:p>
    <w:p>
      <w:pPr>
        <w:ind w:left="880" w:right="44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timing and costs of clinical and nonclinical trials and of seeking regulatory approvals, including the costs of supportive clinical studies such as our planned human abuse liability study and a potential Thorough QT study;</w:t>
      </w:r>
    </w:p>
    <w:p>
      <w:pPr>
        <w:spacing w:after="0" w:line="62"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Haduvio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commercialization activities for Haduvio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880" w:right="180" w:hanging="373"/>
        <w:spacing w:after="0" w:line="308"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subject to receipt of marketing approvals, revenue, if any, received from commercial sales of Haduvio for the treatment of pruritus associated with prurigo nodularis or for any other serious neurologically mediated conditions or from any future product candidates;</w:t>
      </w:r>
    </w:p>
    <w:p>
      <w:pPr>
        <w:spacing w:after="0" w:line="38" w:lineRule="exact"/>
        <w:rPr>
          <w:rFonts w:ascii="Arial" w:cs="Arial" w:eastAsia="Arial" w:hAnsi="Arial"/>
          <w:sz w:val="17"/>
          <w:szCs w:val="17"/>
          <w:color w:val="auto"/>
        </w:rPr>
      </w:pPr>
    </w:p>
    <w:p>
      <w:pPr>
        <w:ind w:left="880" w:right="540" w:hanging="373"/>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Haduvio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67" w:lineRule="exact"/>
        <w:rPr>
          <w:rFonts w:ascii="Arial" w:cs="Arial" w:eastAsia="Arial" w:hAnsi="Arial"/>
          <w:sz w:val="16"/>
          <w:szCs w:val="16"/>
          <w:color w:val="auto"/>
        </w:rPr>
      </w:pPr>
    </w:p>
    <w:p>
      <w:pPr>
        <w:ind w:left="880" w:right="32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44"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into the second quarter of 2022.</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w:t>
      </w:r>
    </w:p>
    <w:p>
      <w:pPr>
        <w:spacing w:after="0" w:line="79"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do not have any committed external source of funds. Accordingly, we will be required to obtain further funding through public or private equity offerings, debt financings, collaborations and licensing arrangements or other sources to complete the clinical development and commercialization of Haduvio for pruritus associated with prurigo nodularis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For example, in connection with the SVB Term Loan, we granted a security interest on all of our assets, excluding our intellectual property, agreed to a negative pledge on our intellectual property, agreed to restrictive covenants including, subject to certain exceptions, covenants that prohibit us from transferring all or any part of our business or property, changing our business, liquidating or dissolving, merging with or acquiring another entity, entering into a transaction that will result in a change in control, incurring additional indebtedness, creating any lien on our property, paying dividends or redeeming stock, making payments on subordinated debt or entering into material transactions with affiliates, and agreed to cash collateralize the SVB Term Loan in certain circumstances. 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or additional equity that we raise may contain terms that could adversely affect our common stockholders.</w:t>
      </w:r>
    </w:p>
    <w:p>
      <w:pPr>
        <w:spacing w:after="0" w:line="59"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4"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We believe that the following critical accounting policies are most important to understanding and evaluating our reported financial results: research and development expense; stock-based compensation expense; income tax; and fair value measurements. Our critical accounting policies are described in the notes to the consolidated financial statements and under the heading “Management’s Discussion and Analysis of Financial Condition and Results of Operations—Critical Accounting Policies and Use of Estimates” in our Annual Report on Form 10-K for the year ended December 31, 2020. During the three months ended March 31, 2021, there were no material changes to our critical accounting policies.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 See Note 11 to our Condensed Consolidated Financial Statements included elsewhere in this Quarterly Report on Form 10-Q for discussion regarding our commitments and contingent commitments.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On January 1, 2021, we adopted Accounting Standards Update No. 2019-12-</w:t>
      </w:r>
      <w:r>
        <w:rPr>
          <w:rFonts w:ascii="Arial" w:cs="Arial" w:eastAsia="Arial" w:hAnsi="Arial"/>
          <w:sz w:val="18"/>
          <w:szCs w:val="18"/>
          <w:i w:val="1"/>
          <w:iCs w:val="1"/>
          <w:color w:val="auto"/>
        </w:rPr>
        <w:t>Income Taxes (Topic 740)</w:t>
      </w:r>
      <w:r>
        <w:rPr>
          <w:rFonts w:ascii="Arial" w:cs="Arial" w:eastAsia="Arial" w:hAnsi="Arial"/>
          <w:sz w:val="18"/>
          <w:szCs w:val="18"/>
          <w:color w:val="auto"/>
        </w:rPr>
        <w:t>, which simplifies the accounting for income taxes. The adoption of the new guidance did not affect our Condensed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There have been no new accounting pronouncements during the three months ended March 31, 2021 which could be expected to materially impact our unaudited Condensed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management, with the participation of our Chief Executive Officer in her capacity as our principal executive officer and principal financial officer, evaluated the effectiveness of our disclosure controls and procedures as defined in Rules 13a-15(e) and 15d-15(e) under the Securities Exchange Act of 1934, as amended (the “Exchange Act”), as of March 31, 2021. Our disclosure controls and procedures are designed to ensure that information we are required to disclose in the reports we file or submit under the Exchange Act is accumulated and communicated to our management, including our Chief Executive Officer in her capacity as our principal executive officer and principal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2021, our management with the participation of our Chief Executive Officer in her capacity as our principal executive officer and principal financial officer, concluded that, as of such date, our disclosure controls and procedures were effective at the reasonable assurance level.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March 31, 2021 that has materially affected, or is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subject to any material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40"/>
        <w:spacing w:after="0" w:line="327" w:lineRule="auto"/>
        <w:rPr>
          <w:sz w:val="20"/>
          <w:szCs w:val="20"/>
          <w:color w:val="auto"/>
        </w:rPr>
      </w:pPr>
      <w:r>
        <w:rPr>
          <w:rFonts w:ascii="Arial" w:cs="Arial" w:eastAsia="Arial" w:hAnsi="Arial"/>
          <w:sz w:val="15"/>
          <w:szCs w:val="15"/>
          <w:b w:val="1"/>
          <w:bCs w:val="1"/>
          <w:i w:val="1"/>
          <w:iCs w:val="1"/>
          <w:color w:val="auto"/>
        </w:rPr>
        <w:t>We face risks related to health epidemics and other widespread outbreaks of contagious disease, including the novel coronavirus pandemic, or COVID-19, which has delayed our ability to complete our ongoing clinical trials, disrupted our business operations and may further delay our clinical trials, interrupt our supply chain, disrupt regulatory activities, or have other adverse effects on our business and operations. In addition, this pandemic has caused substantial disruption in the financial markets and economies worldwide, which could result in adverse effects on our business and operations.</w:t>
      </w:r>
    </w:p>
    <w:p>
      <w:pPr>
        <w:spacing w:after="0" w:line="3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Significant outbreaks of contagious diseases, such as the COVID-19 pandemic, and other adverse public health developments, could have a material impact on our business operations and operating results.</w:t>
      </w:r>
    </w:p>
    <w:p>
      <w:pPr>
        <w:spacing w:after="0" w:line="278"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COVID-19 pandemic and government measures taken in response thereto have also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example, in our ongoing Phase 2b/3 trial of Haduvio for the treatment of pruritus associated with prurigo nodularis, which we refer to as our Phase 2b/3 PRISM trial, new patient screening and most enrollment was temporarily halted in March 2020 due to the COVID-19 pandemic. After resuming screening and enrollment, multiple sites in the Phase 2b/3 PRISM trial have begun requiring remote monitoring of patient data. We also experienced slower recruitment activities in the Phase 2b/3 PRISM trial worldwide through the latter part of 2020 and the beginning of 2021 due to the resurgence of the COVID-19 pandemic. In addition, the clinical sites in our ongoing Phase 2 trial for chronic cough in patients with idiopathic pulmonary fibrosis, or IPF, which we refer to as the Phase 2 CANAL trial, suspended enrollment and treatment of patients in the trial due to the vulnerability of IPF patients to COVID-19 and as a result, we amended the protocol for the trial to reduce the number of in-person patient visits and procedures. While patient screening and enrollment for our Phase 2 CANAL trial resumed at certain clinical trial sites in the fourth quarter of 2020, all sites in the trial paused screening again in December 2020 in response to a shelter in place directive from the U.K. government. This directive expired in March 2021 and we expect the other COVID-19 related restrictions will continue to be lifted through June 2021, assuming the pandemic does not worsen in the United Kingdom. Initial screening activity has resumed at certain sites following the lifting of the shelter in place directive. However, we expect that some sites may take longer to resume their trial activity due to increased COVID-19 infection rates in the areas where they are located and that other sites may cease to participate in the trial entirely. We have decided not to pursue opening new clinical sites in Germany due to the estimated timing and cost to add these additional sites. Instead, in light of the easing of pandemic restrictions in the United Kingdom, we are focusing our efforts on the completion of enrollment in the Phase 2 CANAL trial in the United Kingdom. The COVID-19 pandemic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patients to enroll in trials at this time, or the inability of patients to comply with clinical trial protocols if quarantines or travel restrictions impede patient movement or interrupt healthcare services. The response to the COVID-19 pandemic may also redirect resources of regulators in a way that could adversely impact our ability to progress regulatory approvals and we may face impediments to regulatory meetings and approvals relating to our clinical trials due to measures intended to limit in-person interactions.</w:t>
      </w:r>
    </w:p>
    <w:p>
      <w:pPr>
        <w:spacing w:after="0" w:line="17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 In addition, we have taken temporary precautionary measures intended to help minimize the risk of the virus to our employees, including allowing employees to work remotely, suspending all non-essential travel worldwide for our employees and discouraging employee attendance at industry events, each of which could negatively affect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right="20" w:firstLine="510"/>
        <w:spacing w:after="0" w:line="257" w:lineRule="auto"/>
        <w:rPr>
          <w:sz w:val="20"/>
          <w:szCs w:val="20"/>
          <w:color w:val="auto"/>
        </w:rPr>
      </w:pPr>
      <w:r>
        <w:rPr>
          <w:rFonts w:ascii="Arial" w:cs="Arial" w:eastAsia="Arial" w:hAnsi="Arial"/>
          <w:sz w:val="18"/>
          <w:szCs w:val="18"/>
          <w:color w:val="auto"/>
        </w:rPr>
        <w:t>We cannot presently predict the scope and severity of the disruptions we may experience or continue to experience as a result of the COVID-19 pandemic. If we or any of the third parties with whom we engage experience business disruptions, our ability to conduct our business in the manner and on the timelines presently planned could be materially and negatively affected. Additionally, the pandemic has already caused significant disruptions in the financial markets, and may continue to cause such disruptions, which could impact our ability to raise additional funds and has also impacted, and may continue to impact, the volatility of our stock price and trading in our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have incurred significant annual net losses every year since our inception. We expect to continue to incur significant and increasing net losses for at least the next several years. Our net losses were $8.4 million and $32.8 million for the three months ended March 31, 2021 and for the year ended December 31, 2020, respectively. As of March 31, 2021, we had an accumulated deficit of $155.3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borrowings under our prior term loan facility, proceeds from our initial public offering and concurrent private placement completed in May 2019, sales of our common stock pursuant to the ATM Sales Agreement we entered into in June 2020, which we refer to as the ATM Sales Agreement, and the term loan facility with Silicon Valley Bank that we entered into in August 2020, which we refer to as the SVB Term Loan. We have devoted substantially all of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18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62" w:lineRule="exact"/>
        <w:rPr>
          <w:sz w:val="20"/>
          <w:szCs w:val="20"/>
          <w:color w:val="auto"/>
        </w:rPr>
      </w:pPr>
    </w:p>
    <w:p>
      <w:pPr>
        <w:ind w:left="880" w:right="200" w:hanging="373"/>
        <w:spacing w:after="0" w:line="308"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develop and conduct clinical trials of Haduvio, including our ongoing Phase 2b/3 PRISM trial and our ongoing Phase 2 CANAL trial;</w:t>
      </w:r>
    </w:p>
    <w:p>
      <w:pPr>
        <w:spacing w:after="0" w:line="35"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significantly increase the number of subjects in the Phase 2b/3 PRISM trial to a total of 360 patients based on the sample size re-estimation, or SSRE, analysis;</w:t>
      </w:r>
    </w:p>
    <w:p>
      <w:pPr>
        <w:spacing w:after="0" w:line="62" w:lineRule="exact"/>
        <w:rPr>
          <w:rFonts w:ascii="Arial" w:cs="Arial" w:eastAsia="Arial" w:hAnsi="Arial"/>
          <w:sz w:val="18"/>
          <w:szCs w:val="18"/>
          <w:color w:val="auto"/>
        </w:rPr>
      </w:pPr>
    </w:p>
    <w:p>
      <w:pPr>
        <w:ind w:left="880" w:right="140" w:hanging="373"/>
        <w:spacing w:after="0" w:line="259"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 other development work required for the filing of a new drug application, or NDA, with the U.S. Food and Drug Administration, or FDA, and the filing of a marketing authorization application, or MAA, with the European Medicines Agency, or EMA, for Haduvio for the treatment of pruritus associated with prurigo nodularis, including completing our Phase 2b/3 PRISM trial and at least one additional Phase 3 clinical trial in this indication;</w:t>
      </w:r>
    </w:p>
    <w:p>
      <w:pPr>
        <w:spacing w:after="0" w:line="78" w:lineRule="exact"/>
        <w:rPr>
          <w:rFonts w:ascii="Arial" w:cs="Arial" w:eastAsia="Arial" w:hAnsi="Arial"/>
          <w:sz w:val="18"/>
          <w:szCs w:val="18"/>
          <w:color w:val="auto"/>
        </w:rPr>
      </w:pPr>
    </w:p>
    <w:p>
      <w:pPr>
        <w:ind w:left="880" w:right="560" w:hanging="373"/>
        <w:spacing w:after="0" w:line="308"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seek regulatory and marketing approvals for Haduvio for the treatment of pruritus associated with prurigo nodularis or for other serious neurologically mediated conditions or for any future product candidate that successfully completes clinical trials, if any;</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negotiate and execute pediatric development plans and complete any post-approval commitments;</w:t>
      </w:r>
    </w:p>
    <w:p>
      <w:pPr>
        <w:spacing w:after="0" w:line="117"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to commercialize any products for which we may obtain marketing approval;</w:t>
      </w:r>
    </w:p>
    <w:p>
      <w:pPr>
        <w:spacing w:after="0" w:line="62" w:lineRule="exact"/>
        <w:rPr>
          <w:rFonts w:ascii="Arial" w:cs="Arial" w:eastAsia="Arial" w:hAnsi="Arial"/>
          <w:sz w:val="18"/>
          <w:szCs w:val="18"/>
          <w:color w:val="auto"/>
        </w:rPr>
      </w:pPr>
    </w:p>
    <w:p>
      <w:pPr>
        <w:ind w:left="880" w:right="104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the manufacture of larger quantities of Haduvio or any future product candidate for clinical development and, potentially, commercialization;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or in-license rights to other potential product candidates or technologies;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initiate and conduct research, preclinical and clinical development efforts for any future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regulatory and scientific personnel;</w:t>
      </w:r>
    </w:p>
    <w:p>
      <w:pPr>
        <w:spacing w:after="0" w:line="144"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add equipment and physical infrastructure to support our development program for Haduvio and for any future product candidates.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3" w:name="page34"/>
    <w:bookmarkEnd w:id="33"/>
    <w:p>
      <w:pPr>
        <w:ind w:right="40" w:firstLine="510"/>
        <w:spacing w:after="0" w:line="286" w:lineRule="auto"/>
        <w:rPr>
          <w:sz w:val="20"/>
          <w:szCs w:val="20"/>
          <w:color w:val="auto"/>
        </w:rPr>
      </w:pPr>
      <w:r>
        <w:rPr>
          <w:rFonts w:ascii="Arial" w:cs="Arial" w:eastAsia="Arial" w:hAnsi="Arial"/>
          <w:sz w:val="16"/>
          <w:szCs w:val="16"/>
          <w:color w:val="auto"/>
        </w:rPr>
        <w:t>In addition, we may incur additional expenses as a result of the COVID-19 pandemic and resulting clinical trial delays and interruptions. 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pruritus associated with prurigo nodularis, we will be required, at a minimum, to successfully complete our ongoing Phase 2b/3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2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 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95"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We may encounter unforeseen expenses, difficulties, complications, delays and other known or unknown factors in achieving our business objectives. If we are able to obtain marketing approval for Haduvio or any future product candidate, we will need to transition from a company focused on clinical development to a company capable of supporting commercial activities. We may not be successful in effectuating such a transition.</w:t>
      </w:r>
    </w:p>
    <w:p>
      <w:pPr>
        <w:spacing w:after="0" w:line="149"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identified conditions and events that raise substantial doubt about our ability to continue as a going concern.</w:t>
      </w:r>
    </w:p>
    <w:p>
      <w:pPr>
        <w:spacing w:after="0" w:line="225"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We believe there is substantial doubt about our ability to continue as a going concern as of the date of this Quarterly Report on Form 10-Q without additional capital. See Note 1 to our financial statements appearing elsewhere in this Quarterly Report on Form 10-Q for additional information on our assessment. We plan to address this condition through the sale of common stock in public offerings and/or private placements, debt financings or other capital sources, including collaborations with other companies or other strategic transactions. If we are unable to obtain such funding and continue as a going concern, we might have to liquidate our assets and the values we receive for our assets in liquidation or dissolution could be significantly lower than the values reflected in our financial statements. Our lack of cash resources and our conclusion that we may be unable to continue as a going concern may materially adversely affect our share price and our ability to raise new capital or to enter into critical contractual relationships with third parties.</w:t>
      </w:r>
    </w:p>
    <w:p>
      <w:pPr>
        <w:spacing w:after="0" w:line="2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three months ended March 31, 2021 and the year ended December 31, 2020, we used net cash of $7.6 million and $29.0 million, respectively, in our operating activities, substantially all of which related to development activities for Haduvio. As of March 31, 2021, our cash and cash equivalents were $41.6 million. We expect our expenses to increase substantially in connection with our ongoing activities, particularly as we continue to develop and conduct clinical trials of Haduvio, including our ongoing Phase 2b/3 PRISM trial and the additional Phase 3 clinical trial we believe we will need to conduct for Haduvio for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spacing w:after="0" w:line="253" w:lineRule="auto"/>
        <w:rPr>
          <w:sz w:val="20"/>
          <w:szCs w:val="20"/>
          <w:color w:val="auto"/>
        </w:rPr>
      </w:pPr>
      <w:r>
        <w:rPr>
          <w:rFonts w:ascii="Arial" w:cs="Arial" w:eastAsia="Arial" w:hAnsi="Arial"/>
          <w:sz w:val="18"/>
          <w:szCs w:val="18"/>
          <w:color w:val="auto"/>
        </w:rPr>
        <w:t>treatment of pruritus associated with prurigo nodularis and our other ongoing clinical trials, acquire or in-license rights to other potential product candidates or technologies and seek regulatory and marketing approvals for Haduvio or any future product candidate that successfully completes clinical trials, if any. In addition, we may incur additional expenses as a result of the COVID-19 pandemic and resulting clinical trial delays and interruptions. In addition, if we obtain marketing approval for Haduvio or any future product candidate, we may incur significant commercialization expenses related to product sales, marketing, manufacturing and distribution. For instance, we currently intend to commercialize Haduvio in the United States ourselves by developing a focused, specialty sales, marketing and distribution organization. Furthermore, we expect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196" w:lineRule="exact"/>
        <w:rPr>
          <w:sz w:val="20"/>
          <w:szCs w:val="20"/>
          <w:color w:val="auto"/>
        </w:rPr>
      </w:pPr>
    </w:p>
    <w:p>
      <w:pPr>
        <w:ind w:right="140" w:firstLine="510"/>
        <w:spacing w:after="0" w:line="290" w:lineRule="auto"/>
        <w:rPr>
          <w:sz w:val="20"/>
          <w:szCs w:val="20"/>
          <w:color w:val="auto"/>
        </w:rPr>
      </w:pPr>
      <w:r>
        <w:rPr>
          <w:rFonts w:ascii="Arial" w:cs="Arial" w:eastAsia="Arial" w:hAnsi="Arial"/>
          <w:sz w:val="16"/>
          <w:szCs w:val="16"/>
          <w:color w:val="auto"/>
        </w:rPr>
        <w:t>We plan to use our existing cash and cash equivalents to fund the development of Haduvio for the treatment of pruritus associated with prurigo nodularis and the treatment of chronic cough in patients with IPF and for working capital and other general corporate purposes. We will be required to expend significant funds in order to advance the development of Haduvio in multiple indications, as well as any future product candidates we may seek to develop. Our existing cash and cash equivalents will not be sufficient to complete development of Haduvio for the treatment of pruritus associated with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65"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into the second quarter of 2022. Our estimate as to how long we expect our existing cash and cash equivalents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84" w:lineRule="exact"/>
        <w:rPr>
          <w:sz w:val="20"/>
          <w:szCs w:val="20"/>
          <w:color w:val="auto"/>
        </w:rPr>
      </w:pPr>
    </w:p>
    <w:p>
      <w:pPr>
        <w:jc w:val="both"/>
        <w:ind w:left="880" w:right="40" w:hanging="373"/>
        <w:spacing w:after="0" w:line="279"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Haduvio for the treatment of pruritus associated with prurigo nodularis, as well as the scope, progress, timing, costs and results of clinical trials of Haduvio for other serious neurologically mediated conditions, including our ongoing Phase 2 CANAL trial, as well as any future product candidates;</w:t>
      </w:r>
    </w:p>
    <w:p>
      <w:pPr>
        <w:spacing w:after="0" w:line="61"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impacts of the COVID-19 pandemic on the scope, progress, timing, costs and results of our ongoing and planned clinical trials of Haduvio;</w:t>
      </w:r>
    </w:p>
    <w:p>
      <w:pPr>
        <w:spacing w:after="0" w:line="167" w:lineRule="exact"/>
        <w:rPr>
          <w:rFonts w:ascii="Arial" w:cs="Arial" w:eastAsia="Arial" w:hAnsi="Arial"/>
          <w:sz w:val="16"/>
          <w:szCs w:val="16"/>
          <w:color w:val="auto"/>
        </w:rPr>
      </w:pPr>
    </w:p>
    <w:p>
      <w:pPr>
        <w:ind w:left="880" w:right="44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18"/>
          <w:szCs w:val="18"/>
          <w:color w:val="auto"/>
        </w:rPr>
      </w:pPr>
    </w:p>
    <w:p>
      <w:pPr>
        <w:ind w:left="880" w:right="240" w:hanging="373"/>
        <w:spacing w:after="0" w:line="308"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outcome, timing and costs of clinical and nonclinical trials and of seeking regulatory approvals, including the costs of supportive clinical studies such as our planned human abuse liability, or HAL, study and a potential Thorough QT, or TQT, study;</w:t>
      </w:r>
    </w:p>
    <w:p>
      <w:pPr>
        <w:spacing w:after="0" w:line="38" w:lineRule="exact"/>
        <w:rPr>
          <w:rFonts w:ascii="Arial" w:cs="Arial" w:eastAsia="Arial" w:hAnsi="Arial"/>
          <w:sz w:val="17"/>
          <w:szCs w:val="17"/>
          <w:color w:val="auto"/>
        </w:rPr>
      </w:pPr>
    </w:p>
    <w:p>
      <w:pPr>
        <w:ind w:left="880" w:right="54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Haduvio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commercialization activities for Haduvio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880" w:right="180" w:hanging="373"/>
        <w:spacing w:after="0" w:line="308"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subject to receipt of marketing approvals, revenue, if any, received from commercial sales of Haduvio for the treatment of pruritus associated with prurigo nodularis or for any other serious neurologically mediated conditions or from any future product candidates;</w:t>
      </w:r>
    </w:p>
    <w:p>
      <w:pPr>
        <w:spacing w:after="0" w:line="38" w:lineRule="exact"/>
        <w:rPr>
          <w:rFonts w:ascii="Arial" w:cs="Arial" w:eastAsia="Arial" w:hAnsi="Arial"/>
          <w:sz w:val="17"/>
          <w:szCs w:val="17"/>
          <w:color w:val="auto"/>
        </w:rPr>
      </w:pPr>
    </w:p>
    <w:p>
      <w:pPr>
        <w:ind w:left="880" w:right="540" w:hanging="373"/>
        <w:spacing w:after="0" w:line="263"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Haduvio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left="880" w:right="32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 or restrict our future operations.</w:t>
      </w:r>
    </w:p>
    <w:p>
      <w:pPr>
        <w:spacing w:after="0" w:line="117" w:lineRule="exact"/>
        <w:rPr>
          <w:sz w:val="20"/>
          <w:szCs w:val="20"/>
          <w:color w:val="auto"/>
        </w:rPr>
      </w:pPr>
    </w:p>
    <w:p>
      <w:pPr>
        <w:ind w:right="40" w:firstLine="510"/>
        <w:spacing w:after="0" w:line="267" w:lineRule="auto"/>
        <w:rPr>
          <w:sz w:val="20"/>
          <w:szCs w:val="20"/>
          <w:color w:val="auto"/>
        </w:rPr>
      </w:pPr>
      <w:r>
        <w:rPr>
          <w:rFonts w:ascii="Arial" w:cs="Arial" w:eastAsia="Arial" w:hAnsi="Arial"/>
          <w:sz w:val="17"/>
          <w:szCs w:val="17"/>
          <w:color w:val="auto"/>
        </w:rPr>
        <w:t>On August 13, 2020, we entered into a Loan and Security Agreement, or the SVB Loan Agreement, with Silicon Valley Bank, or SVB, pursuant to which SVB provided a term loan to us in the original principal amount of $14.0 million. The SVB Term Loan bears interest at a floating rate per annum equal to the greater of (A) the prime rate plus 1.00% and (B) 4.25%. If SVB receives evidence satisfactory to it that the Company has (i) received positive data for the Phase 2b/3 PRISM trial sufficient to advance Haduvio into a second Phase 3 clinical trial for prurigo nodularis, and (ii) raised sufficient financing to fund such Phase 3 clinical trial and the Company’s operations, the interest rate under the SVB Term Loan will be adjusted to a floating rate equal to the greater of (A) the prime rate plus 3.00% and (B) 6.25%. On the first business day of each month we are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Our obligations under the Loan Agreement are secured by substantially all of our assets, excluding our intellectual property (which is subject to a negative pledge under the Loan Agreement). The SVB Loan Agreement also includes customary affirmative and negative covenants, including a requirement to maintain our bank accounts with SVB or bank accounts that are subject to SVB’s control and limitations on transferring all or any part of our business or property, changing our business, liquidating or dissolving, permitting a change in control, adding new offices or business locations, changing jurisdiction of organization, organizational structure or legal name, merging with or acquiring another entity, incurring additional indebtedness, creating any lien on our property, paying dividends or redeeming stock, entering into material transactions with an affiliate or making payments on subordinated debt. Additionally, if we fail to meet certain equity raise requirements under the SVB Loan Agreement, including raising $12.0 million by June 30, 2021, we will be required to deposit unrestricted and unencumbered cash equal to 100% of the principal amount of the SVB Term Loan then outstanding in a cash collateral account with SVB, which can be used by SVB to prepay the SVB Term Loan at any time.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Our debt combined with our other financial obligations and contractual commitments could have significant adverse consequences, including:</w:t>
      </w:r>
    </w:p>
    <w:p>
      <w:pPr>
        <w:spacing w:after="0" w:line="129" w:lineRule="exact"/>
        <w:rPr>
          <w:sz w:val="20"/>
          <w:szCs w:val="20"/>
          <w:color w:val="auto"/>
        </w:rPr>
      </w:pPr>
    </w:p>
    <w:p>
      <w:pPr>
        <w:ind w:left="880" w:right="80" w:hanging="373"/>
        <w:spacing w:after="0" w:line="301"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and cash equivalents to the payment of interest on, and principal of, our debt, or maintain a substantial portion of our cash and cash equivalents in cash collateral accounts controlled by our lenders to secure repayment of our debt (which may be used by our lenders to prepay the debt if certain requirements relating to raising equity are not met), which will reduce the amounts available to fund working capital, capital expenditures, product development efforts and other general corporate purposes;</w:t>
      </w:r>
    </w:p>
    <w:p>
      <w:pPr>
        <w:spacing w:after="0" w:line="49" w:lineRule="exact"/>
        <w:rPr>
          <w:rFonts w:ascii="Arial" w:cs="Arial" w:eastAsia="Arial" w:hAnsi="Arial"/>
          <w:sz w:val="16"/>
          <w:szCs w:val="16"/>
          <w:color w:val="auto"/>
        </w:rPr>
      </w:pPr>
    </w:p>
    <w:p>
      <w:pPr>
        <w:ind w:left="880" w:right="34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obligating us to negative covenants restricting our activities, including the negative covenants to which we are subject under the SVB Loan Agreement;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52"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We intend to satisfy our debt service obligations with our existing cash and cash equivalents and any additional amounts we may raise through future debt and equity financings. However, we may not have sufficient funds or may be unable to arrange for additional financing to pay the amounts due under our existing debt. Funds from external sources may not be available on acceptable terms, if at all. In addition, a failure to comply with certain equity raise requirements in the SVB Loan Agreement could result in us having to deposit unrestricted and unencumbered cash equal to 100% of the principal amount of the SVB Term Loan then outstanding in a cash collateral account with SVB, which can be used by SVB to prepay the SVB Term Loan at any time. Failure to pay any amount due under the SVB Loan Agreement, to comply with covenants under the SVB Loan Agreement, or the occurrence of an event that would reasonably be expected to have a material adverse effect on our business, operations, or condition (financial or otherwise), would result in an event of default. The occurrence and continuation of an event of default could cause interest to be charged at the rate that is otherwise applicable plus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 In addition, the covenants under the SVB Loan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120"/>
        <w:spacing w:after="0" w:line="277" w:lineRule="auto"/>
        <w:rPr>
          <w:sz w:val="20"/>
          <w:szCs w:val="20"/>
          <w:color w:val="auto"/>
        </w:rPr>
      </w:pPr>
      <w:r>
        <w:rPr>
          <w:rFonts w:ascii="Arial" w:cs="Arial" w:eastAsia="Arial" w:hAnsi="Arial"/>
          <w:sz w:val="18"/>
          <w:szCs w:val="18"/>
          <w:color w:val="auto"/>
        </w:rPr>
        <w:t>Agreement and the pledge of substantially all of our assets, excluding our intellectual property (which is subject to a negative pledge under the SVB Loan Agreement), as collateral on the SVB Term Loan may limit our ability to obtain additional debt financing.</w:t>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Raising additional capital may cause dilution to our stockholders, restrict our operations or require us to relinquish rights to our product candidates.</w:t>
      </w:r>
    </w:p>
    <w:p>
      <w:pPr>
        <w:spacing w:after="0" w:line="152"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We expect our expenses to increase substantially in connection with our planned operations, particularly as we conduct our ongoing Phase 2b/3 PRISM trial and our other ongoing clinical trials as well as the additional Phase 3 clinical trial we believe we will need to conduct for Haduvio for the treatment of pruritus associated with prurigo nodularis and develop Haduvio for the treatment of other serious neurologically mediated conditions.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spacing w:after="0" w:line="192"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Our ability to obtain further debt financing may be limited by the covenants under the SVB Loan Agreement, which include a covenant not to incur additional indebtedness as well as the pledge of substantially all of our assets, excluding our intellectual property (which is subject to a negative pledge under the SVB Loan Agreement), as collateral on the SVB Term Loan. In addition, further debt financing, if available, would result in additional fixed payment obligations and may involve agreements that include grants of additional security interests on our assets and additional restrictive covenants that limit our ability to take specific actions, such as incurring additional debt, making capital expenditures, granting liens over our assets, redeeming stock or declaring dividends, that could adversely impact our ability to conduct our business, which covenants may be more restrictive than the covenants to which we are subject under the SVB Loan Agreement.</w:t>
      </w:r>
    </w:p>
    <w:p>
      <w:pPr>
        <w:spacing w:after="0" w:line="17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Haduvio and Any Future Product Candidates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76"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We currently have no products approved for sale and are investing substantially all of our efforts and financial resources to fund the development of Haduvio for multiple serious neurologically mediated conditions.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spacing w:after="0" w:line="15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most advanced program is the development of Haduvio for the treatment of pruritus associated with prurigo nodularis, as our efforts to develop Haduvio for other serious neurologically mediated conditions are only at an early stage. As a result, if our efforts to develop and commercialize Haduvio for the treatment of pruritus associated with prurigo nodularis are unsuccessful, or we experience significant delays in doing so, our business could also be substantially harmed.</w:t>
      </w:r>
    </w:p>
    <w:p>
      <w:pPr>
        <w:spacing w:after="0" w:line="187"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The success of Haduvio for the treatment of pruritus associated with prurigo nodularis, as well as for other serious neurologically mediated conditions, will depend on several factors, including the following:</w:t>
      </w:r>
    </w:p>
    <w:p>
      <w:pPr>
        <w:spacing w:after="0" w:line="62" w:lineRule="exact"/>
        <w:rPr>
          <w:sz w:val="20"/>
          <w:szCs w:val="20"/>
          <w:color w:val="auto"/>
        </w:rPr>
      </w:pPr>
    </w:p>
    <w:p>
      <w:pPr>
        <w:ind w:left="88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recruiting, enrolling and retaining patients in and completing our Phase 2b/3 PRISM trial, including the additional 120 patients we intend to enroll based on the SSRE analysis;</w:t>
      </w:r>
    </w:p>
    <w:p>
      <w:pPr>
        <w:spacing w:after="0" w:line="62" w:lineRule="exact"/>
        <w:rPr>
          <w:rFonts w:ascii="Arial" w:cs="Arial" w:eastAsia="Arial" w:hAnsi="Arial"/>
          <w:sz w:val="18"/>
          <w:szCs w:val="18"/>
          <w:color w:val="auto"/>
        </w:rPr>
      </w:pPr>
    </w:p>
    <w:p>
      <w:pPr>
        <w:jc w:val="both"/>
        <w:ind w:left="880" w:right="80" w:hanging="373"/>
        <w:spacing w:after="0" w:line="286"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initiating and successfully recruiting, enrolling and retaining patients in and completing additional clinical and nonclinical trials, including the additional Phase 3 clinical trial we believe we will need to conduct for Haduvio for the treatment of pruritus associated with prurigo nodularis and other supportive clinical studies such as our planned HAL study and a potential TQT study;</w:t>
      </w:r>
    </w:p>
    <w:p>
      <w:pPr>
        <w:spacing w:after="0" w:line="57" w:lineRule="exact"/>
        <w:rPr>
          <w:rFonts w:ascii="Arial" w:cs="Arial" w:eastAsia="Arial" w:hAnsi="Arial"/>
          <w:sz w:val="17"/>
          <w:szCs w:val="17"/>
          <w:color w:val="auto"/>
        </w:rPr>
      </w:pPr>
    </w:p>
    <w:p>
      <w:pPr>
        <w:ind w:left="880" w:right="18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7" w:name="page38"/>
    <w:bookmarkEnd w:id="37"/>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maintaining arrangements with our third-party supplier of drug substance for Haduvio;</w:t>
      </w:r>
    </w:p>
    <w:p>
      <w:pPr>
        <w:spacing w:after="0" w:line="144" w:lineRule="exact"/>
        <w:rPr>
          <w:rFonts w:ascii="Arial" w:cs="Arial" w:eastAsia="Arial" w:hAnsi="Arial"/>
          <w:sz w:val="18"/>
          <w:szCs w:val="18"/>
          <w:color w:val="auto"/>
        </w:rPr>
      </w:pPr>
    </w:p>
    <w:p>
      <w:pPr>
        <w:ind w:left="880" w:right="400" w:hanging="373"/>
        <w:spacing w:after="0" w:line="308"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establishing and maintaining arrangements with third-party manufacturers of Haduvio, including developing, validating and maintaining a commercially viable manufacturing process that is compliant with current good manufacturing practices, or cGMPs;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obtaining, maintaining and protecting our patents, trade secrets and regulatory exclusivity in the United States and other countries;</w:t>
      </w:r>
    </w:p>
    <w:p>
      <w:pPr>
        <w:spacing w:after="0" w:line="155" w:lineRule="exact"/>
        <w:rPr>
          <w:rFonts w:ascii="Arial" w:cs="Arial" w:eastAsia="Arial" w:hAnsi="Arial"/>
          <w:sz w:val="17"/>
          <w:szCs w:val="17"/>
          <w:color w:val="auto"/>
        </w:rPr>
      </w:pPr>
    </w:p>
    <w:p>
      <w:pPr>
        <w:ind w:left="880" w:right="140" w:hanging="373"/>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 focused, specialty sales organization in the United States and successfully launching commercial sales following any marketing approval;</w:t>
      </w:r>
    </w:p>
    <w:p>
      <w:pPr>
        <w:spacing w:after="0" w:line="62"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commercial acceptance of our products, if approved, by patients, the medical community and third-party payors and obtaining and maintaining healthcare coverage and adequate reimbursement;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5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approach to the development and commercialization of Haduvio to treat serious neurologically mediated conditions is unproven.</w:t>
      </w:r>
    </w:p>
    <w:p>
      <w:pPr>
        <w:spacing w:after="0" w:line="129"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are currently focused on the development and commercialization of Haduvio to treat serious neurologically mediated conditions. Haduvio is an oral extended release formulation of nalbuphine, the active drug ingredient in Haduvio, which is a mixed κ-opioid receptor agonist and μ-opioid receptor antagonist that has been approved and marketed as an injectable for pain indications for more than 20 years in the United States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pruritus and other serious neurologically mediated conditions, and that Haduvio has the potential to be safe and well-tolerated, nalbuphine has not been approved in any indications other than pain. Additionally, Haduvio has not been approved in any indication, including the treatment of pruritus associated with prurigo nodularis, the lead indication for which we are pursuing clinical development of Haduvio. No therapies have been approved in the United States or Europe for the treatment of moderate to severe pruritus, and we can provide no assurance that either Haduvio or any other future product candidate that we may seek to develop for this indication or for any other serious neurologically mediated condition will be effective or safe, obtain regulatory approval or be commercially successful.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Foreign regulatory authorities, such as the EMA,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spacing w:after="0" w:line="18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spacing w:after="0" w:line="79"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 may produce unfavorable or inconclusive results;</w:t>
      </w:r>
    </w:p>
    <w:p>
      <w:pPr>
        <w:spacing w:after="0" w:line="144"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decide, or regulators may require us, to restructure clinical trials, conduct additional clinical and nonclinical trials or abandon product development programs;</w:t>
      </w:r>
    </w:p>
    <w:p>
      <w:pPr>
        <w:spacing w:after="0" w:line="62"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 such as with the increase of the target number of enrolled patients for our Phase 2b/3 PRISM trial from 240 to 360 subjects as a result of the SSRE analysis;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 w:name="page39"/>
    <w:bookmarkEnd w:id="38"/>
    <w:p>
      <w:pPr>
        <w:ind w:left="880" w:right="32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 enrollment in these clinical trials may be slower than we anticipate, whether as a result of the COVID-19 pandemic or otherwise, or participants may discontinue their participation in these clinical trials at a higher rate than we anticipate, as we experienced in our Phase 2 clinical trial of Haduvio for the treatment of pruritus associated with prurigo nodularis;</w:t>
      </w:r>
    </w:p>
    <w:p>
      <w:pPr>
        <w:spacing w:after="0" w:line="75" w:lineRule="exact"/>
        <w:rPr>
          <w:rFonts w:ascii="Arial" w:cs="Arial" w:eastAsia="Arial" w:hAnsi="Arial"/>
          <w:sz w:val="18"/>
          <w:szCs w:val="18"/>
          <w:color w:val="auto"/>
        </w:rPr>
      </w:pPr>
    </w:p>
    <w:p>
      <w:pPr>
        <w:ind w:left="880" w:right="280" w:hanging="373"/>
        <w:spacing w:after="0" w:line="311"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cost of planned clinical trials may be greater than we anticipate, as we have experienced in our Phase 2b/3 PRISM trial as we added additional sites, increased the target number of enrolled patients as a result of the SSRE analysis, enrollment has taken longer than expected and we have used and expect to continue to use additional incentive strategies to address site activation and enrollment;</w:t>
      </w:r>
    </w:p>
    <w:p>
      <w:pPr>
        <w:spacing w:after="0" w:line="40" w:lineRule="exact"/>
        <w:rPr>
          <w:rFonts w:ascii="Arial" w:cs="Arial" w:eastAsia="Arial" w:hAnsi="Arial"/>
          <w:sz w:val="16"/>
          <w:szCs w:val="16"/>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clinical trials sites may not have adequate staff and resources to support our trials on a timely basis;</w:t>
      </w:r>
    </w:p>
    <w:p>
      <w:pPr>
        <w:spacing w:after="0" w:line="144" w:lineRule="exact"/>
        <w:rPr>
          <w:rFonts w:ascii="Arial" w:cs="Arial" w:eastAsia="Arial" w:hAnsi="Arial"/>
          <w:sz w:val="18"/>
          <w:szCs w:val="18"/>
          <w:color w:val="auto"/>
        </w:rPr>
      </w:pPr>
    </w:p>
    <w:p>
      <w:pPr>
        <w:ind w:left="880" w:right="8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75"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spacing w:after="0" w:line="75" w:lineRule="exact"/>
        <w:rPr>
          <w:rFonts w:ascii="Arial" w:cs="Arial" w:eastAsia="Arial" w:hAnsi="Arial"/>
          <w:sz w:val="18"/>
          <w:szCs w:val="18"/>
          <w:color w:val="auto"/>
        </w:rPr>
      </w:pPr>
    </w:p>
    <w:p>
      <w:pPr>
        <w:ind w:left="880" w:right="340" w:hanging="373"/>
        <w:spacing w:after="0" w:line="308"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38" w:lineRule="exact"/>
        <w:rPr>
          <w:rFonts w:ascii="Arial" w:cs="Arial" w:eastAsia="Arial" w:hAnsi="Arial"/>
          <w:sz w:val="17"/>
          <w:szCs w:val="17"/>
          <w:color w:val="auto"/>
        </w:rPr>
      </w:pPr>
    </w:p>
    <w:p>
      <w:pPr>
        <w:ind w:left="880" w:hanging="373"/>
        <w:spacing w:after="0" w:line="259"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8"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clinical trial designs or our interpretation of data from preclinical studies and clinical trials;</w:t>
      </w:r>
    </w:p>
    <w:p>
      <w:pPr>
        <w:spacing w:after="0" w:line="62" w:lineRule="exact"/>
        <w:rPr>
          <w:rFonts w:ascii="Arial" w:cs="Arial" w:eastAsia="Arial" w:hAnsi="Arial"/>
          <w:sz w:val="18"/>
          <w:szCs w:val="18"/>
          <w:color w:val="auto"/>
        </w:rPr>
      </w:pPr>
    </w:p>
    <w:p>
      <w:pPr>
        <w:ind w:left="880" w:right="480" w:hanging="373"/>
        <w:spacing w:after="0" w:line="308"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38" w:lineRule="exact"/>
        <w:rPr>
          <w:rFonts w:ascii="Arial" w:cs="Arial" w:eastAsia="Arial" w:hAnsi="Arial"/>
          <w:sz w:val="17"/>
          <w:szCs w:val="17"/>
          <w:color w:val="auto"/>
        </w:rPr>
      </w:pPr>
    </w:p>
    <w:p>
      <w:pPr>
        <w:ind w:left="880" w:right="34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p>
      <w:pPr>
        <w:spacing w:after="0" w:line="75" w:lineRule="exact"/>
        <w:rPr>
          <w:rFonts w:ascii="Arial" w:cs="Arial" w:eastAsia="Arial" w:hAnsi="Arial"/>
          <w:sz w:val="18"/>
          <w:szCs w:val="18"/>
          <w:color w:val="auto"/>
        </w:rPr>
      </w:pPr>
    </w:p>
    <w:p>
      <w:pPr>
        <w:ind w:left="880" w:right="440" w:hanging="373"/>
        <w:spacing w:after="0" w:line="342"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spacing w:after="0" w:line="15" w:lineRule="exact"/>
        <w:rPr>
          <w:rFonts w:ascii="Arial" w:cs="Arial" w:eastAsia="Arial" w:hAnsi="Arial"/>
          <w:sz w:val="16"/>
          <w:szCs w:val="16"/>
          <w:color w:val="auto"/>
        </w:rPr>
      </w:pPr>
    </w:p>
    <w:p>
      <w:pPr>
        <w:ind w:left="88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184"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In addition to the above, the continued spread of COVID-19 globally could adversely affect our clinical trial operations worldwide, including our ability to recruit and retain principal investigators and site staff who, as healthcare providers, may have heightened exposure to COVID-19 if an outbreak occurs in their geography, and result in further delays in our clinical trials due to prioritization of hospital and medical resources toward the outbreak, restrictions in travel, potential unwillingness of patients to enroll in trials at this time, or the inability of patients to comply with clinical trial protocols if quarantines or travel restrictions impede patient movement or interrupt healthcare services. Furthermore, the response to the COVID-19 pandemic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right="80" w:firstLine="51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spacing w:after="0" w:line="79" w:lineRule="exact"/>
        <w:rPr>
          <w:sz w:val="20"/>
          <w:szCs w:val="20"/>
          <w:color w:val="auto"/>
        </w:rPr>
      </w:pPr>
    </w:p>
    <w:p>
      <w:pPr>
        <w:ind w:left="880" w:hanging="373"/>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incur additional unplanned costs, which may exceed the resources that we have available or are able to obtain on reasonable terms;</w:t>
      </w:r>
    </w:p>
    <w:p>
      <w:pPr>
        <w:spacing w:after="0" w:line="155" w:lineRule="exact"/>
        <w:rPr>
          <w:rFonts w:ascii="Arial" w:cs="Arial" w:eastAsia="Arial" w:hAnsi="Arial"/>
          <w:sz w:val="17"/>
          <w:szCs w:val="17"/>
          <w:color w:val="auto"/>
        </w:rPr>
      </w:pPr>
    </w:p>
    <w:p>
      <w:pPr>
        <w:ind w:left="880" w:right="4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 to obtain marketing approval at all;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we originally intended or desired;</w:t>
      </w:r>
    </w:p>
    <w:p>
      <w:pPr>
        <w:spacing w:after="0" w:line="144"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significant safety warnings, including boxed warnings;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25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failure to successfully and timely complete clinical trials of Haduvio for the treatment of pruritus associated with prurigo nodularis or for any other serious neurologically mediated condition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Haduvio or any future product candidates, which would likely prevent or delay regulatory approval and commercialization.</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pruritus associated with prurigo nodularis failed to meet its primary endpoint, and the number of patients who discontinued treatment prior to the end of the trial had a substantial impact on the results.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174"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Haduvio for the treatment of pruritus associated with prurigo nodularis, the FDA raised the need to adequately isolate a patient population with pruritus associated with prurigo nodularis for our planned Phase 3 clinical trials. While the inclusion criteria in our Phase 2b/3 PRISM trial require that enrolled patients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Haduvio does not achieve the primary endpoint in our Phase 2b/3 PRISM trial, or the FDA does not otherwise believe that the results of the trial are sufficiently supportive of an application for marketing approval, the FDA may require us to conduct another Phase 3 clinical trial in addition to the Phase 2b/3 PRISM trial and the additional Phase 3 clinical trial we believe we need to conduct, which would cause us to incur substantial additional costs and significantly delay our development of Haduvio for the treatment of pruritus associated with prurigo nodularis.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right="180"/>
        <w:spacing w:after="0" w:line="277" w:lineRule="auto"/>
        <w:rPr>
          <w:sz w:val="20"/>
          <w:szCs w:val="20"/>
          <w:color w:val="auto"/>
        </w:rPr>
      </w:pPr>
      <w:r>
        <w:rPr>
          <w:rFonts w:ascii="Arial" w:cs="Arial" w:eastAsia="Arial" w:hAnsi="Arial"/>
          <w:sz w:val="18"/>
          <w:szCs w:val="18"/>
          <w:b w:val="1"/>
          <w:bCs w:val="1"/>
          <w:i w:val="1"/>
          <w:iCs w:val="1"/>
          <w:color w:val="auto"/>
        </w:rPr>
        <w:t>Use of patient-reported outcome assessments, or PROs, in our clinical trials and high placebo response rates may delay or impair the development of Haduvio or adversely impact our clinical trials.</w:t>
      </w:r>
    </w:p>
    <w:p>
      <w:pPr>
        <w:spacing w:after="0" w:line="6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Due to the difficulty of objectively measuring pruritus, the assessment of pruritus in clinical trials typically involves the use of PROs. Our clinical trials evaluating the efficacy of Haduvio in pruritus indications have used PROs as primary endpoints. For example, the primary endpoint of our Phase 2 clinical trial of Haduvio for the treatment of pruritus associated with prurigo nodularis was the proportion of patients reporting at least a 30% reduction from baseline to week 10 in seven-day mean Worst Itching Numerical Rating Scale, or WI-NRS, scores, which is a patient-reported assessment on an 11-point scale from 0 to 10 of the severity of the worst itch experienced in the last 24 hours. The primary endpoint of our Phase 2b/3 PRISM trial is the proportion of patients achieving at least a 4-point improvement from baseline with respect to their worst itch at week 14 as measured by WI-NRS.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185"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addition, PROs for the assessment of pruritus have historically been observed to have high placebo group response rates. We observed this in some of our clinical trials of Haduvio. For example, in our Phase 2 clinical trial of Haduvio for the treatment of pruritus associated with prurigo nodularis, we observed a mean reduction from baseline in WI-NRS score for the trial’s modified intention-to-treat population of 1.75 points for placebo as compared to 2.14 points for Haduvio dosed twice-daily at 81 mg and 2.51 points for Haduvio dosed twice-daily at 162 mg.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16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variability of PRO measures and related high placebo response rates have adversely impacted clinical results of other therapies being tested for pruritus and could adversely impact our clinical development of Haduvio. The FDA could also require changes in the PROs we are currently using or indicate that the PROs we are using are insufficient for demonstrating efficacy in pruritus, potentially delaying clinical development of Haduvio, increasing our costs and making additional clinical trials necessary.</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may not be able to initiate or continue clinical trials for Haduvio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spacing w:after="0" w:line="76" w:lineRule="exact"/>
        <w:rPr>
          <w:sz w:val="20"/>
          <w:szCs w:val="20"/>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size and nature of the eligible patient population;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proximity of eligible patients to clinical sites;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competing clinical trials; and</w:t>
      </w:r>
    </w:p>
    <w:p>
      <w:pPr>
        <w:spacing w:after="0" w:line="144"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particular, the successful completion of our clinical development program for Haduvio for the treatment of pruritus associated with prurigo nodularis is dependent upon our ability to enroll a sufficient number of patients with this severe condition. We have experienced delays and difficulties in the enrollment of patients in our clinical trials, including our Phase 2b/3 PRISM trial and our Phase 2 CANAL trial, which have delayed the completion of our trials. We have taken actions to increase enrollment, including increasing the number of clinical sites, expanding our clinical trials into additional countries, providing sites with additional trial management staff and closing underperforming sites. However, these actions may not be successful. In addition, as a result of the COVID-19 pandemic, clinical sites for our Phase 2b/3 PRISM trial temporarily halted new patient screening and most patient enrollment. After resuming screening and enrollment, multiple sites in the Phase 2b/3 PRISM trial have begun requiring remote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1" w:name="page42"/>
    <w:bookmarkEnd w:id="41"/>
    <w:p>
      <w:pPr>
        <w:ind w:right="80"/>
        <w:spacing w:after="0" w:line="269" w:lineRule="auto"/>
        <w:rPr>
          <w:sz w:val="20"/>
          <w:szCs w:val="20"/>
          <w:color w:val="auto"/>
        </w:rPr>
      </w:pPr>
      <w:r>
        <w:rPr>
          <w:rFonts w:ascii="Arial" w:cs="Arial" w:eastAsia="Arial" w:hAnsi="Arial"/>
          <w:sz w:val="17"/>
          <w:szCs w:val="17"/>
          <w:color w:val="auto"/>
        </w:rPr>
        <w:t>monitoring of patient data. In addition, the clinical sites in our ongoing Phase 2 CANAL trial temporarily suspended enrollment and treatment of patients in the trial due to the vulnerability of IPF patients to COVID-19 and we amended the protocol for the trial to reduce the number of in-person patient visits and procedures. While patient screening and enrollment for our Phase 2 CANAL trial resumed at certain clinical trial sites in the fourth quarter of 2020, all sites in the trial paused screening again in December 2020 in response to a shelter in place directive from the U.K. government. This directive expired in March 2021 and we expect the other COVID-19 related restrictions will continue to be lifted through June 2021, assuming the pandemic does not worsen in the United Kingdom. Initial screening activity has resumed at certain sites following the lifting of the shelter in place directive. However, we expect that some sites may take longer to resume their trial activity due to increased COVID-19 infection rates in the areas where they are located that other sites may cease to participate in the trial entirely. We have decided not to pursue opening new clinical sites in Germany due to the estimated timing and cost to add these additional sites. Instead, in light of the easing of pandemic restrictions in the United Kingdom, we are focusing our efforts on the completion of enrollment in the Phase 2 CANAL trial in the United Kingdom. Furthermore, as a result of the SSRE analysis, we have increased the target number of enrolled patients for our Phase 2b/3 PRISM trial from 240 to 360 subjects, which has also resulted in delays to our expected completion of enrollment for the trial and our anticipated timing for reporting top-line data for the trial.</w:t>
      </w:r>
    </w:p>
    <w:p>
      <w:pPr>
        <w:spacing w:after="0" w:line="179" w:lineRule="exact"/>
        <w:rPr>
          <w:sz w:val="20"/>
          <w:szCs w:val="20"/>
          <w:color w:val="auto"/>
        </w:rPr>
      </w:pPr>
    </w:p>
    <w:p>
      <w:pPr>
        <w:ind w:right="40" w:firstLine="514"/>
        <w:spacing w:after="0" w:line="296" w:lineRule="auto"/>
        <w:rPr>
          <w:sz w:val="20"/>
          <w:szCs w:val="20"/>
          <w:color w:val="auto"/>
        </w:rPr>
      </w:pPr>
      <w:r>
        <w:rPr>
          <w:rFonts w:ascii="Arial" w:cs="Arial" w:eastAsia="Arial" w:hAnsi="Arial"/>
          <w:sz w:val="16"/>
          <w:szCs w:val="16"/>
          <w:color w:val="auto"/>
        </w:rPr>
        <w:t>Other companies are conducting clinical trials or have announced plans for future clinical trials that are seeking, or are likely to seek, to enroll patients with prurigo nodularis in the case of our Phase 2b/3 PRISM trial and patients with IPF in the case of our Phase 2 CANAL trial, and patients are generally only able to enroll in a single trial at a time. In addition, although there are no drugs approved in the United States or Europe for the treatment of pruritus associated with prurigo nodularis, many patients use various treatments off-label, such as antihistamines or gabapentin, and these patients and their physicians may be reluctant to forgo, discontinue or otherwise alter their use of such off-label therapeutic approaches to participate in our clinical trials.</w:t>
      </w:r>
    </w:p>
    <w:p>
      <w:pPr>
        <w:spacing w:after="0" w:line="161" w:lineRule="exact"/>
        <w:rPr>
          <w:sz w:val="20"/>
          <w:szCs w:val="20"/>
          <w:color w:val="auto"/>
        </w:rPr>
      </w:pPr>
    </w:p>
    <w:p>
      <w:pPr>
        <w:ind w:firstLine="514"/>
        <w:spacing w:after="0" w:line="257" w:lineRule="auto"/>
        <w:rPr>
          <w:sz w:val="20"/>
          <w:szCs w:val="20"/>
          <w:color w:val="auto"/>
        </w:rPr>
      </w:pPr>
      <w:r>
        <w:rPr>
          <w:rFonts w:ascii="Arial" w:cs="Arial" w:eastAsia="Arial" w:hAnsi="Arial"/>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29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16"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161"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and are associated with respiratory depression and potential cardiac risk. The drug label for nalbuphine, the active ingredient in Haduvio, carries an opioid class label warning for serious, life-threatening or fatal respiratory depression, and Haduvio, if approved for marketing in any indication, will likely carry a similar opioid class label. To support our planned submission of an NDA to the FDA for Haduvio, we may be required to conduct a clinical trial of Haduvio to assess cardiac risk and, due to the association of opioids with endocrine dysfunction, a clinical trial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spacing w:after="0" w:line="17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our Phase 2 clinical trial of Haduvio for the treatment of pruritus associated with prurigo nodularis, the most frequently reported adverse events associated with Haduvio were nausea, dizziness and headache. In the open label extension of the trial, nausea, dizziness and fatigue were reported. Across both the Phase 2 clinical trial of Haduvio for the treatment of pruritus associated with prurigo nodularis and the open label extension, a total of four patients reported SAEs, but none of these events was attributed to Haduvio.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jc w:val="both"/>
        <w:ind w:right="160" w:firstLine="510"/>
        <w:spacing w:after="0" w:line="263" w:lineRule="auto"/>
        <w:rPr>
          <w:sz w:val="20"/>
          <w:szCs w:val="20"/>
          <w:color w:val="auto"/>
        </w:rPr>
      </w:pPr>
      <w:r>
        <w:rPr>
          <w:rFonts w:ascii="Arial" w:cs="Arial" w:eastAsia="Arial" w:hAnsi="Arial"/>
          <w:sz w:val="18"/>
          <w:szCs w:val="18"/>
          <w:color w:val="auto"/>
        </w:rPr>
        <w:t>In our Phase 2b/3 trial of Haduvio in patients with uremic pruritus, the most frequently reported adverse events attributed to Haduvio were nausea, vomiting, somnolence and dizziness. In patients with uremic pruritus, SAEs were frequent but were primarily related to associated underlying diseases or to procedural complications related to hemodialysis.</w:t>
      </w:r>
    </w:p>
    <w:p>
      <w:pPr>
        <w:spacing w:after="0" w:line="1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29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Many currently approved µ-opioid products are subject to restrictive marketing and distribution regulations which, if applied to Haduvio, could potentially restrict its use and harm our ability to generate profits.</w:t>
      </w:r>
    </w:p>
    <w:p>
      <w:pPr>
        <w:spacing w:after="0" w:line="6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plan to conduct a HAL study to further characterize the abuse potential of oral nalbuphine. If the results of the HAL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spacing w:after="0" w:line="17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while the intravenous formulation of nalbuphine is currently not classified as a controlled substance under the federal Controlled Substances Act of 1970, or the CSA, or the regulations of the U.S. Drug Enforcement Agency, or the DEA, it is the only opioid analgesic that is approved for marketing in the United States that is not classified as a controlled substance. It is possible that, based on the results of our HAL study, adverse events in our clinical trials or for other reasons, the DEA could determine that Haduvio, which is an oral, extended release formulation, should be classified as a controlled substance.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w:t>
      </w:r>
    </w:p>
    <w:p>
      <w:pPr>
        <w:spacing w:after="0" w:line="17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p>
    <w:p>
      <w:pPr>
        <w:spacing w:after="0" w:line="19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420"/>
        <w:spacing w:after="0" w:line="277" w:lineRule="auto"/>
        <w:rPr>
          <w:sz w:val="20"/>
          <w:szCs w:val="20"/>
          <w:color w:val="auto"/>
        </w:rPr>
      </w:pPr>
      <w:r>
        <w:rPr>
          <w:rFonts w:ascii="Arial" w:cs="Arial" w:eastAsia="Arial" w:hAnsi="Arial"/>
          <w:sz w:val="18"/>
          <w:szCs w:val="18"/>
          <w:color w:val="auto"/>
        </w:rPr>
        <w:t>violations could lead to criminal proceedings. Because of the restrictive nature of these regulations, if Haduvio is classified as a controlled substance, depending on how it is scheduled, its commercial prospects could be limited.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clinical trials may not be predictive of results of later clinical trials.</w:t>
      </w:r>
    </w:p>
    <w:p>
      <w:pPr>
        <w:spacing w:after="0" w:line="117"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clinical development despite demonstrating positive results in preclinical studies or successfully advancing through Phase 1 and Phase 2 clinical trials.</w:t>
      </w:r>
    </w:p>
    <w:p>
      <w:pPr>
        <w:spacing w:after="0" w:line="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15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At a meeting with the FDA following the completion of our Phase 2 clinical trial of Haduvio for the treatment of pruritus associated with prurigo nodularis, the FDA advised us that the findings of the Phase 2 clinical trial may not be reliable and recommended that we conduct an additional Phase 2 dose ranging trial to identify the optimal dose and obtain reliable estimates of treatment effect for the recommended primary efficacy endpoint so as to better design and power our planned Phase 3 clinical trials. In providing such advice, the FDA noted the small number of patients in each arm of the Phase 2 clinical trial and the large differential discontinuation rate among the three treatment arms, as well as our plan to increase the fixed-dose treatment duration from eight weeks in the Phase 2 clinical trial to 12 weeks in our Phase 2b/3 PRISM trial.</w:t>
      </w:r>
    </w:p>
    <w:p>
      <w:pPr>
        <w:spacing w:after="0" w:line="178"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For example, we have designed our Phase 2b/3 PRISM trial based on an assumed discontinuation rate that takes into account observed discontinuation rates in our Phase 2 clinical trial of Haduvio for the treatment of pruritus associated with prurigo nodularis. If enrolled patients withdraw from our Phase 2b/3 PRISM trial at a rate that is higher than expected, as occurred in our Phase 2 clinical trial of Haduvio for the treatment of pruritus associated with prurigo nodularis, or at rates that are inconsistent across clinical sites and treatment arms, we may not achieve the primary endpoint of the trial, the validity or statistical significance of the trial could be impaired and regulatory authorities may not view the trial as supportive of an application for marketing approval.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spacing w:after="0" w:line="172"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 xml:space="preserve">In addition, some of our data for Haduvio for the treatment of pruritus is drawn from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of data subsets from our Phase 2 clinical trials of Haduvio in patients with prurigo nodularis and uremic pruritus. While we believe these data may be useful in informing the design of our Phase 2b/3 PRISM trial and other future Phase 3 clinical trials for Haduvio,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performed after unmasking trial results can result in the introduction of bias and may not be predictive of success in Phase 3 clinical trials.</w:t>
      </w:r>
    </w:p>
    <w:p>
      <w:pPr>
        <w:spacing w:after="0" w:line="18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spacing w:after="0" w:line="26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76"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49" w:lineRule="exact"/>
        <w:rPr>
          <w:sz w:val="20"/>
          <w:szCs w:val="20"/>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recall the product, change the way the product is administered or conduct additional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product;</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4" w:name="page45"/>
    <w:bookmarkEnd w:id="44"/>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the previously unidentified side effects for distribution to patients;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33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spacing w:after="0" w:line="5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192"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spacing w:after="0" w:line="79" w:lineRule="exact"/>
        <w:rPr>
          <w:sz w:val="20"/>
          <w:szCs w:val="20"/>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compared to other therapies;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that the DEA could determine that Haduvio should be classified as a controlled substance;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offer the product for sale at competitive prices;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 for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availability and amount of coverage and reimbursement from government payors, managed care plans and other third-party payors.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5" w:name="page46"/>
    <w:bookmarkEnd w:id="45"/>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the treatment of pruritus associated with prurigo nodularis as our lead program. However, the development of Haduvio for this indication may ultimately prove to be unsuccessful or less successful than another product candidate or other indications that we might have chosen to pursue with our limited resources.</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29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1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in any of our target indications, we believe we will have the opportunity to commercialize it in the United States directly through our own focused, specialty sales organization. If Haduvio receives marketing approval outside the United States, we may develop a variety of collaboration, distribution and other marketing arrangements with one or more third parties to commercialize the product in those markets.</w:t>
      </w:r>
    </w:p>
    <w:p>
      <w:pPr>
        <w:spacing w:after="0" w:line="192"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85"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9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40"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19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If Haduvio is approved for the treatment of pruritus associated with prurigo nodularis, we expect that it would compete with a number of therapeutics that are used off-label to treat prurigo nodularis, including anti-itch creams and emollients, oral or injectable antihistamines, Dupixent (dupilumab), which is an injectable prescription medicine approved for atopic dermatitis that is in clinical development for the treatment of pruritus associated with prurigo nodularis,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KPL-716, a monoclonal antibody targeting oncostatin M receptor beta being developed by Kiniksa Pharmaceuticals; and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pruritus associated with prurigo nodularis, could face competition from these product candidates, including difelikefalin, an oral kappa opioid receptor agonist being developed by Cara Therapeutics that is in Phase 2 clinical trials for chronic pruritus in patients with atopic dermatitis, chronic liver disease, chronic kidney disease, and notalgia paresthetica.</w:t>
      </w:r>
    </w:p>
    <w:p>
      <w:pPr>
        <w:spacing w:after="0" w:line="17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If Haduvio is approved for the treatment of chronic cough associated with IPF, we expect that it would compete with product candidates currently in clinical development for the treatment of chronic cough associated with IPF, such as ifenprodil which is being developed by Algernon Pharmaceuticals, and orvepitant, which is being developed by Nerre Therapeutics, and expect that it might also compete with other product candidates currently in development or submitted for approval to the FDA for the treatment of chronic refractory cough and unexplained chronic cough by companies including Merck, Shionogi, Bellus Health and Bayer. In addition, it is possible that product candidates currently in development for the treatment of IPF could, if approved, reduce the need for therapies to treat chronic cough associated with IPF.</w:t>
      </w:r>
    </w:p>
    <w:p>
      <w:pPr>
        <w:spacing w:after="0" w:line="17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If Haduvio is approved for the treatment of levodopa-induced dyskinesia, or LID, in patients with Parkinson’s disease, we expect that it would compete with Gocovri and Osmolex, which are extended release capsule formulations of amantadine marketed by Adamas Pharmaceuticals and expect that it might also compete with other product candidates currently in development for the treatment of LID by companies including Addex Therapeutics and IRLAB Therapeutics. In addition, it is possible that product candidates currently in development for the treatment of Parkinson’s disease by companies could, if approved, reduce the need for therapies to treat LID.</w:t>
      </w:r>
    </w:p>
    <w:p>
      <w:pPr>
        <w:spacing w:after="0" w:line="188"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28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76"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right="60" w:firstLine="510"/>
        <w:spacing w:after="0" w:line="269"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moieties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85"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Competition from generic versions of any products we develop could negatively impact our future revenue, profitability and cash flows and substantially limit our ability to obtain a return on our investments in those products.</w:t>
      </w:r>
    </w:p>
    <w:p>
      <w:pPr>
        <w:spacing w:after="0" w:line="27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38"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The commercial success of any product we develop will depend substantially, both in the United States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19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16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8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188"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8" w:name="page49"/>
    <w:bookmarkEnd w:id="48"/>
    <w:p>
      <w:pPr>
        <w:ind w:right="80"/>
        <w:spacing w:after="0" w:line="259" w:lineRule="auto"/>
        <w:rPr>
          <w:sz w:val="20"/>
          <w:szCs w:val="20"/>
          <w:color w:val="auto"/>
        </w:rPr>
      </w:pPr>
      <w:r>
        <w:rPr>
          <w:rFonts w:ascii="Arial" w:cs="Arial" w:eastAsia="Arial" w:hAnsi="Arial"/>
          <w:sz w:val="18"/>
          <w:szCs w:val="18"/>
          <w:color w:val="auto"/>
        </w:rPr>
        <w:t>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8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3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7"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any products that we may develop or in-license;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52"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Although we maintain product and clinical trial liability insurance of at least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11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do not independently conduct clinical trials of our product candidate. We rely, and expect to continue to rely, on third parties, such as clinical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40" w:firstLine="510"/>
        <w:spacing w:after="0" w:line="269" w:lineRule="auto"/>
        <w:rPr>
          <w:sz w:val="20"/>
          <w:szCs w:val="20"/>
          <w:color w:val="auto"/>
        </w:rPr>
      </w:pPr>
      <w:r>
        <w:rPr>
          <w:rFonts w:ascii="Arial" w:cs="Arial" w:eastAsia="Arial" w:hAnsi="Arial"/>
          <w:sz w:val="17"/>
          <w:szCs w:val="17"/>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79" w:lineRule="exact"/>
        <w:rPr>
          <w:sz w:val="20"/>
          <w:szCs w:val="20"/>
          <w:color w:val="auto"/>
        </w:rPr>
      </w:pPr>
    </w:p>
    <w:p>
      <w:pPr>
        <w:ind w:right="160" w:firstLine="510"/>
        <w:spacing w:after="0" w:line="287" w:lineRule="auto"/>
        <w:rPr>
          <w:sz w:val="20"/>
          <w:szCs w:val="20"/>
          <w:color w:val="auto"/>
        </w:rPr>
      </w:pPr>
      <w:r>
        <w:rPr>
          <w:rFonts w:ascii="Arial" w:cs="Arial" w:eastAsia="Arial" w:hAnsi="Arial"/>
          <w:sz w:val="16"/>
          <w:szCs w:val="16"/>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These third parties may be also impacted by developments in the COVID-19 pandemic or government measures taken in response to the pandemic in ways that negatively impact their ability to fulfill their contractual obligations to us in connection with our clinical trials, even if we are not otherwise directly affected by such developments or measures.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27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packaging and distribution of Haduvio for clinical trials, including a single supplier for the active ingredient, and expect to continue to rely on third parties for these services in connection with our future development and commercialization efforts for Haduvio and any future product candidates.</w:t>
      </w:r>
    </w:p>
    <w:p>
      <w:pPr>
        <w:spacing w:after="0" w:line="7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56" w:lineRule="exact"/>
        <w:rPr>
          <w:sz w:val="20"/>
          <w:szCs w:val="20"/>
          <w:color w:val="auto"/>
        </w:rPr>
      </w:pPr>
    </w:p>
    <w:p>
      <w:pPr>
        <w:ind w:left="880" w:right="140" w:hanging="373"/>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manufacturing delays if our third-party contractors prioritize the supply of other companies’ products over Haduvio or any future product candidates or otherwise fail to satisfactorily perform according to the terms of the agreements between us and them, or if unforeseen events in the manufacturing process arise;</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our third-party contractors at a time that is costly or inconvenient for us;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breach by third-party contractors of our agreements with them;</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44"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52"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do not have long-term supply agreements with any of our contract manufacturers. If any of our existing manufacturers should become unavailable to us for any reason, or fail to supply us with the ordered quantities, including as a result of the COVID-19 pandemic or government measures taken in response to the pandemic, we may incur delays in identifying or qualifying replacement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right="80"/>
        <w:spacing w:after="0" w:line="259" w:lineRule="auto"/>
        <w:rPr>
          <w:sz w:val="20"/>
          <w:szCs w:val="20"/>
          <w:color w:val="auto"/>
        </w:rPr>
      </w:pPr>
      <w:r>
        <w:rPr>
          <w:rFonts w:ascii="Arial" w:cs="Arial" w:eastAsia="Arial" w:hAnsi="Arial"/>
          <w:sz w:val="18"/>
          <w:szCs w:val="18"/>
          <w:color w:val="auto"/>
        </w:rPr>
        <w:t>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spacing w:after="0" w:line="18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It is currently uncertain what impact, if any, Mallinckrodt’s bankruptcy filing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19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manufacture any such product. Consequently, we may not be able to reach agreement with third-party manufacturers on satisfactory terms, in a timely manner or at all, which could delay our commercialization efforts.</w:t>
      </w:r>
    </w:p>
    <w:p>
      <w:pPr>
        <w:spacing w:after="0" w:line="188" w:lineRule="exact"/>
        <w:rPr>
          <w:sz w:val="20"/>
          <w:szCs w:val="20"/>
          <w:color w:val="auto"/>
        </w:rPr>
      </w:pPr>
    </w:p>
    <w:p>
      <w:pPr>
        <w:ind w:right="160" w:firstLine="510"/>
        <w:spacing w:after="0" w:line="289" w:lineRule="auto"/>
        <w:rPr>
          <w:sz w:val="20"/>
          <w:szCs w:val="20"/>
          <w:color w:val="auto"/>
        </w:rPr>
      </w:pPr>
      <w:r>
        <w:rPr>
          <w:rFonts w:ascii="Arial" w:cs="Arial" w:eastAsia="Arial" w:hAnsi="Arial"/>
          <w:sz w:val="16"/>
          <w:szCs w:val="16"/>
          <w:color w:val="auto"/>
        </w:rPr>
        <w:t>Third-party manufacturers are required to comply with cGMPs and similar regulatory requirements outside the United States,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16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spacing w:after="0" w:line="164" w:lineRule="exact"/>
        <w:rPr>
          <w:sz w:val="20"/>
          <w:szCs w:val="20"/>
          <w:color w:val="auto"/>
        </w:rPr>
      </w:pPr>
    </w:p>
    <w:p>
      <w:pPr>
        <w:ind w:right="320" w:firstLine="51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Haduvio or any future product candidate may harm our future profit margins and our ability to commercialize any products that receive marketing approval on a timely and competitive basis.</w:t>
      </w:r>
    </w:p>
    <w:p>
      <w:pPr>
        <w:spacing w:after="0" w:line="25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 foreign regulatory authorities, we intend to enter into strategic relationships with international biotechnology or pharmaceutical companies for the commercialization of those product candidates outside of the United States.</w:t>
      </w:r>
    </w:p>
    <w:p>
      <w:pPr>
        <w:spacing w:after="0" w:line="176"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20"/>
        <w:spacing w:after="0" w:line="268" w:lineRule="auto"/>
        <w:rPr>
          <w:sz w:val="20"/>
          <w:szCs w:val="20"/>
          <w:color w:val="auto"/>
        </w:rPr>
      </w:pPr>
      <w:r>
        <w:rPr>
          <w:rFonts w:ascii="Arial" w:cs="Arial" w:eastAsia="Arial" w:hAnsi="Arial"/>
          <w:sz w:val="17"/>
          <w:szCs w:val="17"/>
          <w:color w:val="auto"/>
        </w:rPr>
        <w:t>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in this Quarterly Report on Form 10-Q would also apply to the activities of any such future collaborators.</w:t>
      </w:r>
    </w:p>
    <w:p>
      <w:pPr>
        <w:spacing w:after="0" w:line="27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spacing w:after="0" w:line="3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a product candidate would pose a number of risks, including the following:</w:t>
      </w:r>
    </w:p>
    <w:p>
      <w:pPr>
        <w:spacing w:after="0" w:line="117" w:lineRule="exact"/>
        <w:rPr>
          <w:sz w:val="20"/>
          <w:szCs w:val="20"/>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44" w:lineRule="exact"/>
        <w:rPr>
          <w:rFonts w:ascii="Arial" w:cs="Arial" w:eastAsia="Arial" w:hAnsi="Arial"/>
          <w:sz w:val="18"/>
          <w:szCs w:val="18"/>
          <w:color w:val="auto"/>
        </w:rPr>
      </w:pPr>
    </w:p>
    <w:p>
      <w:pPr>
        <w:ind w:left="880" w:right="180" w:hanging="373"/>
        <w:spacing w:after="0" w:line="311"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40" w:lineRule="exact"/>
        <w:rPr>
          <w:rFonts w:ascii="Arial" w:cs="Arial" w:eastAsia="Arial" w:hAnsi="Arial"/>
          <w:sz w:val="16"/>
          <w:szCs w:val="16"/>
          <w:color w:val="auto"/>
        </w:rPr>
      </w:pPr>
    </w:p>
    <w:p>
      <w:pPr>
        <w:ind w:left="880" w:right="128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and could decide to delay, diminish or terminate the development or commercialization of any product candidate licensed by us;</w:t>
      </w:r>
    </w:p>
    <w:p>
      <w:pPr>
        <w:spacing w:after="0" w:line="62" w:lineRule="exact"/>
        <w:rPr>
          <w:rFonts w:ascii="Arial" w:cs="Arial" w:eastAsia="Arial" w:hAnsi="Arial"/>
          <w:sz w:val="18"/>
          <w:szCs w:val="18"/>
          <w:color w:val="auto"/>
        </w:rPr>
      </w:pPr>
    </w:p>
    <w:p>
      <w:pPr>
        <w:ind w:left="880" w:right="600" w:hanging="373"/>
        <w:spacing w:after="0" w:line="308"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880" w:right="74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the product candidates under the collaboration;</w:t>
      </w:r>
    </w:p>
    <w:p>
      <w:pPr>
        <w:spacing w:after="0" w:line="62" w:lineRule="exact"/>
        <w:rPr>
          <w:rFonts w:ascii="Arial" w:cs="Arial" w:eastAsia="Arial" w:hAnsi="Arial"/>
          <w:sz w:val="18"/>
          <w:szCs w:val="18"/>
          <w:color w:val="auto"/>
        </w:rPr>
      </w:pPr>
    </w:p>
    <w:p>
      <w:pPr>
        <w:ind w:left="880" w:right="68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880" w:right="400" w:hanging="373"/>
        <w:spacing w:after="0" w:line="259"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left="880" w:right="200" w:hanging="373"/>
        <w:spacing w:after="0" w:line="342" w:lineRule="auto"/>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880" w:right="78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engage in misconduct or other improper activities, including non-compliance with regulatory standards and requirements;</w:t>
      </w:r>
    </w:p>
    <w:p>
      <w:pPr>
        <w:spacing w:after="0" w:line="167" w:lineRule="exact"/>
        <w:rPr>
          <w:rFonts w:ascii="Arial" w:cs="Arial" w:eastAsia="Arial" w:hAnsi="Arial"/>
          <w:sz w:val="16"/>
          <w:szCs w:val="16"/>
          <w:color w:val="auto"/>
        </w:rPr>
      </w:pPr>
    </w:p>
    <w:p>
      <w:pPr>
        <w:ind w:left="880" w:right="16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regarding ownership of or other rights in the intellectual property generated in the course of the collaborations; and</w:t>
      </w:r>
    </w:p>
    <w:p>
      <w:pPr>
        <w:spacing w:after="0" w:line="62" w:lineRule="exact"/>
        <w:rPr>
          <w:rFonts w:ascii="Arial" w:cs="Arial" w:eastAsia="Arial" w:hAnsi="Arial"/>
          <w:sz w:val="18"/>
          <w:szCs w:val="18"/>
          <w:color w:val="auto"/>
        </w:rPr>
      </w:pPr>
    </w:p>
    <w:p>
      <w:pPr>
        <w:ind w:left="880" w:right="112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 release formulation such as Haduvio. We are also party to an exclusive license agreement with Rutgers University under which we have licensed certain patent rights and know-how to develop and commercialize products incorporating nalbuphine for any human or animal use.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17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For instance, Rutgers University has asserted that we are not in compliance with our diligence obligations under our license agreement with Rutgers University and could seek to terminate the license agreement if we are unable to resolve the matter. Any termination of our license agreements could have a material adverse impact on our business.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regarding intellectual property subject to a license agreement, including:</w:t>
      </w:r>
    </w:p>
    <w:p>
      <w:pPr>
        <w:spacing w:after="0" w:line="117" w:lineRule="exact"/>
        <w:rPr>
          <w:sz w:val="20"/>
          <w:szCs w:val="20"/>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extent to which our activities or product candidates may infringe the intellectual property of the licensor that is not subject to the licensing agreement;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collaborative development relationships;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inventorship or ownership of inventions and know-how resulting from joint creation or use of intellectual property by licensors and us; and</w:t>
      </w:r>
    </w:p>
    <w:p>
      <w:pPr>
        <w:spacing w:after="0" w:line="167" w:lineRule="exact"/>
        <w:rPr>
          <w:rFonts w:ascii="Arial" w:cs="Arial" w:eastAsia="Arial" w:hAnsi="Arial"/>
          <w:sz w:val="16"/>
          <w:szCs w:val="16"/>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w:t>
      </w:r>
    </w:p>
    <w:p>
      <w:pPr>
        <w:spacing w:after="0" w:line="252"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right="38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79"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United States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spacing w:after="0" w:line="195"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171"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8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Moreover, because the issuance of a patent is not conclusive as to its inventorship, scope, validity or enforceability, our patents or pending patent applications may be challenged in the courts or patent offices in the United States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United States or other countries, challenging patents or patent applications in which we have rights, including patents on which we rely to protect our business. An adverse determination in any such challenge may result in loss of exclusivity or in patent claims being narrowed,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ind w:right="320"/>
        <w:spacing w:after="0" w:line="272" w:lineRule="auto"/>
        <w:rPr>
          <w:sz w:val="20"/>
          <w:szCs w:val="20"/>
          <w:color w:val="auto"/>
        </w:rPr>
      </w:pPr>
      <w:r>
        <w:rPr>
          <w:rFonts w:ascii="Arial" w:cs="Arial" w:eastAsia="Arial" w:hAnsi="Arial"/>
          <w:sz w:val="17"/>
          <w:szCs w:val="17"/>
          <w:color w:val="auto"/>
        </w:rPr>
        <w:t>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77"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spacing w:after="0" w:line="171"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Issued patents that we have or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18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2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2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Our 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right="100"/>
        <w:spacing w:after="0" w:line="255" w:lineRule="auto"/>
        <w:rPr>
          <w:sz w:val="20"/>
          <w:szCs w:val="20"/>
          <w:color w:val="auto"/>
        </w:rPr>
      </w:pPr>
      <w:r>
        <w:rPr>
          <w:rFonts w:ascii="Arial" w:cs="Arial" w:eastAsia="Arial" w:hAnsi="Arial"/>
          <w:sz w:val="18"/>
          <w:szCs w:val="18"/>
          <w:color w:val="auto"/>
        </w:rPr>
        <w:t>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28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such litigation could be costly and time consuming, its outcome would be uncertain and it could prevent or delay us from developing or commercializing Haduvio or any future product candidate.</w:t>
      </w:r>
    </w:p>
    <w:p>
      <w:pPr>
        <w:spacing w:after="0" w:line="16"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spacing w:after="0" w:line="192" w:lineRule="exact"/>
        <w:rPr>
          <w:sz w:val="20"/>
          <w:szCs w:val="20"/>
          <w:color w:val="auto"/>
        </w:rPr>
      </w:pPr>
    </w:p>
    <w:p>
      <w:pPr>
        <w:ind w:right="40" w:firstLine="514"/>
        <w:spacing w:after="0" w:line="286"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71" w:lineRule="exact"/>
        <w:rPr>
          <w:sz w:val="20"/>
          <w:szCs w:val="20"/>
          <w:color w:val="auto"/>
        </w:rPr>
      </w:pPr>
    </w:p>
    <w:p>
      <w:pPr>
        <w:ind w:right="80" w:firstLine="514"/>
        <w:spacing w:after="0" w:line="289" w:lineRule="auto"/>
        <w:rPr>
          <w:sz w:val="20"/>
          <w:szCs w:val="20"/>
          <w:color w:val="auto"/>
        </w:rPr>
      </w:pPr>
      <w:r>
        <w:rPr>
          <w:rFonts w:ascii="Arial" w:cs="Arial" w:eastAsia="Arial" w:hAnsi="Arial"/>
          <w:sz w:val="16"/>
          <w:szCs w:val="16"/>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right="24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United States patent law in part by changing the U.S. patent system from a “first to invent” system to a “first inventor to file” system, expanding the definition of prior art, and developing a post-grant review system. This legislation changes United States patent law in a way that may weaken our ability to obtain patent protection in the United States for those applications filed after March 16, 2013.</w:t>
      </w:r>
    </w:p>
    <w:p>
      <w:pPr>
        <w:spacing w:after="0" w:line="19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68" w:lineRule="exact"/>
        <w:rPr>
          <w:sz w:val="20"/>
          <w:szCs w:val="20"/>
          <w:color w:val="auto"/>
        </w:rPr>
      </w:pPr>
    </w:p>
    <w:p>
      <w:pPr>
        <w:ind w:right="220" w:firstLine="510"/>
        <w:spacing w:after="0" w:line="272"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United States, and our issued or licensed patents and any future patent claims or other intellectual property rights may not be effective or sufficient to prevent them from so competing.</w:t>
      </w:r>
    </w:p>
    <w:p>
      <w:pPr>
        <w:spacing w:after="0" w:line="16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ind w:right="220" w:firstLine="510"/>
        <w:spacing w:after="0" w:line="263"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18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3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185"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300"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our business could be harmed.</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If the FDA does not conclude that Haduvio for the treatment of pruritus associated with prurigo nodularis or any other development program satisfies the requirements under Section 505(b)(2) of the FDCA, or Section 505(b)(2),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63" w:lineRule="exact"/>
        <w:rPr>
          <w:sz w:val="20"/>
          <w:szCs w:val="20"/>
          <w:color w:val="auto"/>
        </w:rPr>
      </w:pPr>
    </w:p>
    <w:p>
      <w:pPr>
        <w:ind w:right="40" w:firstLine="514"/>
        <w:spacing w:after="0" w:line="284" w:lineRule="auto"/>
        <w:rPr>
          <w:sz w:val="20"/>
          <w:szCs w:val="20"/>
          <w:color w:val="auto"/>
        </w:rPr>
      </w:pPr>
      <w:r>
        <w:rPr>
          <w:rFonts w:ascii="Arial" w:cs="Arial" w:eastAsia="Arial" w:hAnsi="Arial"/>
          <w:sz w:val="16"/>
          <w:szCs w:val="16"/>
          <w:color w:val="auto"/>
        </w:rPr>
        <w:t>We commenced our Phase 2b/3 PRISM trial of Haduvio for the treatment of pruritus associated with prurigo nodularis and we believe we will need to conduct an additional Phase 3 clinical trial of Haduvio for the treatment of pruritus associated with prurigo nodularis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Haduvio for the treatment of pruritus associated with prurigo nodularis and any future product candidates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w:t>
      </w:r>
    </w:p>
    <w:p>
      <w:pPr>
        <w:spacing w:after="0" w:line="1" w:lineRule="exact"/>
        <w:rPr>
          <w:sz w:val="20"/>
          <w:szCs w:val="20"/>
          <w:color w:val="auto"/>
        </w:rPr>
      </w:pPr>
    </w:p>
    <w:p>
      <w:pPr>
        <w:ind w:right="220" w:firstLine="8"/>
        <w:spacing w:after="0" w:line="260"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pathway does not preclude the FDA from determining that Haduvio contains an active moiety that is an NCE and, therefore, is not eligible for review under such regulatory pathway.</w:t>
      </w:r>
    </w:p>
    <w:p>
      <w:pPr>
        <w:spacing w:after="0" w:line="185" w:lineRule="exact"/>
        <w:rPr>
          <w:sz w:val="20"/>
          <w:szCs w:val="20"/>
          <w:color w:val="auto"/>
        </w:rPr>
      </w:pPr>
    </w:p>
    <w:p>
      <w:pPr>
        <w:ind w:firstLine="514"/>
        <w:spacing w:after="0" w:line="272" w:lineRule="auto"/>
        <w:rPr>
          <w:sz w:val="20"/>
          <w:szCs w:val="20"/>
          <w:color w:val="auto"/>
        </w:rPr>
      </w:pPr>
      <w:r>
        <w:rPr>
          <w:rFonts w:ascii="Arial" w:cs="Arial" w:eastAsia="Arial" w:hAnsi="Arial"/>
          <w:sz w:val="17"/>
          <w:szCs w:val="17"/>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pruritus associated with prurigo nodularis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spacing w:after="0" w:line="177" w:lineRule="exact"/>
        <w:rPr>
          <w:sz w:val="20"/>
          <w:szCs w:val="20"/>
          <w:color w:val="auto"/>
        </w:rPr>
      </w:pPr>
    </w:p>
    <w:p>
      <w:pPr>
        <w:ind w:right="80" w:firstLine="514"/>
        <w:spacing w:after="0" w:line="269"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182"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jc w:val="both"/>
        <w:ind w:right="260"/>
        <w:spacing w:after="0" w:line="286"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p>
    <w:p>
      <w:pPr>
        <w:spacing w:after="0" w:line="5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United States until we receive approval of an NDA from the FDA or in other countries until we receive marketing approval from the applicable regulatory authorities outside the United States. We have not submitted an application for or received marketing approval for any product candidate in the United States or in any other jurisdiction. We have limited experience in conducting and managing the clinical trials necessary to obtain marketing approvals, including FDA approval of an NDA.</w:t>
      </w:r>
    </w:p>
    <w:p>
      <w:pPr>
        <w:spacing w:after="0" w:line="19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The process of obtaining marketing approvals, both in the United States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8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Finally, disruptions at the FDA and other agencies may also slow the time necessary for new drugs to be reviewed 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also impose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1" w:lineRule="exact"/>
        <w:rPr>
          <w:sz w:val="20"/>
          <w:szCs w:val="20"/>
          <w:color w:val="auto"/>
        </w:rPr>
      </w:pPr>
    </w:p>
    <w:p>
      <w:pPr>
        <w:ind w:right="520" w:firstLine="510"/>
        <w:spacing w:after="0" w:line="342" w:lineRule="auto"/>
        <w:rPr>
          <w:sz w:val="20"/>
          <w:szCs w:val="20"/>
          <w:color w:val="auto"/>
        </w:rPr>
      </w:pPr>
      <w:r>
        <w:rPr>
          <w:rFonts w:ascii="Arial" w:cs="Arial" w:eastAsia="Arial" w:hAnsi="Arial"/>
          <w:sz w:val="16"/>
          <w:szCs w:val="16"/>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23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We have conducted, are conducting and intend in the future to conduct clinical trials for Haduvio, and may conduct clinical trials for any future product candidates, at sites outside the United States. The FDA may not accept data from trials conducted in such locations and the conduct of trials outside the United States could subject us to additional delays and expense.</w:t>
      </w:r>
    </w:p>
    <w:p>
      <w:pPr>
        <w:spacing w:after="0" w:line="76"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We have conducted, are conducting and intend in the future to conduct clinical trials for Haduvio, and may conduct clinical trials for any future product candidates, at trial sites that are located outside the United States. Although the FDA may accept data from clinical trials conducted outside the United States, acceptance of these data is subject to certain conditions imposed by the FDA.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spacing w:after="0" w:line="271" w:lineRule="auto"/>
        <w:rPr>
          <w:sz w:val="20"/>
          <w:szCs w:val="20"/>
          <w:color w:val="auto"/>
        </w:rPr>
      </w:pPr>
      <w:r>
        <w:rPr>
          <w:rFonts w:ascii="Arial" w:cs="Arial" w:eastAsia="Arial" w:hAnsi="Arial"/>
          <w:sz w:val="17"/>
          <w:szCs w:val="17"/>
          <w:color w:val="auto"/>
        </w:rPr>
        <w:t>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United States.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delay or permanently halt our development of Haduvio or the applicable future product candidate.</w:t>
      </w:r>
    </w:p>
    <w:p>
      <w:pPr>
        <w:spacing w:after="0" w:line="178"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adverse impact on us. Risks inherent in conducting international clinical trials include:</w:t>
      </w:r>
    </w:p>
    <w:p>
      <w:pPr>
        <w:spacing w:after="0" w:line="62" w:lineRule="exact"/>
        <w:rPr>
          <w:sz w:val="20"/>
          <w:szCs w:val="20"/>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clinical practice patterns and standards of care that vary widely among countries;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non-U.S. regulatory authority requirements that could restrict or limit our ability to conduct our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non-U.S. regulatory authority schema;</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36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Haduvio or any future product candidate from being marketed in other countries. Any marketing approval we are granted in the United States would not assure marketing approval in foreign jurisdictions.</w:t>
      </w:r>
    </w:p>
    <w:p>
      <w:pPr>
        <w:spacing w:after="0" w:line="1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order to market and sell products in the European Union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United States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spacing w:after="0" w:line="78"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Additionally, we could face heightened risks with respect to seeking marketing approval in the United Kingdom as a result of the recent withdrawal of the United Kingdom from the European Union, commonly referred to as Brexit. The United Kingdom and European Union entered into a Trade and Cooperation Agreement in connection with Brexit that sets out certain procedures for approval and recognition of medical products in each jurisdiction. Since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the Trade and Cooperation Agreement would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product candidates, or incur additional costs, which could significantly and materially harm our business.</w:t>
      </w:r>
    </w:p>
    <w:p>
      <w:pPr>
        <w:spacing w:after="0" w:line="74"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ind w:right="20"/>
        <w:spacing w:after="0" w:line="263" w:lineRule="auto"/>
        <w:rPr>
          <w:sz w:val="20"/>
          <w:szCs w:val="20"/>
          <w:color w:val="auto"/>
        </w:rPr>
      </w:pPr>
      <w:r>
        <w:rPr>
          <w:rFonts w:ascii="Arial" w:cs="Arial" w:eastAsia="Arial" w:hAnsi="Arial"/>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spacing w:after="0" w:line="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may be eligible for fast track designation, priority review or breakthrough therapy status for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Haduvio for the proposed indication of reduction of moderate to severe pruritus in patients with prurigo nodularis, however this designation, or any future fast track,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spacing w:after="0" w:line="2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Even if we obtain marketing approvals for a product, the terms of approvals and ongoing regulation of such product may limit how we manufacture and market the product, which could impair our ability to generate revenue.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8"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71"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p>
    <w:p>
      <w:pPr>
        <w:spacing w:after="0" w:line="23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expect that any regulatory approval to market Haduvio in the United States will be limited by indication. If we fail to comply or are found to be in violation of FDA and other regulations restricting the promotion of Haduvio for unapproved uses, we could be subject to criminal penalties, substantial fines or other sanctions and damage awards.</w:t>
      </w:r>
    </w:p>
    <w:p>
      <w:pPr>
        <w:spacing w:after="0" w:line="76" w:lineRule="exact"/>
        <w:rPr>
          <w:sz w:val="20"/>
          <w:szCs w:val="20"/>
          <w:color w:val="auto"/>
        </w:rPr>
      </w:pPr>
    </w:p>
    <w:p>
      <w:pPr>
        <w:jc w:val="both"/>
        <w:ind w:right="80" w:firstLine="510"/>
        <w:spacing w:after="0" w:line="301" w:lineRule="auto"/>
        <w:rPr>
          <w:sz w:val="20"/>
          <w:szCs w:val="20"/>
          <w:color w:val="auto"/>
        </w:rPr>
      </w:pPr>
      <w:r>
        <w:rPr>
          <w:rFonts w:ascii="Arial" w:cs="Arial" w:eastAsia="Arial" w:hAnsi="Arial"/>
          <w:sz w:val="16"/>
          <w:szCs w:val="16"/>
          <w:color w:val="auto"/>
        </w:rPr>
        <w:t>If our clinical trials are successful, we intend to seek approval to market Haduvio for the treatment of pruritus associated with prurigo nodularis. If we obtain regulatory approval to market Haduvio with an indication statement for the treatment of pruritus associated with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w:t>
      </w:r>
    </w:p>
    <w:p>
      <w:pPr>
        <w:spacing w:after="0" w:line="157"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EMA and other government agencies. While we have, and may in the future conduct, clinical trials to evaluate the use of Haduvio to treat pruritic conditions other than pruritus associated with prurigo nodularis, Haduvio cannot be promoted for uses other than uses approved in the labeling by the FDA, EMA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spacing w:after="0" w:line="17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2" w:name="page63"/>
    <w:bookmarkEnd w:id="62"/>
    <w:p>
      <w:pPr>
        <w:ind w:right="60"/>
        <w:spacing w:after="0" w:line="254" w:lineRule="auto"/>
        <w:rPr>
          <w:sz w:val="20"/>
          <w:szCs w:val="20"/>
          <w:color w:val="auto"/>
        </w:rPr>
      </w:pPr>
      <w:r>
        <w:rPr>
          <w:rFonts w:ascii="Arial" w:cs="Arial" w:eastAsia="Arial" w:hAnsi="Arial"/>
          <w:sz w:val="18"/>
          <w:szCs w:val="18"/>
          <w:color w:val="auto"/>
        </w:rPr>
        <w:t>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is entitled to a share of any recovery or settlement.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suits, also commonly referred to as “whistleblower suits,” are often brought by current or former employees. In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the government must decide whether to intervene and prosecute the case. If it declines, the individual may pursue the case alone.</w:t>
      </w:r>
    </w:p>
    <w:p>
      <w:pPr>
        <w:spacing w:after="0" w:line="19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 xml:space="preserve">If the FDA or any other governmental agency initiates an enforcement action against us or if we are the subject of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9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76" w:lineRule="exact"/>
        <w:rPr>
          <w:sz w:val="20"/>
          <w:szCs w:val="20"/>
          <w:color w:val="auto"/>
        </w:rPr>
      </w:pPr>
    </w:p>
    <w:p>
      <w:pPr>
        <w:ind w:right="160" w:firstLine="510"/>
        <w:spacing w:after="0" w:line="252" w:lineRule="auto"/>
        <w:rPr>
          <w:sz w:val="20"/>
          <w:szCs w:val="20"/>
          <w:color w:val="auto"/>
        </w:rPr>
      </w:pPr>
      <w:r>
        <w:rPr>
          <w:rFonts w:ascii="Arial" w:cs="Arial" w:eastAsia="Arial" w:hAnsi="Arial"/>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5" w:lineRule="exact"/>
        <w:rPr>
          <w:sz w:val="20"/>
          <w:szCs w:val="20"/>
          <w:color w:val="auto"/>
        </w:rPr>
      </w:pPr>
    </w:p>
    <w:p>
      <w:pPr>
        <w:ind w:right="100" w:firstLine="510"/>
        <w:spacing w:after="0" w:line="253"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w:t>
      </w:r>
    </w:p>
    <w:p>
      <w:pPr>
        <w:spacing w:after="0" w:line="19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84"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38" w:lineRule="exact"/>
        <w:rPr>
          <w:sz w:val="20"/>
          <w:szCs w:val="20"/>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such product, manufacturers or manufacturing processes;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the labeling or marketing of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to permit the import or export of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6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Haduvio or any future product candidate and may affect the prices we may obtain.</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spacing w:after="0" w:line="84"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2030 under the Coronavirus Aid, Relief, and Economic Security Act, or the CARES Act.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84"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on December 14, 2018, a United States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United States Supreme Court heard this case on November 10, 2020, and a ruling by the Court is expected sometime this year. Pending resolution of the litigation, all of the provisions in the ACA but the individual mandate to buy health insurance remains in effect. Litigation and legislation over the ACA are likely to continue, with unpredictable and uncertain results.</w:t>
      </w:r>
    </w:p>
    <w:p>
      <w:pPr>
        <w:spacing w:after="0" w:line="70" w:lineRule="exact"/>
        <w:rPr>
          <w:sz w:val="20"/>
          <w:szCs w:val="20"/>
          <w:color w:val="auto"/>
        </w:rPr>
      </w:pPr>
    </w:p>
    <w:p>
      <w:pPr>
        <w:jc w:val="both"/>
        <w:ind w:right="20" w:firstLine="510"/>
        <w:spacing w:after="0" w:line="287" w:lineRule="auto"/>
        <w:rPr>
          <w:sz w:val="20"/>
          <w:szCs w:val="20"/>
          <w:color w:val="auto"/>
        </w:rPr>
      </w:pPr>
      <w:r>
        <w:rPr>
          <w:rFonts w:ascii="Arial" w:cs="Arial" w:eastAsia="Arial" w:hAnsi="Arial"/>
          <w:sz w:val="16"/>
          <w:szCs w:val="16"/>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w:t>
      </w: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devices. 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56"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4" w:name="page65"/>
    <w:bookmarkEnd w:id="64"/>
    <w:p>
      <w:pPr>
        <w:ind w:right="480"/>
        <w:spacing w:after="0" w:line="277" w:lineRule="auto"/>
        <w:rPr>
          <w:sz w:val="20"/>
          <w:szCs w:val="20"/>
          <w:color w:val="auto"/>
        </w:rPr>
      </w:pPr>
      <w:r>
        <w:rPr>
          <w:rFonts w:ascii="Arial" w:cs="Arial" w:eastAsia="Arial" w:hAnsi="Arial"/>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62"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products. For example, on September 24, 2020, the Trump Administration finalized a rulemaking allowing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w:t>
      </w:r>
    </w:p>
    <w:p>
      <w:pPr>
        <w:spacing w:after="0" w:line="70"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In addition, President Trump issued several executive orders intended to lower the costs of prescription drug products. Certain of these orders are reflected in recently promulgated regulations, including an interim final rule implementing President Trump’s most favored nation model, but such final rule is currently subject to a nationwide preliminary injunction. The Biden Administration has frozen certain of the previous administration’s measures to reform drug prices, pending further review. It remains to be seen how the Biden Administration will address this issue but, under Medicare Part D, the new administration may seek to establish a ceiling for the launch prices of all branded, biologic, and certain generic drugs by referencing the average price of these drugs in other developed countries. At the same time, the administration may seek to limit Medicare Part D and public option drug prices through a tax penalty on manufacturers for increases in the cost of drugs and biologics above the general inflation rate. The American Rescue Plan Act of 2021, comprehensive COVID-19 relief legislation recently enacted under the Biden administration, includes a number of healthcare-related provisions, such as support to rural health care providers, increased tax subsidies for health insurance purchased through insurance exchange marketplaces, financial incentives to states to expand Medicaid programs and elimination of the Medicaid drug rebate cap effective in 2024.</w:t>
      </w:r>
    </w:p>
    <w:p>
      <w:pPr>
        <w:spacing w:after="0" w:line="60"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 candidates, if approved. In markets outside of the United States and the European Union, reimbursement and healthcare payment systems vary significantly by country, and many countries have instituted price ceilings on specific products and therapies. In many countries, including those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30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63"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right="100" w:firstLine="510"/>
        <w:spacing w:after="0" w:line="259"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w:t>
      </w:r>
      <w:r>
        <w:rPr>
          <w:rFonts w:ascii="Arial" w:cs="Arial" w:eastAsia="Arial" w:hAnsi="Arial"/>
          <w:sz w:val="18"/>
          <w:szCs w:val="18"/>
          <w:i w:val="1"/>
          <w:iCs w:val="1"/>
          <w:color w:val="auto"/>
        </w:rPr>
        <w:t xml:space="preserve"> </w:t>
      </w:r>
      <w:r>
        <w:rPr>
          <w:rFonts w:ascii="Arial" w:cs="Arial" w:eastAsia="Arial" w:hAnsi="Arial"/>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 xml:space="preserve">False Claims Laws. </w:t>
      </w:r>
      <w:r>
        <w:rPr>
          <w:rFonts w:ascii="Arial" w:cs="Arial" w:eastAsia="Arial" w:hAnsi="Arial"/>
          <w:sz w:val="18"/>
          <w:szCs w:val="18"/>
          <w:color w:val="auto"/>
        </w:rPr>
        <w:t>The federal false claims and civil monetary penalties laws, including the federal civil False Claims Act, impose criminal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88"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federal Health Insurance Portability and Accountability Act of 1996, or HIPAA, imposes criminal and civil liability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i w:val="1"/>
          <w:iCs w:val="1"/>
          <w:color w:val="auto"/>
        </w:rPr>
        <w:t xml:space="preserve">Transparency Requirements. </w:t>
      </w:r>
      <w:r>
        <w:rPr>
          <w:rFonts w:ascii="Arial" w:cs="Arial" w:eastAsia="Arial" w:hAnsi="Arial"/>
          <w:sz w:val="18"/>
          <w:szCs w:val="18"/>
          <w:color w:val="auto"/>
        </w:rPr>
        <w:t>The federal Physician Payments Sunshine Act requires certain manufacturers of drugs, devices, biologics and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for which payment is available under Medicare, Medicaid or the Children’s Health Insurance Program, with specific exceptions, to report annually to CMS information related to payments or transfers of value made to physicians and teaching hospitals, as well as information regarding ownership and investment interests held by physicians and their immediate family members.</w:t>
      </w:r>
    </w:p>
    <w:p>
      <w:pPr>
        <w:spacing w:after="0" w:line="18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i w:val="1"/>
          <w:iCs w:val="1"/>
          <w:color w:val="auto"/>
        </w:rPr>
        <w:t xml:space="preserve">Analogous State and Foreign Laws. </w:t>
      </w:r>
      <w:r>
        <w:rPr>
          <w:rFonts w:ascii="Arial" w:cs="Arial" w:eastAsia="Arial" w:hAnsi="Arial"/>
          <w:sz w:val="16"/>
          <w:szCs w:val="16"/>
          <w:color w:val="auto"/>
        </w:rPr>
        <w:t>Analogous state and foreign fraud and abuse laws and regulations, such as state anti-kickback and false claims</w:t>
      </w:r>
      <w:r>
        <w:rPr>
          <w:rFonts w:ascii="Arial" w:cs="Arial" w:eastAsia="Arial" w:hAnsi="Arial"/>
          <w:sz w:val="16"/>
          <w:szCs w:val="16"/>
          <w:i w:val="1"/>
          <w:iCs w:val="1"/>
          <w:color w:val="auto"/>
        </w:rPr>
        <w:t xml:space="preserve"> </w:t>
      </w:r>
      <w:r>
        <w:rPr>
          <w:rFonts w:ascii="Arial" w:cs="Arial" w:eastAsia="Arial" w:hAnsi="Arial"/>
          <w:sz w:val="16"/>
          <w:szCs w:val="16"/>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European Union Member States, such as the U.K. Bribery Act 2010. Infringement of these laws could result in substantial fines and imprisonment.</w:t>
      </w:r>
    </w:p>
    <w:p>
      <w:pPr>
        <w:spacing w:after="0" w:line="18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6" w:name="page67"/>
    <w:bookmarkEnd w:id="66"/>
    <w:p>
      <w:pPr>
        <w:ind w:right="20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Arial" w:cs="Arial" w:eastAsia="Arial" w:hAnsi="Arial"/>
          <w:sz w:val="18"/>
          <w:szCs w:val="18"/>
          <w:color w:val="auto"/>
        </w:rPr>
        <w:t>.</w:t>
      </w:r>
    </w:p>
    <w:p>
      <w:pPr>
        <w:spacing w:after="0" w:line="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collection, use, disclosure, transfer or other processing of personal data, including personal health data, of individuals in the European Union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European Union, including the United States.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168"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the CCPA, which went into effect on January 1, 2020, is creating similar risks and obligations as those created by GDPR, though the CCPA does exempt certain information collected as part of a 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8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If we further expand our operations outside the United States,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7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 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ind w:right="120"/>
        <w:spacing w:after="0" w:line="277" w:lineRule="auto"/>
        <w:rPr>
          <w:sz w:val="20"/>
          <w:szCs w:val="20"/>
          <w:color w:val="auto"/>
        </w:rPr>
      </w:pPr>
      <w:r>
        <w:rPr>
          <w:rFonts w:ascii="Arial" w:cs="Arial" w:eastAsia="Arial" w:hAnsi="Arial"/>
          <w:sz w:val="18"/>
          <w:szCs w:val="18"/>
          <w:color w:val="auto"/>
        </w:rPr>
        <w:t>industry codes, or professional codes of conduct applicable in the European Union Member States. Failure to comply with these requirements could result in reputational risk, public reprimands, administrative penalties, fines, or imprisonment.</w:t>
      </w:r>
    </w:p>
    <w:p>
      <w:pPr>
        <w:spacing w:after="0" w:line="170"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4"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184"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Haduvio or any future product candidate could be significantly delayed.</w:t>
      </w:r>
    </w:p>
    <w:p>
      <w:pPr>
        <w:spacing w:after="0" w:line="17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team and to attract, retain and motivate qualified personnel.</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are highly dependent on Jennifer Good, our President and Chief Executive Officer; Thomas Sciascia, M.D., our Chief Medical Officer; and William Forbes, Pharm. D., our Chief Development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all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8" w:name="page69"/>
    <w:bookmarkEnd w:id="68"/>
    <w:p>
      <w:pPr>
        <w:ind w:right="180"/>
        <w:spacing w:after="0" w:line="263" w:lineRule="auto"/>
        <w:rPr>
          <w:sz w:val="20"/>
          <w:szCs w:val="20"/>
          <w:color w:val="auto"/>
        </w:rPr>
      </w:pPr>
      <w:r>
        <w:rPr>
          <w:rFonts w:ascii="Arial" w:cs="Arial" w:eastAsia="Arial" w:hAnsi="Arial"/>
          <w:sz w:val="18"/>
          <w:szCs w:val="18"/>
          <w:color w:val="auto"/>
        </w:rPr>
        <w:t>the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18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78"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140"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As of March 31, 2021, we had 23 employees. We expect to experience significant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Haduvio for additional indications or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any product candidate.</w:t>
      </w:r>
    </w:p>
    <w:p>
      <w:pPr>
        <w:spacing w:after="0" w:line="29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38"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sustainable.</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Our shares of common stock began trading on the Nasdaq Global Market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common stock is highly volatile, which could result in substantial losses for purchasers of our common stock.</w:t>
      </w:r>
    </w:p>
    <w:p>
      <w:pPr>
        <w:spacing w:after="0" w:line="1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76" w:lineRule="exact"/>
        <w:rPr>
          <w:sz w:val="20"/>
          <w:szCs w:val="20"/>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results of clinical trials of Haduvio or any future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actions with respect to Haduvio or any future product candidates or competitors’ products and product candidates;</w:t>
      </w:r>
    </w:p>
    <w:p>
      <w:pPr>
        <w:spacing w:after="0" w:line="144" w:lineRule="exact"/>
        <w:rPr>
          <w:rFonts w:ascii="Arial" w:cs="Arial" w:eastAsia="Arial" w:hAnsi="Arial"/>
          <w:sz w:val="18"/>
          <w:szCs w:val="18"/>
          <w:color w:val="auto"/>
        </w:rPr>
      </w:pPr>
    </w:p>
    <w:p>
      <w:pPr>
        <w:ind w:left="880" w:right="98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rights;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related to any of our development programs;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our efforts to discover, develop, acquire or in-license additional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estimated financial results or development timelines;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recommendations and changes in estimates or recommendations by securities analysts, if any, that cover our stock;</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 the United States and other countries;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recent adverse changes in the domestic and international financial markets, and the impacts of the COVID-19 pandemic;</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factors and considerations described in this “Risk Factors” section.</w:t>
      </w:r>
    </w:p>
    <w:p>
      <w:pPr>
        <w:spacing w:after="0" w:line="252"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In addition, the COVID-19 pandemic has negatively affected the stock market and investor sentiment. The price and volatility of our common stock may be disproportionately affected as investors may favor traditional profit-making industries and companies during the times of market uncertainty and instability.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2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6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our company or fail to regularly publish reports on us, we could lose visibility in the financial markets, which could cause the trading price and volume of our shares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shares of our common stock, including by us, employees and significant stockholders, could negatively affect our stock price.</w:t>
      </w:r>
    </w:p>
    <w:p>
      <w:pPr>
        <w:spacing w:after="0" w:line="140"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12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184" w:lineRule="exact"/>
        <w:rPr>
          <w:sz w:val="20"/>
          <w:szCs w:val="20"/>
          <w:color w:val="auto"/>
        </w:rPr>
      </w:pPr>
    </w:p>
    <w:p>
      <w:pPr>
        <w:jc w:val="both"/>
        <w:ind w:right="60" w:firstLine="510"/>
        <w:spacing w:after="0" w:line="342"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124"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16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currently have on file with the SEC a universal shelf registration statement on Form S-3, or the Shelf Registration Statement, which allows us to offer and sell registered common stock, preferred stock, debt securities, units and/or warrants from time to time pursuant to one or more offerings at prices and terms to be determined at the time of sale. In June 2020, we entered into the ATM Sales Agreement, pursuant to which, from time to time, we may offer and sell under the ATM Sales Agreement up to $12.0 million of the common stock registered under the Shelf Registration Statement pursuant to one or more “at the market” offerings. As of March 31, 2021, we had sold 2,055,497 shares of common stock for an aggregate purchase price of $7.6 million pursuant to the ATM Sales Agreement. The extent to which we utilize the ATM Sales Agreement as a source of funding will depend on a number of factors, including the prevailing market price of our common stock, general market conditions, and the extent to which we are able to secure funds from other sources.</w:t>
      </w:r>
    </w:p>
    <w:p>
      <w:pPr>
        <w:spacing w:after="0" w:line="192"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Sales of substantial amounts of shares of our common stock or other securities by our stockholders, by us under the Shelf Registration Statement, whether pursuant to the ATM Sales Agreement or otherwise, or through any other means could also lower the market price of our common stock and impair our ability to raise capital through the sale of equity or equity-related securities.</w:t>
      </w:r>
    </w:p>
    <w:p>
      <w:pPr>
        <w:spacing w:after="0" w:line="29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Ownership of our common stock is concentrated among our executive officers and directors and their affiliates and our significant stockholders, who have significant influence over our business, which may prevent new investors from influencing significant corporate decisions.</w:t>
      </w:r>
    </w:p>
    <w:p>
      <w:pPr>
        <w:spacing w:after="0" w:line="16" w:lineRule="exact"/>
        <w:rPr>
          <w:sz w:val="20"/>
          <w:szCs w:val="20"/>
          <w:color w:val="auto"/>
        </w:rPr>
      </w:pPr>
    </w:p>
    <w:p>
      <w:pPr>
        <w:ind w:right="460" w:firstLine="510"/>
        <w:spacing w:after="0" w:line="259" w:lineRule="auto"/>
        <w:rPr>
          <w:sz w:val="20"/>
          <w:szCs w:val="20"/>
          <w:color w:val="auto"/>
        </w:rPr>
      </w:pPr>
      <w:r>
        <w:rPr>
          <w:rFonts w:ascii="Arial" w:cs="Arial" w:eastAsia="Arial" w:hAnsi="Arial"/>
          <w:sz w:val="18"/>
          <w:szCs w:val="18"/>
          <w:color w:val="auto"/>
        </w:rPr>
        <w:t>Our executive officers and directors and their affiliates and our significant stockholders in the aggregate, beneficially own shares representing approximately 60.0% of our common stock as of May 12, 2021. As a result, our executive officers and directors and their affiliates and our significant stockholders acting together would be able to control all matters submitted to our stockholders for approval, as well as our management and affairs. This concentration of ownership control may:</w:t>
      </w:r>
    </w:p>
    <w:p>
      <w:pPr>
        <w:spacing w:after="0" w:line="79" w:lineRule="exact"/>
        <w:rPr>
          <w:sz w:val="20"/>
          <w:szCs w:val="20"/>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71" w:name="page72"/>
    <w:bookmarkEnd w:id="71"/>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entrench our management or the board of directors; or</w:t>
      </w:r>
    </w:p>
    <w:p>
      <w:pPr>
        <w:spacing w:after="0" w:line="144"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impede a merger, consolidation, takeover, sale, other business combination or other significant corporate transaction involving us that other stockholders may desire.</w:t>
      </w:r>
    </w:p>
    <w:p>
      <w:pPr>
        <w:spacing w:after="0" w:line="170"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Some of these persons or entities may have interests different than yours. For example, because many of these stockholders purchased their shares at prices substantially below our initial public offering price and have held their shares for a longer period, they may be more interested in selling our company to an acquirer than other investors or they may want us to pursue strategies that deviate from the interests of other stockholders.</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62"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the SVB Term Loan preclude us from paying dividends, and any future debt or credit agreements may also preclude us from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2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6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2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As a public company, and particularly after we are no longer an “emerging growth company” or a “smaller reporting company,” we will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will need to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rules and regulations, and this investment may result in increased general and administrative expenses and a diversion of management’s time and attention from revenue-generating activities to compliance activities. If, notwithstanding our efforts to comply with new laws, rules and regulations, we fail to comply, regulatory authorities may initiate legal proceedings against us and our business may be harmed.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40"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As of December 31, 2020, we had federal and state net operating loss carryforwards of $137.6 million, and federal research and development tax credit carryforwards of $3.9 million, which if not utilized generally will begin to expire in 2031 and 2032, respectively. These net operating loss and tax credit carryforwards could expire unused and be unavailable to offset future income tax liabilities. In general, under Section 382 of the Internal Revenue Code of 1986, as amended, or the Code,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Due to our Series A convertible preferred stock financing in December 2012 and the shares issued in connection with our IPO in May 2019, an “ownership change” under Section 382 of the Code occurred. As a result, our ability to use approximately $91.3 million of our net operating loss carryforwards and approximately $3.0 million of our research and development tax credits is limited. We may experience further ownership changes in the future as a result of subsequent shifts in our stock ownership, some of which may be outside of our control. If a further ownership change occurs, our ability to use our net operating loss carryforwards might be further limited. We have not conducted a detailed study to document whether our historical activities qualify to support our research and development credit carryforwards. A detailed study could result in adjustment to our research and development credit carryforwards. If we determine that an ownership change occurs and our ability to use our historical net operating loss and tax credit carryforwards is materially limited, or if our research and development tax credit carryforwards are adjusted, it would harm our future operating results by effectively increasing our future tax obligations.</w:t>
      </w:r>
    </w:p>
    <w:p>
      <w:pPr>
        <w:spacing w:after="0" w:line="18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Recent changes in tax law may adversely affect our business or financial condition. On December 22, 2017, the U.S. government enacted the Tax Act, which significantly reformed the Code.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NOLs may be carried forward indefinitely), the imposition of a one-time taxation of offshore earnings at reduced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ind w:right="180"/>
        <w:spacing w:after="0" w:line="263" w:lineRule="auto"/>
        <w:rPr>
          <w:sz w:val="20"/>
          <w:szCs w:val="20"/>
          <w:color w:val="auto"/>
        </w:rPr>
      </w:pPr>
      <w:r>
        <w:rPr>
          <w:rFonts w:ascii="Arial" w:cs="Arial" w:eastAsia="Arial" w:hAnsi="Arial"/>
          <w:sz w:val="18"/>
          <w:szCs w:val="18"/>
          <w:color w:val="auto"/>
        </w:rPr>
        <w:t>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84"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As part of Congress’s response to the COVID-19 pandemic,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6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Regulatory guidance under the Tax Act, the FFCR Act and the CARES Act is and continues to be forthcoming, and such guidance could ultimately increase or lessen impact of these laws on our business and financial condition. It is also likely that Congress will enact additional legislation in connection with the COVID-19 pandemic, some of which could have an impact on our company. In addition, it is uncertain if and to what extent various states will conform to the Tax Act, the FFCR Act or the CARES Act.</w:t>
      </w:r>
    </w:p>
    <w:p>
      <w:pPr>
        <w:spacing w:after="0" w:line="3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880" w:hanging="373"/>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44"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62"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44"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4" w:name="page75"/>
    <w:bookmarkEnd w:id="74"/>
    <w:p>
      <w:pPr>
        <w:jc w:val="both"/>
        <w:ind w:right="100"/>
        <w:spacing w:after="0" w:line="301" w:lineRule="auto"/>
        <w:rPr>
          <w:sz w:val="20"/>
          <w:szCs w:val="20"/>
          <w:color w:val="auto"/>
        </w:rPr>
      </w:pPr>
      <w:r>
        <w:rPr>
          <w:rFonts w:ascii="Arial" w:cs="Arial" w:eastAsia="Arial" w:hAnsi="Arial"/>
          <w:sz w:val="16"/>
          <w:szCs w:val="16"/>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United States of America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49"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w:t>
      </w:r>
    </w:p>
    <w:p>
      <w:pPr>
        <w:spacing w:after="0" w:line="2" w:lineRule="exact"/>
        <w:rPr>
          <w:sz w:val="20"/>
          <w:szCs w:val="20"/>
          <w:color w:val="auto"/>
        </w:rPr>
      </w:pPr>
    </w:p>
    <w:p>
      <w:pPr>
        <w:jc w:val="both"/>
        <w:ind w:right="100" w:firstLine="8"/>
        <w:spacing w:after="0" w:line="270" w:lineRule="auto"/>
        <w:tabs>
          <w:tab w:leader="none" w:pos="2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United States federal courts or any other claim for which United States federal courts have exclusive jurisdiction.</w:t>
      </w:r>
    </w:p>
    <w:p>
      <w:pPr>
        <w:spacing w:after="0" w:line="28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We did not sell or issue any equity securities during the three months ended March 31, 2021 that were not registered under the Securities Act of 1933, as amended, or the Securities Act.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On May 9, 2019, we closed our initial public offering, or IPO, in which we issued and sold 5,500,000 shares of common stock at a public offering price of $10.00 per share. The aggregate gross proceeds to us from our IPO were $55.0 million.</w:t>
      </w:r>
    </w:p>
    <w:p>
      <w:pPr>
        <w:spacing w:after="0" w:line="62"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All of the shares of common stock issued and sold in our IPO were registered under the Securities Act pursuant to a registration statement on Form S-1 (Registration No. 333-230745), which was declared effective by the SEC on May 7, 2019. The aggregate net proceeds to us from the IPO were approximately $48.2 million, after deducting underwriting discounts and commissions and offering expenses payable by us of approximately $6.8 million.</w:t>
      </w:r>
    </w:p>
    <w:p>
      <w:pPr>
        <w:spacing w:after="0" w:line="4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persons owning 10% or more of any class of our equity securities or to any other affiliates.</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As of March 31, 2021, we used approximately $27.4 million of the net proceeds from the IPO to fund the development of Haduvio for the treatment of pruritus associated with prurigo nodularis, the treatment of chronic cough in patients with IPF and general corporate purposes. There has been no material change in our planned use of the net proceeds from the IPO as described in our final prospectus for the IPO filed with the SEC pursuant to Rule 424(b) under the Securities Act. We have invested the net proceeds from the IPO in money market funds.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3420" w:type="dxa"/>
            <w:vAlign w:val="bottom"/>
          </w:tcPr>
          <w:p>
            <w:pPr>
              <w:spacing w:after="0"/>
              <w:rPr>
                <w:sz w:val="14"/>
                <w:szCs w:val="14"/>
                <w:color w:val="auto"/>
              </w:rPr>
            </w:pPr>
          </w:p>
        </w:tc>
        <w:tc>
          <w:tcPr>
            <w:tcW w:w="6680" w:type="dxa"/>
            <w:vAlign w:val="bottom"/>
            <w:gridSpan w:val="4"/>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3420" w:type="dxa"/>
            <w:vAlign w:val="bottom"/>
          </w:tcPr>
          <w:p>
            <w:pPr>
              <w:spacing w:after="0"/>
              <w:rPr>
                <w:sz w:val="14"/>
                <w:szCs w:val="14"/>
                <w:color w:val="auto"/>
              </w:rPr>
            </w:pPr>
          </w:p>
        </w:tc>
        <w:tc>
          <w:tcPr>
            <w:tcW w:w="6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100" w:type="dxa"/>
            <w:vAlign w:val="bottom"/>
            <w:tcBorders>
              <w:top w:val="single" w:sz="8" w:color="auto"/>
            </w:tcBorders>
            <w:gridSpan w:val="5"/>
          </w:tcPr>
          <w:p>
            <w:pPr>
              <w:spacing w:after="0"/>
              <w:rPr>
                <w:rFonts w:ascii="Arial" w:cs="Arial" w:eastAsia="Arial" w:hAnsi="Arial"/>
                <w:sz w:val="18"/>
                <w:szCs w:val="18"/>
                <w:color w:val="0000EE"/>
                <w:w w:val="93"/>
              </w:rPr>
            </w:pPr>
            <w:hyperlink w:anchor="page79">
              <w:r>
                <w:rPr>
                  <w:rFonts w:ascii="Arial" w:cs="Arial" w:eastAsia="Arial" w:hAnsi="Arial"/>
                  <w:sz w:val="18"/>
                  <w:szCs w:val="18"/>
                  <w:color w:val="0000EE"/>
                  <w:w w:val="93"/>
                </w:rPr>
                <w:t>Certification of Principal Executive Officer and Principal Financial Officer Pursuant to Rules 13a-14(a) or 15d-14(a) under the Securities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Exchange Act of 1934, as Adopted Pursuant to Section 302 of the Sarbanes-Oxley Act of 2002</w:t>
              </w:r>
            </w:hyperlink>
          </w:p>
        </w:tc>
        <w:tc>
          <w:tcPr>
            <w:tcW w:w="3040" w:type="dxa"/>
            <w:vAlign w:val="bottom"/>
            <w:tcBorders>
              <w:top w:val="single" w:sz="8" w:color="0000EE"/>
            </w:tcBorders>
            <w:gridSpan w:val="2"/>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5"/>
          </w:tcPr>
          <w:p>
            <w:pPr>
              <w:spacing w:after="0"/>
              <w:rPr>
                <w:rFonts w:ascii="Arial" w:cs="Arial" w:eastAsia="Arial" w:hAnsi="Arial"/>
                <w:sz w:val="18"/>
                <w:szCs w:val="18"/>
                <w:color w:val="0000EE"/>
                <w:w w:val="94"/>
              </w:rPr>
            </w:pPr>
            <w:hyperlink w:anchor="page80">
              <w:r>
                <w:rPr>
                  <w:rFonts w:ascii="Arial" w:cs="Arial" w:eastAsia="Arial" w:hAnsi="Arial"/>
                  <w:sz w:val="18"/>
                  <w:szCs w:val="18"/>
                  <w:color w:val="0000EE"/>
                  <w:w w:val="94"/>
                </w:rPr>
                <w:t>Certification of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Section 906 of the Sarbanes-Oxley Act of 2002</w:t>
              </w:r>
            </w:hyperlink>
          </w:p>
        </w:tc>
        <w:tc>
          <w:tcPr>
            <w:tcW w:w="6340" w:type="dxa"/>
            <w:vAlign w:val="bottom"/>
            <w:tcBorders>
              <w:top w:val="single" w:sz="8" w:color="0000EE"/>
            </w:tcBorders>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9512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98"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7" w:name="page78"/>
    <w:bookmarkEnd w:id="77"/>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TREVI THERAPEUTICS, INC.</w:t>
      </w:r>
    </w:p>
    <w:p>
      <w:pPr>
        <w:spacing w:after="0" w:line="252" w:lineRule="exact"/>
        <w:rPr>
          <w:sz w:val="20"/>
          <w:szCs w:val="20"/>
          <w:color w:val="auto"/>
        </w:rPr>
      </w:pPr>
    </w:p>
    <w:p>
      <w:pPr>
        <w:spacing w:after="0"/>
        <w:tabs>
          <w:tab w:leader="none" w:pos="6120" w:val="left"/>
          <w:tab w:leader="none" w:pos="820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429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2"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Jennifer Good</w:t>
      </w:r>
    </w:p>
    <w:p>
      <w:pPr>
        <w:spacing w:after="0" w:line="27"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and Principal Financial Officer)</w:t>
      </w:r>
    </w:p>
    <w:p>
      <w:pPr>
        <w:spacing w:after="0" w:line="238" w:lineRule="exact"/>
        <w:rPr>
          <w:sz w:val="20"/>
          <w:szCs w:val="20"/>
          <w:color w:val="auto"/>
        </w:rPr>
      </w:pPr>
    </w:p>
    <w:p>
      <w:pPr>
        <w:ind w:left="614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Galletta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429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2"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Christopher Galletta</w:t>
      </w:r>
    </w:p>
    <w:p>
      <w:pPr>
        <w:spacing w:after="0" w:line="27"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Controller and Treasurer</w:t>
      </w:r>
    </w:p>
    <w:p>
      <w:pPr>
        <w:spacing w:after="0" w:line="9"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5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800"/>
          </w:cols>
          <w:pgMar w:left="320" w:top="553" w:right="779" w:bottom="1440" w:gutter="0" w:footer="0" w:header="0"/>
        </w:sectPr>
      </w:pPr>
    </w:p>
    <w:bookmarkStart w:id="78" w:name="page79"/>
    <w:bookmarkEnd w:id="78"/>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left="340" w:right="120"/>
        <w:spacing w:after="0" w:line="282" w:lineRule="auto"/>
        <w:rPr>
          <w:sz w:val="20"/>
          <w:szCs w:val="20"/>
          <w:color w:val="auto"/>
        </w:rPr>
      </w:pPr>
      <w:r>
        <w:rPr>
          <w:rFonts w:ascii="Arial" w:cs="Arial" w:eastAsia="Arial" w:hAnsi="Arial"/>
          <w:sz w:val="18"/>
          <w:szCs w:val="18"/>
          <w:b w:val="1"/>
          <w:bCs w:val="1"/>
          <w:color w:val="auto"/>
        </w:rPr>
        <w:t>CERTIFICATION PURSUANT TO RULES 13a-14(a) OR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Jennifer L. Good, certify that:</w:t>
      </w:r>
    </w:p>
    <w:p>
      <w:pPr>
        <w:spacing w:after="0" w:line="225" w:lineRule="exact"/>
        <w:rPr>
          <w:sz w:val="20"/>
          <w:szCs w:val="20"/>
          <w:color w:val="auto"/>
        </w:rPr>
      </w:pPr>
    </w:p>
    <w:p>
      <w:pPr>
        <w:ind w:left="700" w:hanging="182"/>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Trevi Therapeutics,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0" w:firstLine="483"/>
        <w:spacing w:after="0" w:line="263" w:lineRule="auto"/>
        <w:tabs>
          <w:tab w:leader="none" w:pos="119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200" w:firstLine="483"/>
        <w:spacing w:after="0" w:line="263" w:lineRule="auto"/>
        <w:tabs>
          <w:tab w:leader="none" w:pos="12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60" w:firstLine="483"/>
        <w:spacing w:after="0" w:line="342" w:lineRule="auto"/>
        <w:tabs>
          <w:tab w:leader="none" w:pos="1191"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20" w:firstLine="483"/>
        <w:spacing w:after="0" w:line="263" w:lineRule="auto"/>
        <w:tabs>
          <w:tab w:leader="none" w:pos="12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483"/>
        <w:spacing w:after="0" w:line="308" w:lineRule="auto"/>
        <w:tabs>
          <w:tab w:leader="none" w:pos="1191"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483"/>
        <w:spacing w:after="0" w:line="277" w:lineRule="auto"/>
        <w:tabs>
          <w:tab w:leader="none" w:pos="12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tabs>
          <w:tab w:leader="none" w:pos="5580" w:val="left"/>
          <w:tab w:leader="none" w:pos="598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Executive Officer and Principal Financial Officer)</w:t>
      </w:r>
    </w:p>
    <w:p>
      <w:pPr>
        <w:sectPr>
          <w:pgSz w:w="11900" w:h="16838" w:orient="portrait"/>
          <w:cols w:equalWidth="0" w:num="1">
            <w:col w:w="11240"/>
          </w:cols>
          <w:pgMar w:left="320" w:top="36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connection with the Quarterly Report on Form 10-Q of Trevi Therapeutics, Inc. (the “Company”) for the period ended March 31, 2021,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7" w:lineRule="exact"/>
        <w:rPr>
          <w:sz w:val="20"/>
          <w:szCs w:val="20"/>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 and Principal Financial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2"/>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3"/>
    </w:lvl>
  </w:abstractNum>
  <w:abstractNum w:abstractNumId="11">
    <w:nsid w:val="6CEAF087"/>
    <w:multiLevelType w:val="hybridMultilevel"/>
    <w:lvl w:ilvl="0">
      <w:lvlJc w:val="left"/>
      <w:lvlText w:val="%1."/>
      <w:numFmt w:val="decimal"/>
      <w:start w:val="4"/>
    </w:lvl>
  </w:abstractNum>
  <w:abstractNum w:abstractNumId="12">
    <w:nsid w:val="22221A70"/>
    <w:multiLevelType w:val="hybridMultilevel"/>
    <w:lvl w:ilvl="0">
      <w:lvlJc w:val="left"/>
      <w:lvlText w:val="%1."/>
      <w:numFmt w:val="decimal"/>
      <w:start w:val="5"/>
    </w:lvl>
  </w:abstractNum>
  <w:abstractNum w:abstractNumId="13">
    <w:nsid w:val="4516DDE9"/>
    <w:multiLevelType w:val="hybridMultilevel"/>
    <w:lvl w:ilvl="0">
      <w:lvlJc w:val="left"/>
      <w:lvlText w:val="%1."/>
      <w:numFmt w:val="decimal"/>
      <w:start w:val="6"/>
    </w:lvl>
  </w:abstractNum>
  <w:abstractNum w:abstractNumId="14">
    <w:nsid w:val="3006C83E"/>
    <w:multiLevelType w:val="hybridMultilevel"/>
    <w:lvl w:ilvl="0">
      <w:lvlJc w:val="left"/>
      <w:lvlText w:val="%1."/>
      <w:numFmt w:val="decimal"/>
      <w:start w:val="7"/>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8"/>
    </w:lvl>
  </w:abstractNum>
  <w:abstractNum w:abstractNumId="17">
    <w:nsid w:val="5577F8E1"/>
    <w:multiLevelType w:val="hybridMultilevel"/>
    <w:lvl w:ilvl="0">
      <w:lvlJc w:val="left"/>
      <w:lvlText w:val="%1."/>
      <w:numFmt w:val="decimal"/>
      <w:start w:val="9"/>
    </w:lvl>
  </w:abstractNum>
  <w:abstractNum w:abstractNumId="18">
    <w:nsid w:val="440BADFC"/>
    <w:multiLevelType w:val="hybridMultilevel"/>
    <w:lvl w:ilvl="0">
      <w:lvlJc w:val="left"/>
      <w:lvlText w:val="%1."/>
      <w:numFmt w:val="decimal"/>
      <w:start w:val="10"/>
    </w:lvl>
  </w:abstractNum>
  <w:abstractNum w:abstractNumId="19">
    <w:nsid w:val="5072367"/>
    <w:multiLevelType w:val="hybridMultilevel"/>
    <w:lvl w:ilvl="0">
      <w:lvlJc w:val="left"/>
      <w:lvlText w:val="%1."/>
      <w:numFmt w:val="decimal"/>
      <w:start w:val="1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2"/>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4"/>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2021-05-13T15:29:23Z</dcterms:created>
  <dcterms:modified xsi:type="dcterms:W3CDTF">2021-05-13T15:29:23Z</dcterms:modified>
</cp:coreProperties>
</file>