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trvi-20260806.htm"/>
      <w:bookmarkStart w:id="1" w:name="kstrvi20260806"/>
      <w:bookmarkEnd w:id="0"/>
      <w:bookmarkEnd w:id="1"/>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 August 6, 2026</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Trevi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4916" w:type="dxa"/>
        <w:jc w:val="left"/>
        <w:tblInd w:w="0" w:type="dxa"/>
        <w:tblLayout w:type="fixed"/>
        <w:tblCellMar>
          <w:top w:w="28" w:type="dxa"/>
          <w:left w:w="28" w:type="dxa"/>
          <w:bottom w:w="28" w:type="dxa"/>
          <w:right w:w="28" w:type="dxa"/>
        </w:tblCellMar>
      </w:tblPr>
      <w:tblGrid>
        <w:gridCol w:w="2146"/>
        <w:gridCol w:w="109"/>
        <w:gridCol w:w="1066"/>
        <w:gridCol w:w="109"/>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001-38886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056" w:type="dxa"/>
        <w:jc w:val="left"/>
        <w:tblInd w:w="0" w:type="dxa"/>
        <w:tblLayout w:type="fixed"/>
        <w:tblCellMar>
          <w:top w:w="28" w:type="dxa"/>
          <w:left w:w="28" w:type="dxa"/>
          <w:bottom w:w="28" w:type="dxa"/>
          <w:right w:w="28" w:type="dxa"/>
        </w:tblCellMar>
      </w:tblPr>
      <w:tblGrid>
        <w:gridCol w:w="3016"/>
        <w:gridCol w:w="109"/>
        <w:gridCol w:w="931"/>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04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sz w:val="17"/>
              </w:rPr>
            </w:pPr>
            <w:r>
              <w:rPr>
                <w:rFonts w:ascii="Times New Roman" w:hAnsi="Times New Roman"/>
                <w:b/>
                <w:color w:val="000000"/>
                <w:sz w:val="20"/>
              </w:rPr>
              <w:t>195 Church Street, 16</w:t>
            </w:r>
            <w:r>
              <w:rPr>
                <w:rFonts w:ascii="Times New Roman" w:hAnsi="Times New Roman"/>
                <w:b/>
                <w:color w:val="000000"/>
                <w:sz w:val="17"/>
              </w:rPr>
              <w:t>th</w:t>
            </w:r>
            <w:r>
              <w:rPr>
                <w:rFonts w:ascii="Times New Roman" w:hAnsi="Times New Roman"/>
                <w:color w:val="000000"/>
                <w:sz w:val="20"/>
              </w:rPr>
              <w:t xml:space="preserve"> </w:t>
            </w:r>
            <w:r>
              <w:rPr>
                <w:rFonts w:ascii="Times New Roman" w:hAnsi="Times New Roman"/>
                <w:b/>
                <w:color w:val="000000"/>
                <w:sz w:val="20"/>
              </w:rPr>
              <w:t>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New Haven, Connecticut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06510</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(203)</w:t>
      </w:r>
      <w:r>
        <w:rPr>
          <w:rFonts w:ascii="Times New Roman" w:hAnsi="Times New Roman"/>
          <w:color w:val="000000"/>
          <w:sz w:val="20"/>
        </w:rPr>
        <w:t xml:space="preserve"> </w:t>
      </w:r>
      <w:r>
        <w:rPr>
          <w:rFonts w:ascii="Times New Roman" w:hAnsi="Times New Roman"/>
          <w:b/>
          <w:color w:val="000000"/>
          <w:sz w:val="20"/>
        </w:rPr>
        <w:t>304-2499</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7541" w:type="dxa"/>
        <w:jc w:val="left"/>
        <w:tblInd w:w="0" w:type="dxa"/>
        <w:tblLayout w:type="fixed"/>
        <w:tblCellMar>
          <w:top w:w="28" w:type="dxa"/>
          <w:left w:w="28" w:type="dxa"/>
          <w:bottom w:w="28" w:type="dxa"/>
          <w:right w:w="28" w:type="dxa"/>
        </w:tblCellMar>
      </w:tblPr>
      <w:tblGrid>
        <w:gridCol w:w="3736"/>
        <w:gridCol w:w="109"/>
        <w:gridCol w:w="796"/>
        <w:gridCol w:w="109"/>
        <w:gridCol w:w="2791"/>
      </w:tblGrid>
      <w:tr>
        <w:trPr/>
        <w:tc>
          <w:tcPr>
            <w:tcW w:w="3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7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TRVI</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jc w:val="righ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6, 2026, Trevi Therapeutics, Inc., a Delaware corporation (the “Company”), announced its financial results for the quarter ended June 30, 2026. The full text of the press release issued in connection with the announcement is furnished as Exhibit 99.1 to this Current Report on Form 8-K and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provided under Item 2.02 of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trvi-ex99_1.htm">
              <w:r>
                <w:rPr>
                  <w:rStyle w:val="InternetLink"/>
                  <w:rFonts w:ascii="Times New Roman" w:hAnsi="Times New Roman"/>
                  <w:color w:val="0000FF"/>
                  <w:sz w:val="20"/>
                  <w:u w:val="single"/>
                </w:rPr>
                <w:t>Press release issued by the Company on August 6, 2026</w:t>
              </w:r>
            </w:hyperlink>
            <w:r>
              <w:rPr>
                <w:rFonts w:ascii="Times New Roman" w:hAnsi="Times New Roman"/>
                <w:color w:val="000000"/>
                <w:sz w:val="20"/>
              </w:rPr>
              <w:t>*</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The exhibit shall be deemed to be furnished, and not filed.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jc w:val="left"/>
        <w:rPr/>
      </w:pPr>
      <w:r>
        <w:rPr/>
        <w:t> </w:t>
      </w:r>
    </w:p>
    <w:tbl>
      <w:tblPr>
        <w:tblW w:w="4904" w:type="dxa"/>
        <w:jc w:val="left"/>
        <w:tblInd w:w="0" w:type="dxa"/>
        <w:tblLayout w:type="fixed"/>
        <w:tblCellMar>
          <w:top w:w="28" w:type="dxa"/>
          <w:left w:w="28" w:type="dxa"/>
          <w:bottom w:w="28" w:type="dxa"/>
          <w:right w:w="28" w:type="dxa"/>
        </w:tblCellMar>
      </w:tblPr>
      <w:tblGrid>
        <w:gridCol w:w="1846"/>
        <w:gridCol w:w="146"/>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C. Hastings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David C. Hastings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trvi-ex99_1.htm"/>
      <w:bookmarkStart w:id="3" w:name="kstrviex99_1"/>
      <w:bookmarkEnd w:id="2"/>
      <w:bookmarkEnd w:id="3"/>
      <w:r>
        <w:rPr>
          <w:rFonts w:ascii="sans-serif" w:hAnsi="sans-serif"/>
          <w:b/>
          <w:color w:val="000000"/>
          <w:sz w:val="22"/>
        </w:rPr>
        <w:t>Exhibit 99.1</w:t>
      </w:r>
      <w:r>
        <w:br w:type="page"/>
      </w:r>
    </w:p>
    <w:p>
      <w:pPr>
        <w:pStyle w:val="TextBody"/>
        <w:bidi w:val="0"/>
        <w:jc w:val="center"/>
        <w:rPr/>
      </w:pPr>
      <w:r>
        <w:rPr/>
        <w:drawing>
          <wp:inline distT="0" distB="0" distL="0" distR="0">
            <wp:extent cx="2057400" cy="1228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1228725"/>
                    </a:xfrm>
                    <a:prstGeom prst="rect">
                      <a:avLst/>
                    </a:prstGeom>
                  </pic:spPr>
                </pic:pic>
              </a:graphicData>
            </a:graphic>
          </wp:inline>
        </w:drawing>
      </w:r>
    </w:p>
    <w:p>
      <w:pPr>
        <w:pStyle w:val="TextBody"/>
        <w:bidi w:val="0"/>
        <w:jc w:val="center"/>
        <w:rPr>
          <w:rFonts w:ascii="sans-serif" w:hAnsi="sans-serif"/>
          <w:b/>
          <w:color w:val="000000"/>
          <w:sz w:val="24"/>
        </w:rPr>
      </w:pPr>
      <w:r>
        <w:rPr>
          <w:rFonts w:ascii="sans-serif" w:hAnsi="sans-serif"/>
          <w:b/>
          <w:color w:val="000000"/>
          <w:sz w:val="24"/>
        </w:rPr>
        <w:t>Trevi Therapeutics Reports Second Quarter 2026 Financial Results and Provides Business Updates</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Initiated Phase 3 OCEAN-1 trial for patients with idiopathic pulmonary fibrosis-related chronic cough in the second quarter; Phase 3 OCEAN-2 trial expected to initiate in the third quarter of 2026</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Initiated Phase 2b LAKE trial for patients with refractory chronic cough in the second quarter; sample size re-estimation expected in the fourth quarter of 2026</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Management to host a conference call and webcast today at 4:30 p.m. ET </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New Haven, Conn., August 6, 2026</w:t>
      </w:r>
      <w:r>
        <w:rPr>
          <w:rFonts w:ascii="Times New Roman" w:hAnsi="Times New Roman"/>
          <w:color w:val="000000"/>
          <w:sz w:val="20"/>
        </w:rPr>
        <w:t xml:space="preserve"> – </w:t>
      </w:r>
      <w:r>
        <w:rPr>
          <w:rFonts w:ascii="sans-serif" w:hAnsi="sans-serif"/>
          <w:sz w:val="22"/>
        </w:rPr>
        <w:t>Trevi Therapeutics, Inc.</w:t>
      </w:r>
      <w:r>
        <w:rPr>
          <w:rFonts w:ascii="Times New Roman" w:hAnsi="Times New Roman"/>
          <w:color w:val="000000"/>
          <w:sz w:val="20"/>
        </w:rPr>
        <w:t xml:space="preserve"> </w:t>
      </w:r>
      <w:r>
        <w:rPr>
          <w:rFonts w:ascii="sans-serif" w:hAnsi="sans-serif"/>
          <w:color w:val="000000"/>
          <w:sz w:val="22"/>
        </w:rPr>
        <w:t>(Nasdaq: TRVI), a clinical-stage biopharmaceutical company developing the investigational therapy Haduvio (oral nalbuphine ER) for the treatment of chronic cough in patients with idiopathic pulmonary fibrosis (IPF), non-IPF interstitial lung disease (non-IPF ILD), and refractory chronic cough (RCC), today announced financial results for the quarter ended June 30, 2026, and provided business updates.</w:t>
      </w:r>
      <w:r>
        <w:rPr>
          <w:rFonts w:ascii="Times New Roman" w:hAnsi="Times New Roman"/>
          <w:color w:val="000000"/>
          <w:sz w:val="20"/>
        </w:rPr>
        <w:t xml:space="preserve"> </w:t>
      </w:r>
    </w:p>
    <w:p>
      <w:pPr>
        <w:pStyle w:val="TextBody"/>
        <w:bidi w:val="0"/>
        <w:jc w:val="left"/>
        <w:rPr/>
      </w:pPr>
      <w:r>
        <w:rPr>
          <w:color w:val="000000"/>
        </w:rPr>
        <w:t>“</w:t>
      </w:r>
      <w:r>
        <w:rPr>
          <w:rFonts w:ascii="sans-serif" w:hAnsi="sans-serif"/>
          <w:color w:val="000000"/>
          <w:sz w:val="22"/>
        </w:rPr>
        <w:t>We are on track with our clinical trial plans as we initiated our first Phase 3 trial of Haduvio in patients with IPF-related chronic cough and a Phase 2b trial in patients with RCC during the second quarter. We expect to initiate our second Phase 3 trial in IPF-related chronic cough during the third quarter and meet with the FDA regarding our planned non-IPF ILD-related chronic cough trial,” said Jennifer Good, President and CEO of Trevi Therapeutics. “With an experienced team dedicated to advancing our trials across all three of our chronic cough indications, and a strong balance sheet following our April financing, we are well positioned to execute on our plans. We recognize the significant unmet need these patients have and are working diligently to enroll our trials. Following the recent changes in the competitive landscape, and with no FDA-approved therapies currently available, Haduvio has the potential to become a first-in-class therapy that makes a meaningful difference in patients' lives.”</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Recent Business Highlights</w:t>
      </w:r>
    </w:p>
    <w:p>
      <w:pPr>
        <w:pStyle w:val="TextBody"/>
        <w:bidi w:val="0"/>
        <w:jc w:val="left"/>
        <w:rPr>
          <w:rFonts w:ascii="sans-serif" w:hAnsi="sans-serif"/>
          <w:b/>
          <w:color w:val="000000"/>
          <w:sz w:val="22"/>
        </w:rPr>
      </w:pPr>
      <w:r>
        <w:rPr>
          <w:rFonts w:ascii="sans-serif" w:hAnsi="sans-serif"/>
          <w:b/>
          <w:color w:val="000000"/>
          <w:sz w:val="22"/>
        </w:rPr>
        <w:t>IPF-Related Chronic Cough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The Company initiated the </w:t>
      </w:r>
      <w:r>
        <w:rPr>
          <w:rFonts w:ascii="sans-serif" w:hAnsi="sans-serif"/>
          <w:sz w:val="22"/>
        </w:rPr>
        <w:t>Phase 3 OCEAN-1 trial</w:t>
      </w:r>
      <w:r>
        <w:rPr>
          <w:rFonts w:ascii="sans-serif" w:hAnsi="sans-serif"/>
          <w:color w:val="000000"/>
          <w:sz w:val="22"/>
        </w:rPr>
        <w:t>, the first of two parallel conducted Phase 3 trials in patients with IPF-related chronic cough, in the second quarter of 2026. Topline data from the 52-week fixed dosing OCEAN-1 trial is expected in the first half of 2028. The Company plans to initiate the 12-week fixed dosing OCEAN-2 trial, in the third quarter of 2026, with topline results expected in the second half of 2027.</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Non-IPF ILD-Related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 xml:space="preserve">The Company recently submitted a meeting request to the FDA to discuss the proposed development plan for non-IPF ILD-related chronic cough and to align on the overall regulatory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sans-serif" w:hAnsi="sans-serif"/>
          <w:color w:val="000000"/>
          <w:sz w:val="22"/>
        </w:rPr>
      </w:pPr>
      <w:r>
        <w:rPr>
          <w:rFonts w:ascii="sans-serif" w:hAnsi="sans-serif"/>
          <w:color w:val="000000"/>
          <w:sz w:val="22"/>
        </w:rPr>
        <w:t>strategy and requirements to support registration.</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Refractory Chronic Cough</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sans-serif" w:hAnsi="sans-serif"/>
          <w:color w:val="000000"/>
          <w:sz w:val="22"/>
        </w:rPr>
        <w:t xml:space="preserve">The Company initiated the </w:t>
      </w:r>
      <w:r>
        <w:rPr>
          <w:rFonts w:ascii="sans-serif" w:hAnsi="sans-serif"/>
          <w:sz w:val="22"/>
        </w:rPr>
        <w:t>Phase 2b LAKE trial</w:t>
      </w:r>
      <w:r>
        <w:rPr>
          <w:color w:val="000000"/>
        </w:rPr>
        <w:t xml:space="preserve"> </w:t>
      </w:r>
      <w:r>
        <w:rPr>
          <w:rFonts w:ascii="sans-serif" w:hAnsi="sans-serif"/>
          <w:color w:val="000000"/>
          <w:sz w:val="22"/>
        </w:rPr>
        <w:t>in patients with RCC in the second quarter of 2026. The protocol includes a sample size re-estimation (SSRE) analysis once 50% of the participants complete treatment which is expected to occur in the fourth quarter of 2026. The Company will report the outcome of the SSRE once available and expects to report topline results from the trial in the second half of 2027.</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Second Quarter 2026 Financial Highlights </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Cash, cash equivalents and marketable securities:</w:t>
      </w:r>
      <w:r>
        <w:rPr>
          <w:rFonts w:ascii="Times New Roman" w:hAnsi="Times New Roman"/>
          <w:color w:val="000000"/>
          <w:sz w:val="20"/>
        </w:rPr>
        <w:t xml:space="preserve"> </w:t>
      </w:r>
      <w:r>
        <w:rPr>
          <w:rFonts w:ascii="sans-serif" w:hAnsi="sans-serif"/>
          <w:color w:val="000000"/>
          <w:sz w:val="22"/>
        </w:rPr>
        <w:t xml:space="preserve">The Company ended the second quarter of 2026 with $318.9 million. In April 2026, the Company </w:t>
      </w:r>
      <w:r>
        <w:rPr>
          <w:rFonts w:ascii="sans-serif" w:hAnsi="sans-serif"/>
          <w:sz w:val="22"/>
        </w:rPr>
        <w:t>completed an underwritten common stock offering</w:t>
      </w:r>
      <w:r>
        <w:rPr>
          <w:rFonts w:ascii="sans-serif" w:hAnsi="sans-serif"/>
          <w:color w:val="000000"/>
          <w:sz w:val="22"/>
        </w:rPr>
        <w:t>, resulting in net proceeds of approximately $162.3 million, after deducting underwriting discounts, commissions and offering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The Company expects its current cash, cash equivalents and marketable securities to extend its cash runway into 2030 and fund the development of Haduvio for the treatment of patients with IPF-related chronic cough, through potential FDA approval. The Company also expects these cash resources will enable the Company to fund the clinical development program through Phase 3 for the treatment of patients with non-IPF ILD-related chronic cough, and the ongoing Phase 2b LAKE trial for the treatment of patients with RCC. The planned spending of these resources does not include any commercial expenses related to the commercial launch of Haduvio or a Phase 3 clinical trial in RCC.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b/>
          <w:color w:val="000000"/>
          <w:sz w:val="22"/>
        </w:rPr>
        <w:t>Research and development (R&amp;D) expenses:</w:t>
      </w:r>
      <w:r>
        <w:rPr>
          <w:rFonts w:ascii="Times New Roman" w:hAnsi="Times New Roman"/>
          <w:color w:val="000000"/>
          <w:sz w:val="20"/>
        </w:rPr>
        <w:t xml:space="preserve"> </w:t>
      </w:r>
      <w:r>
        <w:rPr>
          <w:rFonts w:ascii="sans-serif" w:hAnsi="sans-serif"/>
          <w:color w:val="000000"/>
          <w:sz w:val="22"/>
        </w:rPr>
        <w:t>R&amp;D expenses for the second quarter of 2026 increased to $15.2 million from $9.4 million in the same period in 2025, primarily due to increased clinical development expenses for the Phase 3 OCEAN-1 trial, the Phase 2b LAKE trial, the Phase 3 OCEAN-2 trial and the Phase 1 NDA supportive studies, as well as increases in stock-based compensation and personnel related expenses. These increases were partially offset by decreased costs for the Phase 2b CORAL trial of Haduvio for patients with IPF-related chronic cough.</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General and administrative (G&amp;A) expenses:</w:t>
      </w:r>
      <w:r>
        <w:rPr>
          <w:rFonts w:ascii="Times New Roman" w:hAnsi="Times New Roman"/>
          <w:color w:val="000000"/>
          <w:sz w:val="20"/>
        </w:rPr>
        <w:t xml:space="preserve"> </w:t>
      </w:r>
      <w:r>
        <w:rPr>
          <w:rFonts w:ascii="sans-serif" w:hAnsi="sans-serif"/>
          <w:color w:val="000000"/>
          <w:sz w:val="22"/>
        </w:rPr>
        <w:t>G&amp;A expenses for the second quarter of 2026 increased to $5.4 million from $4.3 million in the same period in 2025, primarily due to an increase in stock-based compensation and personnel related expenses, partially offset by decreased outside services and professional fees.</w:t>
      </w:r>
    </w:p>
    <w:p>
      <w:pPr>
        <w:pStyle w:val="TextBody"/>
        <w:bidi w:val="0"/>
        <w:jc w:val="left"/>
        <w:rPr>
          <w:rFonts w:ascii="Times New Roman" w:hAnsi="Times New Roman"/>
          <w:sz w:val="20"/>
        </w:rPr>
      </w:pPr>
      <w:r>
        <w:rPr>
          <w:rFonts w:ascii="sans-serif" w:hAnsi="sans-serif"/>
          <w:b/>
          <w:color w:val="000000"/>
          <w:sz w:val="22"/>
        </w:rPr>
        <w:t xml:space="preserve">Other Income, net: </w:t>
      </w:r>
      <w:r>
        <w:rPr>
          <w:rFonts w:ascii="sans-serif" w:hAnsi="sans-serif"/>
          <w:color w:val="000000"/>
          <w:sz w:val="22"/>
        </w:rPr>
        <w:t>Other Income, net for the second quarter of 2026 increased to $2.7 million from $1.4 million in the same period in 2025, primarily due to an increase in interest income from higher invested cash equivalent and marketable securities balances.</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For the second quarter of 2026, the Company reported a net loss of $17.8 million, compared to a net loss of $12.3 million in the same period in 2025.</w:t>
      </w:r>
    </w:p>
    <w:p>
      <w:pPr>
        <w:pStyle w:val="TextBody"/>
        <w:bidi w:val="0"/>
        <w:jc w:val="left"/>
        <w:rPr>
          <w:rFonts w:ascii="Times New Roman" w:hAnsi="Times New Roman"/>
          <w:sz w:val="20"/>
        </w:rPr>
      </w:pPr>
      <w:r>
        <w:rPr>
          <w:rFonts w:ascii="sans-serif" w:hAnsi="sans-serif"/>
          <w:b/>
          <w:color w:val="000000"/>
          <w:sz w:val="22"/>
        </w:rPr>
        <w:t>Conference Call and Webcast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The Company plans to hold a conference call and webcast to discuss the Company’s financial results and business highlights. To register for the live conference call and webcast, please visit the ‘Investors &amp; News’ section of the Company’s website or access directly at </w:t>
      </w:r>
      <w:r>
        <w:rPr>
          <w:rFonts w:ascii="sans-serif" w:hAnsi="sans-serif"/>
          <w:sz w:val="22"/>
        </w:rPr>
        <w:t>ir.trevitherapeutics.com/news-events/events</w:t>
      </w:r>
      <w:r>
        <w:rPr>
          <w:rFonts w:ascii="sans-serif" w:hAnsi="sans-serif"/>
          <w:color w:val="000000"/>
          <w:sz w:val="22"/>
        </w:rPr>
        <w:t>. Please note for phone participants: Once registered, you will receive an email with unique call-in details. An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archived replay of the webcast will also be available for 30 days on the Company's website following the event.</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Upcoming Meetings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The Company plans to participate in the following events:   </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August 10-12: Stifel’s 2026 Biotech Summer Summit</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September 9-11: 2026 Cantor Global Healthcare Conference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September 14-16: H.C. Wainwright 28th Annual Global Investment Conference</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September 14-16: Morgan Stanley 24th Annual Global Healthcare Conference</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Trevi Therapeutics, Inc.</w:t>
      </w:r>
      <w:r>
        <w:rPr>
          <w:rFonts w:ascii="sans-serif" w:hAnsi="sans-serif"/>
          <w:color w:val="000000"/>
          <w:sz w:val="22"/>
        </w:rPr>
        <w:br/>
        <w:t>Trevi Therapeutics, Inc. is a clinical-stage biopharmaceutical company developing the investigational therapy Haduvio (oral nalbuphine extended-release) for the treatment of chronic cough in patients with idiopathic pulmonary fibrosis (IPF), non-IPF interstitial lung disease (non-IPF ILD), and refractory chronic cough (RCC). In clinical trials, Haduvio showed a statistically-significant reduction in cough frequency, consistent across baseline cough frequencies, and showed improvements in patient-reported outcomes, in both patients with IPF-related chronic cough and in patients with RCC. Haduvio is believed to act on the cough reflex arc both centrally and peripherally as a kappa agonist and a mu antagonist (KAMA), targeting opioid receptors that play a key role in controlling chronic cough. Nalbuphine is not currently scheduled by the U.S. Drug Enforcement Agency.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Chronic cough in patients with IPF and non-IPF ILD is a condition with high unmet need and no FDA-approved therapies. There are ~140,000 U.S. patients with IPF, and two-thirds of these patients are faced with uncontrolled chronic cough. Additionally, there are ~228,000 U.S. patients with non-IPF ILD, with 50-60% having uncontrolled chronic cough. The impact of chronic cough is significant, with patients coughing up to 1,500 times per day. This consistent cough, and any associated damage, may lead to a higher risk of morbidity and mortality, including worsening disease, a higher risk of progression, increased respiratory hospitalizations, and a decline in patients' quality of life.</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RCC is a condition with high unmet need and no FDA-approved therapies. RCC is defined as a persistent cough lasting &gt;8 weeks despite treatment for an underlying condition (i.e., asthma, gastroesophageal reflux disease, non-asthmatic eosinophilic bronchitis, upper airway cough syndrome, or post-nasal drip) and includes unexplained chronic cough. There are ~2-3 million U.S. patients with RCC, and it is believed to be associated with cough reflex hypersensitivity involving both the central and peripheral nervous systems. RCC is highly debilitating and may impact patients physically, psychologically, and socially.</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Trevi intends to propose Haduvio as the trade name for oral nalbuphine ER. Its safety and efficacy have not been evaluated by any regulatory authority.</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For more information, visit </w:t>
      </w:r>
      <w:r>
        <w:rPr>
          <w:rFonts w:ascii="sans-serif" w:hAnsi="sans-serif"/>
          <w:sz w:val="22"/>
        </w:rPr>
        <w:t>www.TreviTherapeutics.com</w:t>
      </w:r>
      <w:r>
        <w:rPr>
          <w:rFonts w:ascii="Times New Roman" w:hAnsi="Times New Roman"/>
          <w:color w:val="000000"/>
          <w:sz w:val="20"/>
        </w:rPr>
        <w:t> </w:t>
      </w:r>
      <w:r>
        <w:rPr>
          <w:rFonts w:ascii="sans-serif" w:hAnsi="sans-serif"/>
          <w:color w:val="000000"/>
          <w:sz w:val="22"/>
        </w:rPr>
        <w:t>and follow Trevi on </w:t>
      </w:r>
      <w:r>
        <w:rPr>
          <w:rFonts w:ascii="sans-serif" w:hAnsi="sans-serif"/>
          <w:sz w:val="22"/>
        </w:rPr>
        <w:t>X</w:t>
      </w:r>
      <w:r>
        <w:rPr>
          <w:rFonts w:ascii="Times New Roman" w:hAnsi="Times New Roman"/>
          <w:color w:val="000000"/>
          <w:sz w:val="20"/>
        </w:rPr>
        <w:t> </w:t>
      </w:r>
      <w:r>
        <w:rPr>
          <w:rFonts w:ascii="sans-serif" w:hAnsi="sans-serif"/>
          <w:color w:val="000000"/>
          <w:sz w:val="22"/>
        </w:rPr>
        <w:t>(formerly Twitter) and </w:t>
      </w:r>
      <w:r>
        <w:rPr>
          <w:rFonts w:ascii="sans-serif" w:hAnsi="sans-serif"/>
          <w:sz w:val="22"/>
        </w:rPr>
        <w:t>LinkedIn</w:t>
      </w:r>
      <w:r>
        <w:rPr>
          <w:rFonts w:ascii="sans-serif" w:hAnsi="sans-serif"/>
          <w:color w:val="000000"/>
          <w:sz w:val="22"/>
        </w:rPr>
        <w:t>.  </w:t>
      </w:r>
    </w:p>
    <w:p>
      <w:pPr>
        <w:pStyle w:val="TextBody"/>
        <w:bidi w:val="0"/>
        <w:jc w:val="left"/>
        <w:rPr>
          <w:color w:val="000000"/>
        </w:rPr>
      </w:pPr>
      <w:r>
        <w:rPr>
          <w:color w:val="000000"/>
        </w:rPr>
        <w:t xml:space="preserve">  </w:t>
      </w:r>
    </w:p>
    <w:p>
      <w:pPr>
        <w:pStyle w:val="TextBody"/>
        <w:bidi w:val="0"/>
        <w:jc w:val="left"/>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r>
        <w:rPr>
          <w:rFonts w:ascii="sans-serif" w:hAnsi="sans-serif"/>
          <w:color w:val="000000"/>
          <w:sz w:val="22"/>
        </w:rPr>
        <w:br/>
        <w:t>Statements contained in this press release regarding matters that are not historical facts are “forward-looking statements” within the meaning of the Private Securities Litigation Reform Act of 1995. Such statements are subject to risks and uncertainties and actual results may differ materially from those expressed or implied by such forward-looking statements. Such statements include, but are not limited to,</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2"/>
        </w:rPr>
      </w:pPr>
      <w:r>
        <w:rPr>
          <w:rFonts w:ascii="sans-serif" w:hAnsi="sans-serif"/>
          <w:color w:val="000000"/>
          <w:sz w:val="22"/>
        </w:rPr>
        <w:t>Trevi’s estimated cash runway, statements regarding Trevi’s business plans and objectives, including future plans or expectations for Haduvio and plans and timing with respect to clinical trials and clinical data, as well as regulatory submissions, statements regarding FDA guidance and approval, and expectations regarding Trevi’s uses and sufficiency of capital, and other statements containing the words “believes,” “anticipates,” “plans,” “expects,” “may,” and similar expressions. Risks that contribute to the uncertain nature of the forward-looking statements include: uncertainties inherent in estimating Trevi’s cash runway, future expenses and other financial results, including Trevi’s ability to fund future operations, including clinical trials; uncertainties regarding the success, cost and timing of Trevi’s product candidate development activities and clinical trials, including with respect to the timing of the initiation of and generation of data from clinical trials; the risk that positive data from a clinical trial may not necessarily be predictive of the results of later clinical trials in the same or a different indication; uncertainties regarding Trevi’s ability to execute on its strategy; uncertainties with respect to regulatory authorities' views as to the data from Trevi’s clinical trials and next steps in the development path for Haduvio in the United States and foreign countries; as well as other risks and uncertainties set forth in the annual report on Form 10-K for the year ended December 31, 2025 filed with the Securities and Exchange Commission and in subsequent filings with the Securities and Exchange Commission. All forward-looking statements contained in this press release speak only as of the date on which they were made. Trevi undertakes no obligation to update such statements to reflect events that occur or circumstances that exist after the date on which they were made.</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2"/>
        </w:rPr>
      </w:pPr>
      <w:r>
        <w:rPr>
          <w:rFonts w:ascii="sans-serif" w:hAnsi="sans-serif"/>
          <w:b/>
          <w:color w:val="000000"/>
          <w:sz w:val="22"/>
        </w:rPr>
        <w:t>Trevi Therapeutics, Inc.</w:t>
      </w:r>
    </w:p>
    <w:p>
      <w:pPr>
        <w:pStyle w:val="TextBody"/>
        <w:bidi w:val="0"/>
        <w:jc w:val="center"/>
        <w:rPr>
          <w:rFonts w:ascii="sans-serif" w:hAnsi="sans-serif"/>
          <w:b/>
          <w:color w:val="000000"/>
          <w:sz w:val="22"/>
        </w:rPr>
      </w:pPr>
      <w:r>
        <w:rPr>
          <w:rFonts w:ascii="sans-serif" w:hAnsi="sans-serif"/>
          <w:b/>
          <w:color w:val="000000"/>
          <w:sz w:val="22"/>
        </w:rPr>
        <w:t>Selected Balance Sheet Data</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Times New Roman" w:hAnsi="Times New Roman"/>
          <w:sz w:val="20"/>
        </w:rPr>
      </w:pPr>
      <w:r>
        <w:rPr>
          <w:rFonts w:ascii="sans-serif" w:hAnsi="sans-serif"/>
          <w:b/>
          <w:color w:val="000000"/>
          <w:sz w:val="22"/>
        </w:rPr>
        <w:t>(amounts in thousands)</w:t>
      </w:r>
      <w:r>
        <w:rPr>
          <w:rFonts w:ascii="Times New Roman" w:hAnsi="Times New Roman"/>
          <w:color w:val="000000"/>
          <w:sz w:val="20"/>
        </w:rPr>
        <w:t xml:space="preserve"> </w:t>
      </w:r>
    </w:p>
    <w:p>
      <w:pPr>
        <w:pStyle w:val="TextBody"/>
        <w:bidi w:val="0"/>
        <w:jc w:val="center"/>
        <w:rPr/>
      </w:pPr>
      <w:r>
        <w:rPr/>
        <w:t> </w:t>
      </w:r>
    </w:p>
    <w:tbl>
      <w:tblPr>
        <w:tblW w:w="6992" w:type="dxa"/>
        <w:jc w:val="left"/>
        <w:tblInd w:w="0" w:type="dxa"/>
        <w:tblLayout w:type="fixed"/>
        <w:tblCellMar>
          <w:top w:w="28" w:type="dxa"/>
          <w:left w:w="28" w:type="dxa"/>
          <w:bottom w:w="28" w:type="dxa"/>
          <w:right w:w="28" w:type="dxa"/>
        </w:tblCellMar>
      </w:tblPr>
      <w:tblGrid>
        <w:gridCol w:w="3181"/>
        <w:gridCol w:w="146"/>
        <w:gridCol w:w="256"/>
        <w:gridCol w:w="1081"/>
        <w:gridCol w:w="146"/>
        <w:gridCol w:w="146"/>
        <w:gridCol w:w="352"/>
        <w:gridCol w:w="1493"/>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54,302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18,914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169,346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316,969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181,907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330,518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193,439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183,244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Trevi Therapeutics, Inc.</w:t>
      </w:r>
    </w:p>
    <w:p>
      <w:pPr>
        <w:pStyle w:val="TextBody"/>
        <w:bidi w:val="0"/>
        <w:jc w:val="center"/>
        <w:rPr>
          <w:rFonts w:ascii="Times New Roman" w:hAnsi="Times New Roman"/>
          <w:sz w:val="20"/>
        </w:rPr>
      </w:pPr>
      <w:r>
        <w:rPr>
          <w:rFonts w:ascii="sans-serif" w:hAnsi="sans-serif"/>
          <w:b/>
          <w:color w:val="000000"/>
          <w:sz w:val="22"/>
        </w:rPr>
        <w:t>Selected Statement of Operations Data</w:t>
      </w:r>
      <w:r>
        <w:rPr>
          <w:rFonts w:ascii="Times New Roman" w:hAnsi="Times New Roman"/>
          <w:color w:val="000000"/>
          <w:sz w:val="20"/>
        </w:rPr>
        <w:t xml:space="preserve"> </w:t>
      </w:r>
    </w:p>
    <w:p>
      <w:pPr>
        <w:pStyle w:val="TextBody"/>
        <w:bidi w:val="0"/>
        <w:jc w:val="center"/>
        <w:rPr>
          <w:rFonts w:ascii="sans-serif" w:hAnsi="sans-serif"/>
          <w:b/>
          <w:color w:val="000000"/>
          <w:sz w:val="22"/>
        </w:rPr>
      </w:pPr>
      <w:r>
        <w:rPr>
          <w:rFonts w:ascii="sans-serif" w:hAnsi="sans-serif"/>
          <w:b/>
          <w:color w:val="000000"/>
          <w:sz w:val="22"/>
        </w:rPr>
        <w:t>(unaudited)</w:t>
      </w:r>
    </w:p>
    <w:p>
      <w:pPr>
        <w:pStyle w:val="TextBody"/>
        <w:bidi w:val="0"/>
        <w:jc w:val="center"/>
        <w:rPr>
          <w:rFonts w:ascii="sans-serif" w:hAnsi="sans-serif"/>
          <w:b/>
          <w:color w:val="000000"/>
          <w:sz w:val="22"/>
        </w:rPr>
      </w:pPr>
      <w:r>
        <w:rPr>
          <w:rFonts w:ascii="sans-serif" w:hAnsi="sans-serif"/>
          <w:b/>
          <w:color w:val="000000"/>
          <w:sz w:val="22"/>
        </w:rPr>
        <w:t>(amounts in thousands, except per share amounts)</w:t>
      </w:r>
    </w:p>
    <w:p>
      <w:pPr>
        <w:pStyle w:val="TextBody"/>
        <w:bidi w:val="0"/>
        <w:jc w:val="center"/>
        <w:rPr/>
      </w:pPr>
      <w:r>
        <w:rPr/>
        <w:t> </w:t>
      </w:r>
    </w:p>
    <w:tbl>
      <w:tblPr>
        <w:tblW w:w="11167" w:type="dxa"/>
        <w:jc w:val="left"/>
        <w:tblInd w:w="0" w:type="dxa"/>
        <w:tblLayout w:type="fixed"/>
        <w:tblCellMar>
          <w:top w:w="28" w:type="dxa"/>
          <w:left w:w="28" w:type="dxa"/>
          <w:bottom w:w="28" w:type="dxa"/>
          <w:right w:w="28" w:type="dxa"/>
        </w:tblCellMar>
      </w:tblPr>
      <w:tblGrid>
        <w:gridCol w:w="1956"/>
        <w:gridCol w:w="146"/>
        <w:gridCol w:w="256"/>
        <w:gridCol w:w="1606"/>
        <w:gridCol w:w="196"/>
        <w:gridCol w:w="146"/>
        <w:gridCol w:w="256"/>
        <w:gridCol w:w="1606"/>
        <w:gridCol w:w="196"/>
        <w:gridCol w:w="146"/>
        <w:gridCol w:w="256"/>
        <w:gridCol w:w="1606"/>
        <w:gridCol w:w="196"/>
        <w:gridCol w:w="146"/>
        <w:gridCol w:w="256"/>
        <w:gridCol w:w="1606"/>
        <w:gridCol w:w="591"/>
      </w:tblGrid>
      <w:tr>
        <w:trPr/>
        <w:tc>
          <w:tcPr>
            <w:tcW w:w="1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w:t>
              <w:br/>
              <w:t>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15,152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9,389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25,093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17,200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5,357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4,333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10,328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7,992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2"/>
              </w:rPr>
            </w:pPr>
            <w:r>
              <w:rPr>
                <w:rFonts w:ascii="sans-serif" w:hAnsi="sans-serif"/>
                <w:color w:val="000000"/>
                <w:sz w:val="22"/>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20,509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13,722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35,421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25,192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(20,509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(13,722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(35,421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(25,192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2,693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1,400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4,393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2,519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(17,816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(31,028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2"/>
              </w:rPr>
            </w:pPr>
            <w:r>
              <w:rPr>
                <w:rFonts w:ascii="sans-serif" w:hAnsi="sans-serif"/>
                <w:color w:val="000000"/>
                <w:sz w:val="22"/>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(17,797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(12,301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(30,989</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(22,641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Basic and diluted net loss per common share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(0.09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(0.21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(0.18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195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Weighted average common shares used in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156,602,158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130,350,391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151,127,942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2"/>
              </w:rPr>
            </w:pPr>
            <w:r>
              <w:rPr>
                <w:rFonts w:ascii="sans-serif" w:hAnsi="sans-serif"/>
                <w:color w:val="000000"/>
                <w:sz w:val="22"/>
              </w:rPr>
              <w:t>124,015,763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Jonathan Carlson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Trevi Therapeutics,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(203) 654 3286</w:t>
      </w:r>
      <w:r>
        <w:rPr>
          <w:rFonts w:ascii="Times New Roman" w:hAnsi="Times New Roman"/>
          <w:color w:val="000000"/>
          <w:sz w:val="20"/>
        </w:rPr>
        <w:t xml:space="preserve"> </w:t>
      </w:r>
    </w:p>
    <w:p>
      <w:pPr>
        <w:pStyle w:val="TextBody"/>
        <w:bidi w:val="0"/>
        <w:jc w:val="left"/>
        <w:rPr>
          <w:rFonts w:ascii="sans-serif" w:hAnsi="sans-serif"/>
          <w:color w:val="0000FF"/>
          <w:sz w:val="22"/>
          <w:u w:val="single"/>
        </w:rPr>
      </w:pPr>
      <w:r>
        <w:rPr>
          <w:rFonts w:ascii="sans-serif" w:hAnsi="sans-serif"/>
          <w:color w:val="0000FF"/>
          <w:sz w:val="22"/>
          <w:u w:val="single"/>
        </w:rPr>
        <w:t>IR@trevitx.com</w:t>
      </w:r>
    </w:p>
    <w:p>
      <w:pPr>
        <w:pStyle w:val="TextBody"/>
        <w:bidi w:val="0"/>
        <w:spacing w:before="240" w:after="283"/>
        <w:jc w:val="left"/>
        <w:rPr>
          <w:rFonts w:ascii="Times New Roman" w:hAnsi="Times New Roman"/>
          <w:sz w:val="20"/>
        </w:rPr>
      </w:pPr>
      <w:r>
        <w:rPr>
          <w:rFonts w:ascii="sans-serif" w:hAnsi="sans-serif"/>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Rosalia Scampoli</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914-815-1465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FF"/>
          <w:sz w:val="22"/>
          <w:u w:val="single"/>
        </w:rPr>
        <w:t>rscampoli@marketcompr.com</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2454</Words>
  <Characters>13686</Characters>
  <CharactersWithSpaces>16170</CharactersWithSpaces>
  <Paragraphs>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