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rvi-10q_20220331.htm"/>
      <w:bookmarkStart w:id="1" w:name="kstrvi10q_20220331"/>
      <w:bookmarkEnd w:id="0"/>
      <w:bookmarkEnd w:id="1"/>
      <w:r>
        <w:rPr/>
        <w:t> </w:t>
      </w:r>
    </w:p>
    <w:p>
      <w:pPr>
        <w:pStyle w:val="TextBody"/>
        <w:pBdr>
          <w:bottom w:val="double" w:sz="6" w:space="1" w:color="000000"/>
        </w:pBdr>
        <w:spacing w:lineRule="atLeast" w:line="141" w:before="0" w:after="0"/>
        <w:jc w:val="center"/>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spacing w:before="0" w:after="0"/>
        <w:jc w:val="center"/>
        <w:rPr/>
      </w:pPr>
      <w:r>
        <w:rPr/>
        <w:t> </w:t>
      </w:r>
    </w:p>
    <w:p>
      <w:pPr>
        <w:pStyle w:val="TextBody"/>
        <w:spacing w:before="12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pBdr>
          <w:bottom w:val="single" w:sz="6" w:space="1" w:color="000000"/>
        </w:pBdr>
        <w:spacing w:before="0" w:after="0"/>
        <w:jc w:val="center"/>
        <w:rPr/>
      </w:pPr>
      <w:r>
        <w:rPr/>
        <w:t> </w:t>
      </w:r>
    </w:p>
    <w:p>
      <w:pPr>
        <w:pStyle w:val="TextBody"/>
        <w:spacing w:before="120" w:after="0"/>
        <w:rPr>
          <w:rFonts w:ascii="Times New Roman" w:hAnsi="Times New Roman"/>
          <w:b/>
          <w:i w:val="false"/>
          <w:caps w:val="false"/>
          <w:smallCaps w:val="false"/>
          <w:sz w:val="16"/>
        </w:rPr>
      </w:pPr>
      <w:r>
        <w:rPr>
          <w:rFonts w:ascii="Times New Roman" w:hAnsi="Times New Roman"/>
          <w:b/>
          <w:i w:val="false"/>
          <w:caps w:val="false"/>
          <w:smallCaps w:val="false"/>
          <w:sz w:val="16"/>
        </w:rPr>
        <w:t>(Mark One)</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9875"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March 31, 2022</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986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transition period from</w:t>
      </w:r>
      <w:r>
        <w:rPr>
          <w:rFonts w:ascii="Times New Roman" w:hAnsi="Times New Roman"/>
          <w:b/>
          <w:i w:val="false"/>
          <w:caps w:val="false"/>
          <w:smallCaps w:val="false"/>
          <w:sz w:val="20"/>
          <w:u w:val="single"/>
        </w:rPr>
        <w:t>               </w:t>
      </w:r>
      <w:r>
        <w:rPr>
          <w:rFonts w:ascii="Times New Roman" w:hAnsi="Times New Roman"/>
          <w:b/>
          <w:i w:val="false"/>
          <w:caps w:val="false"/>
          <w:smallCaps w:val="false"/>
          <w:sz w:val="20"/>
        </w:rPr>
        <w:t>to</w:t>
      </w:r>
      <w:r>
        <w:rPr>
          <w:rFonts w:ascii="Times New Roman" w:hAnsi="Times New Roman"/>
          <w:b/>
          <w:i w:val="false"/>
          <w:caps w:val="false"/>
          <w:smallCaps w:val="false"/>
          <w:sz w:val="20"/>
          <w:u w:val="single"/>
        </w:rPr>
        <w:t>               </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Commission File Number: </w:t>
      </w:r>
      <w:r>
        <w:rPr>
          <w:rFonts w:ascii="Times New Roman" w:hAnsi="Times New Roman"/>
          <w:b/>
          <w:i w:val="false"/>
          <w:caps w:val="false"/>
          <w:smallCaps w:val="false"/>
          <w:color w:val="222222"/>
          <w:sz w:val="20"/>
          <w:highlight w:val="white"/>
        </w:rPr>
        <w:t>001-38886</w:t>
      </w:r>
    </w:p>
    <w:p>
      <w:pPr>
        <w:pStyle w:val="TextBody"/>
        <w:pBdr>
          <w:bottom w:val="single" w:sz="6" w:space="1" w:color="000000"/>
        </w:pBdr>
        <w:spacing w:before="0" w:after="0"/>
        <w:jc w:val="center"/>
        <w:rPr/>
      </w:pPr>
      <w:r>
        <w:rPr/>
        <w:t> </w:t>
      </w:r>
    </w:p>
    <w:p>
      <w:pPr>
        <w:pStyle w:val="TextBody"/>
        <w:spacing w:before="120" w:after="0"/>
        <w:jc w:val="center"/>
        <w:rPr>
          <w:rFonts w:ascii="Times New Roman" w:hAnsi="Times New Roman"/>
          <w:b/>
          <w:i w:val="false"/>
          <w:caps w:val="false"/>
          <w:smallCaps w:val="false"/>
          <w:color w:val="000000"/>
          <w:sz w:val="48"/>
          <w:highlight w:val="white"/>
        </w:rPr>
      </w:pPr>
      <w:r>
        <w:rPr>
          <w:rFonts w:ascii="Times New Roman" w:hAnsi="Times New Roman"/>
          <w:b/>
          <w:i w:val="false"/>
          <w:caps w:val="false"/>
          <w:smallCaps w:val="false"/>
          <w:color w:val="000000"/>
          <w:sz w:val="48"/>
          <w:highlight w:val="white"/>
        </w:rPr>
        <w:t>TREVI THERAPEUTICS,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4180" w:type="dxa"/>
        <w:jc w:val="left"/>
        <w:tblInd w:w="0" w:type="dxa"/>
        <w:tblCellMar>
          <w:top w:w="0" w:type="dxa"/>
          <w:left w:w="0" w:type="dxa"/>
          <w:bottom w:w="0" w:type="dxa"/>
          <w:right w:w="0" w:type="dxa"/>
        </w:tblCellMar>
      </w:tblPr>
      <w:tblGrid>
        <w:gridCol w:w="2825"/>
        <w:gridCol w:w="1355"/>
      </w:tblGrid>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Delaware</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45-0834299</w:t>
            </w:r>
          </w:p>
        </w:tc>
      </w:tr>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State or other jurisdiction of</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incorporation or organization)</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(I.R.S. Employer</w:t>
              <w:br/>
              <w:t>Identification No.)</w:t>
            </w:r>
          </w:p>
        </w:tc>
      </w:tr>
      <w:tr>
        <w:trPr/>
        <w:tc>
          <w:tcPr>
            <w:tcW w:w="2825" w:type="dxa"/>
            <w:tcBorders/>
            <w:shd w:fill="auto" w:val="clear"/>
            <w:vAlign w:val="bottom"/>
          </w:tcPr>
          <w:p>
            <w:pPr>
              <w:pStyle w:val="TableContents"/>
              <w:shd w:fill="FFFFFF" w:val="clear"/>
              <w:spacing w:lineRule="auto" w:line="288" w:before="12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195 Church Street, 14th Floor</w:t>
            </w:r>
          </w:p>
          <w:p>
            <w:pPr>
              <w:pStyle w:val="TableContents"/>
              <w:shd w:fill="FFFFFF" w:val="clear"/>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New Haven, Connecticut </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06510</w:t>
            </w:r>
          </w:p>
        </w:tc>
      </w:tr>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(Address of principal executive offices)</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(Zip Code)</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(203) 304-2499</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(Registrant’s telephone number, including area code</w:t>
      </w:r>
      <w:r>
        <w:rPr>
          <w:rFonts w:ascii="Times New Roman" w:hAnsi="Times New Roman"/>
          <w:b/>
          <w:i w:val="false"/>
          <w:caps w:val="false"/>
          <w:smallCaps w:val="false"/>
          <w:color w:val="000000"/>
          <w:sz w:val="20"/>
          <w:highlight w:val="white"/>
        </w:rPr>
        <w:t>)</w:t>
      </w:r>
    </w:p>
    <w:p>
      <w:pPr>
        <w:pStyle w:val="TextBody"/>
        <w:pBdr>
          <w:bottom w:val="single" w:sz="6" w:space="1" w:color="000000"/>
        </w:pBdr>
        <w:spacing w:before="0" w:after="0"/>
        <w:jc w:val="center"/>
        <w:rPr/>
      </w:pPr>
      <w:r>
        <w:rPr/>
        <w:t> </w:t>
      </w:r>
    </w:p>
    <w:p>
      <w:pPr>
        <w:pStyle w:val="TextBody"/>
        <w:spacing w:before="120" w:after="0"/>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Securities registered pursuant to Section 12(b) of the Act: </w:t>
      </w:r>
    </w:p>
    <w:p>
      <w:pPr>
        <w:pStyle w:val="TextBody"/>
        <w:spacing w:before="0" w:after="0"/>
        <w:rPr/>
      </w:pPr>
      <w:r>
        <w:rPr/>
        <w:t> </w:t>
      </w:r>
    </w:p>
    <w:tbl>
      <w:tblPr>
        <w:tblW w:w="7710" w:type="dxa"/>
        <w:jc w:val="left"/>
        <w:tblInd w:w="0" w:type="dxa"/>
        <w:tblCellMar>
          <w:top w:w="0" w:type="dxa"/>
          <w:left w:w="0" w:type="dxa"/>
          <w:bottom w:w="28" w:type="dxa"/>
          <w:right w:w="0" w:type="dxa"/>
        </w:tblCellMar>
      </w:tblPr>
      <w:tblGrid>
        <w:gridCol w:w="3665"/>
        <w:gridCol w:w="60"/>
        <w:gridCol w:w="740"/>
        <w:gridCol w:w="60"/>
        <w:gridCol w:w="3185"/>
      </w:tblGrid>
      <w:tr>
        <w:trPr/>
        <w:tc>
          <w:tcPr>
            <w:tcW w:w="366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74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Trading</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18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Name of each exchange on which registered</w:t>
            </w:r>
          </w:p>
        </w:tc>
      </w:tr>
      <w:tr>
        <w:trPr/>
        <w:tc>
          <w:tcPr>
            <w:tcW w:w="366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Common Stock, $0.001 par value per share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74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TRVI</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18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The Nasdaq Stock Market LLC</w:t>
            </w:r>
          </w:p>
        </w:tc>
      </w:tr>
    </w:tbl>
    <w:p>
      <w:pPr>
        <w:pStyle w:val="TextBody"/>
        <w:spacing w:before="12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12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12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220" w:type="dxa"/>
        <w:jc w:val="left"/>
        <w:tblInd w:w="0" w:type="dxa"/>
        <w:tblCellMar>
          <w:top w:w="0" w:type="dxa"/>
          <w:left w:w="0" w:type="dxa"/>
          <w:bottom w:w="0" w:type="dxa"/>
          <w:right w:w="0" w:type="dxa"/>
        </w:tblCellMar>
      </w:tblPr>
      <w:tblGrid>
        <w:gridCol w:w="1565"/>
        <w:gridCol w:w="60"/>
        <w:gridCol w:w="230"/>
        <w:gridCol w:w="120"/>
        <w:gridCol w:w="1955"/>
        <w:gridCol w:w="60"/>
        <w:gridCol w:w="230"/>
      </w:tblGrid>
      <w:tr>
        <w:trPr/>
        <w:tc>
          <w:tcPr>
            <w:tcW w:w="156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c>
          <w:tcPr>
            <w:tcW w:w="2075"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56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5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5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shell company (as defined in Rule 12b-2 of the Exchange Act).    Yes  ☐    No  ☒</w:t>
      </w:r>
    </w:p>
    <w:p>
      <w:pPr>
        <w:pStyle w:val="TextBody"/>
        <w:spacing w:before="12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As </w:t>
      </w:r>
      <w:r>
        <w:rPr>
          <w:rFonts w:ascii="Times New Roman" w:hAnsi="Times New Roman"/>
          <w:b w:val="false"/>
          <w:i w:val="false"/>
          <w:caps w:val="false"/>
          <w:smallCaps w:val="false"/>
          <w:color w:val="000000"/>
          <w:sz w:val="18"/>
        </w:rPr>
        <w:t>of May 12, 2022</w:t>
      </w:r>
      <w:r>
        <w:rPr>
          <w:rFonts w:ascii="Times New Roman" w:hAnsi="Times New Roman"/>
          <w:b w:val="false"/>
          <w:i w:val="false"/>
          <w:caps w:val="false"/>
          <w:smallCaps w:val="false"/>
          <w:sz w:val="18"/>
        </w:rPr>
        <w:t xml:space="preserve">, the registrant had </w:t>
      </w:r>
      <w:r>
        <w:rPr>
          <w:rFonts w:ascii="Times New Roman" w:hAnsi="Times New Roman"/>
          <w:b w:val="false"/>
          <w:i w:val="false"/>
          <w:caps w:val="false"/>
          <w:smallCaps w:val="false"/>
          <w:color w:val="000000"/>
          <w:sz w:val="18"/>
        </w:rPr>
        <w:t xml:space="preserve">38,685,600 </w:t>
      </w:r>
      <w:r>
        <w:rPr>
          <w:rFonts w:ascii="Times New Roman" w:hAnsi="Times New Roman"/>
          <w:b w:val="false"/>
          <w:i w:val="false"/>
          <w:caps w:val="false"/>
          <w:smallCaps w:val="false"/>
          <w:sz w:val="18"/>
        </w:rPr>
        <w:t>shares of common stock, $0.001 par value per share, outstanding.</w:t>
      </w:r>
    </w:p>
    <w:p>
      <w:pPr>
        <w:pStyle w:val="TextBody"/>
        <w:pBdr>
          <w:bottom w:val="double" w:sz="6" w:space="1" w:color="000000"/>
        </w:pBdr>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CAUTIONARY NOTE REGARDING FORWARD-LOOKING STATEMENTS AND INDUSTRY DATA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forward-looking statements in this Quarterly Report on Form 10-Q include, among other things, statements about: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ongoing clinical trials, including our Phase 2b/3 PRISM trial of Haduvio (nalbuphine ER) for the treatment of pruritus associated with prurigo nodularis and our Phase 2 CANAL trial for the treatment of chronic cough in adults with idiopathic pulmonary fibrosis, or IPF;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plans to develop and, if approved, subsequently commercialize Haduvio for the treatment of pruritus associated with prurigo nodularis, for the treatment of chronic cough in adults with IPF, or for other serious neurologically mediated conditions; </w:t>
            </w:r>
          </w:p>
        </w:tc>
      </w:tr>
    </w:tbl>
    <w:tbl>
      <w:tblPr>
        <w:tblW w:w="9385" w:type="dxa"/>
        <w:jc w:val="left"/>
        <w:tblInd w:w="0" w:type="dxa"/>
        <w:tblCellMar>
          <w:top w:w="0" w:type="dxa"/>
          <w:left w:w="0" w:type="dxa"/>
          <w:bottom w:w="0" w:type="dxa"/>
          <w:right w:w="0" w:type="dxa"/>
        </w:tblCellMar>
      </w:tblPr>
      <w:tblGrid>
        <w:gridCol w:w="60"/>
        <w:gridCol w:w="110"/>
        <w:gridCol w:w="92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21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expectations regarding the timing for the initiation of clinical trials and the reporting of data from such trials; </w:t>
            </w:r>
          </w:p>
        </w:tc>
      </w:tr>
    </w:tbl>
    <w:tbl>
      <w:tblPr>
        <w:tblW w:w="9700" w:type="dxa"/>
        <w:jc w:val="left"/>
        <w:tblInd w:w="0" w:type="dxa"/>
        <w:tblCellMar>
          <w:top w:w="0" w:type="dxa"/>
          <w:left w:w="0" w:type="dxa"/>
          <w:bottom w:w="0" w:type="dxa"/>
          <w:right w:w="0" w:type="dxa"/>
        </w:tblCellMar>
      </w:tblPr>
      <w:tblGrid>
        <w:gridCol w:w="60"/>
        <w:gridCol w:w="110"/>
        <w:gridCol w:w="95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53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timing of and our ability to submit applications for and to obtain and maintain regulatory approvals for Haduvio;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our expectations regarding our ability to fund our operating expenses and capital expenditure requirements with our cash and cash equivalents and to continue as a going concern;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estimates regarding expenses, future revenue, timing of any future revenue, capital requirements and needs for additional financing; </w:t>
            </w:r>
          </w:p>
        </w:tc>
      </w:tr>
    </w:tbl>
    <w:tbl>
      <w:tblPr>
        <w:tblW w:w="4090" w:type="dxa"/>
        <w:jc w:val="left"/>
        <w:tblInd w:w="0" w:type="dxa"/>
        <w:tblCellMar>
          <w:top w:w="0" w:type="dxa"/>
          <w:left w:w="0" w:type="dxa"/>
          <w:bottom w:w="0" w:type="dxa"/>
          <w:right w:w="0" w:type="dxa"/>
        </w:tblCellMar>
      </w:tblPr>
      <w:tblGrid>
        <w:gridCol w:w="60"/>
        <w:gridCol w:w="110"/>
        <w:gridCol w:w="39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impact of government laws and regulations; </w:t>
            </w:r>
          </w:p>
        </w:tc>
      </w:tr>
    </w:tbl>
    <w:tbl>
      <w:tblPr>
        <w:tblW w:w="2305" w:type="dxa"/>
        <w:jc w:val="left"/>
        <w:tblInd w:w="0" w:type="dxa"/>
        <w:tblCellMar>
          <w:top w:w="0" w:type="dxa"/>
          <w:left w:w="0" w:type="dxa"/>
          <w:bottom w:w="0" w:type="dxa"/>
          <w:right w:w="0" w:type="dxa"/>
        </w:tblCellMar>
      </w:tblPr>
      <w:tblGrid>
        <w:gridCol w:w="60"/>
        <w:gridCol w:w="110"/>
        <w:gridCol w:w="21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1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competitive position; </w:t>
            </w:r>
          </w:p>
        </w:tc>
      </w:tr>
    </w:tbl>
    <w:tbl>
      <w:tblPr>
        <w:tblW w:w="5440" w:type="dxa"/>
        <w:jc w:val="left"/>
        <w:tblInd w:w="0" w:type="dxa"/>
        <w:tblCellMar>
          <w:top w:w="0" w:type="dxa"/>
          <w:left w:w="0" w:type="dxa"/>
          <w:bottom w:w="0" w:type="dxa"/>
          <w:right w:w="0" w:type="dxa"/>
        </w:tblCellMar>
      </w:tblPr>
      <w:tblGrid>
        <w:gridCol w:w="60"/>
        <w:gridCol w:w="110"/>
        <w:gridCol w:w="52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establish and maintain collaborations;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impact of the pandemic caused by the novel coronavirus, or COVID-19, which pandemic we refer to as the COVID-19 pandemic, on our clinical trials, business and operations and our response to the COVID-19 pandemic.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We intend to propose Haduvio as the trade name for our nalbuphine ER investigational product.</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 FACTOR SUMMARY</w:t>
      </w:r>
    </w:p>
    <w:p>
      <w:pPr>
        <w:pStyle w:val="TextBody"/>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have incurred significant losses since inception and expect to continue to incur significant and increasing losses for the foreseeable future. We may never achieve or maintain profitability.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will need substantial additional funding. If we are unable to raise sufficient capital when needed on acceptable terms or at all, we could be forced to delay, reduce or abandon our product development programs or commercialization efforts.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Our existing indebtedness, together with our other financial obligations and contractual commitments, could adversely affect our financial condition and restrict our future operations.  For instance, if we fail to receive positive data in either our Phase 2b/3 PRISM trial or Phase 2 CANAL trial by December 31, 2022, then under our loan facility with Silicon Valley Bank, or SVB, which loan facility we refer to as the SVB Term Loan, we will be required to deposit unrestricted and unencumbered cash equal to 100% of all outstanding amounts owed to SVB in a cash collateral account controlled by SVB, which can be used by SVB to prepay the SVB Term Loan at any time and would reduce the amounts available to fund working capital, capital expenditures, product development efforts and general corporate purposes.</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have experienced delays and difficulties in the enrollment of subjects in our clinical trials in the past, including our Phase 2b/3 PRISM trial and our Phase 2 CANAL trial. If we experience delays or difficulties in the enrollment of subjects in future clinical trials, our receipt of necessary regulatory approvals could be delayed or prevented. Other companies are conducting clinical trials or have announced plans for future clinical trials that are seeking or are likely to seek to enroll subjects with pruritus associated with prurigo nodularis or chronic cough associated with IPF and subjects are generally only able to enroll in a single trial at a time. In addition, many patients use various treatments off-label to treat pruritus associated with prurigo nodularis and chronic cough associated with IPF and these patients and their physicians may be reluctant to forgo, discontinue or otherwise alter their use of such off-label therapeutic approaches to participate in our clinical trials.</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approach to the development and commercialization of Haduvio to treat serious neurologically mediated conditions is unproven.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Clinical drug development involves a lengthy and expensive process with an uncertain outcome. Even if we complete the necessary preclinical studies and clinical trials, the regulatory approval process is expensive, time consuming and uncertain, which may prevent us from obtaining approvals for the commercialization of Haduvio or any future product candidate.</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 xml:space="preserve">Our Phase 2 clinical trial of Haduvio for the treatment of pruritus associated with prurigo nodularis may not be predictive of the results of our Phase 2b/3 PRISM trial, including due to the small subject size of the Phase 2 clinical trial, the discontinuation rate among subjects in the Phase 2 clinical trial, the limited number of subjects who completed treatment in the Phase 2 clinical trial and differences in the design of the Phase 2 clinical trial and the PRISM trial, including the longer treatment period for Haduvio being used in the PRISM trial.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interim results of our Phase 2 CANAL trial of Haduvio for the treatment of chronic cough in adults with IPF may not be predictive of the full trial results for the Phase 2 CANAL trial or any future trials of Haduvio for the treatment of chronic cough in adults with IPF.</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 xml:space="preserve">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w:t>
            </w:r>
          </w:p>
        </w:tc>
      </w:tr>
    </w:tbl>
    <w:p>
      <w:pPr>
        <w:pStyle w:val="TextBody"/>
        <w:spacing w:before="240" w:after="0"/>
        <w:jc w:val="center"/>
        <w:rPr/>
      </w:pPr>
      <w:r>
        <w:rPr/>
        <w:t> </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opioids generally. The drug label for nalbuphine, the active ingredient in Haduvio, carries a warning for serious, life-threatening or fatal respiratory depression and Haduvio, if approved for marketing in any indication, will likely carry a similar label.</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highlight w:val="white"/>
              </w:rPr>
              <w:t xml:space="preserve">Many currently approved μ-opioid products are subject to restrictive marketing and distribution regulations which, if applied to Haduvio, could potentially restrict its use and harm our ability to generate profits. We plan to conduct a </w:t>
            </w:r>
            <w:r>
              <w:rPr>
                <w:rFonts w:ascii="Times New Roman" w:hAnsi="Times New Roman"/>
                <w:b w:val="false"/>
                <w:i w:val="false"/>
                <w:caps w:val="false"/>
                <w:smallCaps w:val="false"/>
                <w:color w:val="000000"/>
                <w:spacing w:val="0"/>
                <w:sz w:val="20"/>
              </w:rPr>
              <w:t>human abuse liability</w:t>
            </w:r>
            <w:r>
              <w:rPr>
                <w:rFonts w:ascii="Times New Roman" w:hAnsi="Times New Roman"/>
                <w:b w:val="false"/>
                <w:i w:val="false"/>
                <w:caps w:val="false"/>
                <w:smallCaps w:val="false"/>
                <w:color w:val="000000"/>
                <w:spacing w:val="0"/>
                <w:sz w:val="20"/>
                <w:highlight w:val="white"/>
              </w:rPr>
              <w:t xml:space="preserve">, or HAL, study to further characterize the abuse potential of oral nalbuphine. If the results of the HAL study suggest that Haduvio may carry risks of misuse, abuse or addiction or even if the trial indicates that Haduvio does not carry such risks, </w:t>
            </w:r>
            <w:r>
              <w:rPr>
                <w:rFonts w:ascii="Times New Roman" w:hAnsi="Times New Roman"/>
                <w:b w:val="false"/>
                <w:i w:val="false"/>
                <w:caps w:val="false"/>
                <w:smallCaps w:val="false"/>
                <w:color w:val="000000"/>
                <w:spacing w:val="0"/>
                <w:sz w:val="20"/>
              </w:rPr>
              <w:t>the U.S. Food and Drug Administration, or FDA,</w:t>
            </w:r>
            <w:r>
              <w:rPr>
                <w:rFonts w:ascii="Times New Roman" w:hAnsi="Times New Roman"/>
                <w:b w:val="false"/>
                <w:i w:val="false"/>
                <w:caps w:val="false"/>
                <w:smallCaps w:val="false"/>
                <w:color w:val="000000"/>
                <w:spacing w:val="0"/>
                <w:sz w:val="20"/>
                <w:highlight w:val="white"/>
              </w:rPr>
              <w:t xml:space="preserve"> may require us to implement a Risk Evaluation and Mitigation Strategy in connection with any commercialization of Haduvio and the U.S. Drug Enforcement Agency could determine that Haduvio should be classified as a controlled substance.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face substantial competition, which may result in others developing or commercializing products before or more successfully than we do.</w:t>
            </w:r>
          </w:p>
        </w:tc>
      </w:tr>
    </w:tbl>
    <w:p>
      <w:pPr>
        <w:pStyle w:val="TextBody"/>
        <w:shd w:fill="FFFFFF" w:val="clear"/>
        <w:spacing w:before="0" w:after="0"/>
        <w:rPr/>
      </w:pPr>
      <w:r>
        <w:rPr/>
        <w:t> </w:t>
      </w:r>
    </w:p>
    <w:tbl>
      <w:tblPr>
        <w:tblW w:w="9925" w:type="dxa"/>
        <w:jc w:val="left"/>
        <w:tblInd w:w="0" w:type="dxa"/>
        <w:tblCellMar>
          <w:top w:w="0" w:type="dxa"/>
          <w:left w:w="0" w:type="dxa"/>
          <w:bottom w:w="0" w:type="dxa"/>
          <w:right w:w="0" w:type="dxa"/>
        </w:tblCellMar>
      </w:tblPr>
      <w:tblGrid>
        <w:gridCol w:w="60"/>
        <w:gridCol w:w="110"/>
        <w:gridCol w:w="975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975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rely on third parties to conduct our clinical trials. If they do not perform satisfactorily, our business could be harmed.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contract with third parties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and any future product candidates.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face risks related to health epidemics and other widespread outbreaks of contagious disease, including the COVID-19 pandemic, which has delayed our ongoing clinical trials, disrupted our business operations and may delay future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8445" w:type="dxa"/>
        <w:jc w:val="left"/>
        <w:tblInd w:w="0" w:type="dxa"/>
        <w:tblCellMar>
          <w:top w:w="0" w:type="dxa"/>
          <w:left w:w="0" w:type="dxa"/>
          <w:bottom w:w="28" w:type="dxa"/>
          <w:right w:w="0" w:type="dxa"/>
        </w:tblCellMar>
      </w:tblPr>
      <w:tblGrid>
        <w:gridCol w:w="785"/>
        <w:gridCol w:w="7280"/>
        <w:gridCol w:w="380"/>
      </w:tblGrid>
      <w:tr>
        <w:trPr/>
        <w:tc>
          <w:tcPr>
            <w:tcW w:w="785" w:type="dxa"/>
            <w:tcBorders>
              <w:bottom w:val="single" w:sz="6" w:space="0" w:color="000000"/>
            </w:tcBorders>
            <w:shd w:fill="FFFFFF" w:val="cle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728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PART I.</w:t>
            </w:r>
          </w:p>
        </w:tc>
        <w:tc>
          <w:tcPr>
            <w:tcW w:w="7280" w:type="dxa"/>
            <w:tcBorders/>
            <w:shd w:fill="FFFFFF" w:val="clear"/>
            <w:tcMar>
              <w:bottom w:w="0" w:type="dxa"/>
            </w:tcMar>
            <w:vAlign w:val="center"/>
          </w:tcPr>
          <w:p>
            <w:pPr>
              <w:pStyle w:val="TableContents"/>
              <w:spacing w:before="0" w:after="0"/>
              <w:ind w:left="0" w:right="0" w:hanging="0"/>
              <w:rPr/>
            </w:pPr>
            <w:hyperlink w:anchor="PART_IFINANCIAL_INFORMATION">
              <w:r>
                <w:rPr>
                  <w:rStyle w:val="InternetLink"/>
                  <w:rFonts w:ascii="Times New Roman" w:hAnsi="Times New Roman"/>
                  <w:b w:val="false"/>
                  <w:i w:val="false"/>
                  <w:caps w:val="false"/>
                  <w:smallCaps w:val="false"/>
                  <w:sz w:val="20"/>
                  <w:u w:val="single"/>
                </w:rPr>
                <w:t>FINANCIAL INFORMATION</w:t>
              </w:r>
            </w:hyperlink>
          </w:p>
        </w:tc>
        <w:tc>
          <w:tcPr>
            <w:tcW w:w="3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pPr>
            <w:r>
              <w:rPr/>
              <w:t> </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7280" w:type="dxa"/>
            <w:tcBorders/>
            <w:shd w:fill="FFFFFF" w:val="clear"/>
            <w:tcMar>
              <w:bottom w:w="0" w:type="dxa"/>
            </w:tcMar>
            <w:vAlign w:val="center"/>
          </w:tcPr>
          <w:p>
            <w:pPr>
              <w:pStyle w:val="TableContents"/>
              <w:spacing w:before="0" w:after="0"/>
              <w:ind w:left="0" w:right="0" w:hanging="0"/>
              <w:rPr/>
            </w:pPr>
            <w:hyperlink w:anchor="ITEM_1_FINANCIAL_STATEMENTS">
              <w:r>
                <w:rPr>
                  <w:rStyle w:val="InternetLink"/>
                  <w:rFonts w:ascii="Times New Roman" w:hAnsi="Times New Roman"/>
                  <w:b w:val="false"/>
                  <w:i w:val="false"/>
                  <w:caps w:val="false"/>
                  <w:smallCaps w:val="false"/>
                  <w:sz w:val="20"/>
                  <w:u w:val="single"/>
                </w:rPr>
                <w:t>Financial Statements (Unaudited)</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280" w:type="dxa"/>
            <w:tcBorders/>
            <w:shd w:fill="FFFFFF" w:val="clear"/>
            <w:tcMar>
              <w:bottom w:w="0" w:type="dxa"/>
            </w:tcMar>
            <w:vAlign w:val="center"/>
          </w:tcPr>
          <w:p>
            <w:pPr>
              <w:pStyle w:val="TableContents"/>
              <w:spacing w:before="0" w:after="0"/>
              <w:ind w:left="0" w:right="0" w:hanging="0"/>
              <w:rPr/>
            </w:pPr>
            <w:hyperlink w:anchor="CONDENSED_CONSOLIDATED_BALANCE_SHEETS">
              <w:r>
                <w:rPr>
                  <w:rStyle w:val="InternetLink"/>
                  <w:rFonts w:ascii="Times New Roman" w:hAnsi="Times New Roman"/>
                  <w:b w:val="false"/>
                  <w:i w:val="false"/>
                  <w:caps w:val="false"/>
                  <w:smallCaps w:val="false"/>
                  <w:sz w:val="20"/>
                  <w:u w:val="single"/>
                </w:rPr>
                <w:t>Condensed Consolidated Balance Sheets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280" w:type="dxa"/>
            <w:tcBorders/>
            <w:shd w:fill="FFFFFF" w:val="clear"/>
            <w:tcMar>
              <w:bottom w:w="0" w:type="dxa"/>
            </w:tcMar>
            <w:vAlign w:val="center"/>
          </w:tcPr>
          <w:p>
            <w:pPr>
              <w:pStyle w:val="TableContents"/>
              <w:spacing w:before="0" w:after="0"/>
              <w:ind w:left="0" w:right="0" w:hanging="0"/>
              <w:rPr/>
            </w:pPr>
            <w:hyperlink w:anchor="CONSOLIDATED_STATEMENTS_OPERATIONS">
              <w:r>
                <w:rPr>
                  <w:rStyle w:val="InternetLink"/>
                  <w:rFonts w:ascii="Times New Roman" w:hAnsi="Times New Roman"/>
                  <w:b w:val="false"/>
                  <w:i w:val="false"/>
                  <w:caps w:val="false"/>
                  <w:smallCaps w:val="false"/>
                  <w:sz w:val="20"/>
                  <w:u w:val="single"/>
                </w:rPr>
                <w:t>Condensed Consolidated Statements of Operations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280" w:type="dxa"/>
            <w:tcBorders/>
            <w:shd w:fill="FFFFFF" w:val="clear"/>
            <w:tcMar>
              <w:bottom w:w="0" w:type="dxa"/>
            </w:tcMar>
            <w:vAlign w:val="center"/>
          </w:tcPr>
          <w:p>
            <w:pPr>
              <w:pStyle w:val="TableContents"/>
              <w:spacing w:before="0" w:after="0"/>
              <w:ind w:left="0" w:right="0" w:hanging="0"/>
              <w:rPr/>
            </w:pPr>
            <w:hyperlink w:anchor="CONSOLIDATED_STATEMENT_OF_STOCKHOLDERS_E">
              <w:r>
                <w:rPr>
                  <w:rStyle w:val="InternetLink"/>
                  <w:rFonts w:ascii="Times New Roman" w:hAnsi="Times New Roman"/>
                  <w:b w:val="false"/>
                  <w:i w:val="false"/>
                  <w:caps w:val="false"/>
                  <w:smallCaps w:val="false"/>
                  <w:sz w:val="20"/>
                  <w:u w:val="single"/>
                </w:rPr>
                <w:t>Condensed Consolidated Statements of Stockholders’ Equity</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280" w:type="dxa"/>
            <w:tcBorders/>
            <w:shd w:fill="FFFFFF" w:val="clear"/>
            <w:tcMar>
              <w:bottom w:w="0" w:type="dxa"/>
            </w:tcMar>
            <w:vAlign w:val="center"/>
          </w:tcPr>
          <w:p>
            <w:pPr>
              <w:pStyle w:val="TableContents"/>
              <w:spacing w:before="0" w:after="0"/>
              <w:ind w:left="0" w:right="0" w:hanging="0"/>
              <w:rPr/>
            </w:pPr>
            <w:hyperlink w:anchor="CONSOLIDATED_STATEMENTS_CASH_FLOWS">
              <w:r>
                <w:rPr>
                  <w:rStyle w:val="InternetLink"/>
                  <w:rFonts w:ascii="Times New Roman" w:hAnsi="Times New Roman"/>
                  <w:b w:val="false"/>
                  <w:i w:val="false"/>
                  <w:caps w:val="false"/>
                  <w:smallCaps w:val="false"/>
                  <w:sz w:val="20"/>
                  <w:u w:val="single"/>
                </w:rPr>
                <w:t>Condensed Consolidated Statements of Cash Flows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280" w:type="dxa"/>
            <w:tcBorders/>
            <w:shd w:fill="FFFFFF" w:val="clear"/>
            <w:tcMar>
              <w:bottom w:w="0" w:type="dxa"/>
            </w:tcMar>
            <w:vAlign w:val="center"/>
          </w:tcPr>
          <w:p>
            <w:pPr>
              <w:pStyle w:val="TableContents"/>
              <w:spacing w:before="0" w:after="0"/>
              <w:ind w:left="0" w:right="0" w:hanging="0"/>
              <w:rPr/>
            </w:pPr>
            <w:hyperlink w:anchor="NOTES_TO_CONSOLIDATED_FINANCIAL_STATEMEN">
              <w:r>
                <w:rPr>
                  <w:rStyle w:val="InternetLink"/>
                  <w:rFonts w:ascii="Times New Roman" w:hAnsi="Times New Roman"/>
                  <w:b w:val="false"/>
                  <w:i w:val="false"/>
                  <w:caps w:val="false"/>
                  <w:smallCaps w:val="false"/>
                  <w:sz w:val="20"/>
                  <w:u w:val="single"/>
                </w:rPr>
                <w:t>Notes to Unaudited Condensed Consolidated Financial Statements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7280" w:type="dxa"/>
            <w:tcBorders/>
            <w:shd w:fill="FFFFFF" w:val="clear"/>
            <w:tcMar>
              <w:bottom w:w="0" w:type="dxa"/>
            </w:tcMar>
            <w:vAlign w:val="center"/>
          </w:tcPr>
          <w:p>
            <w:pPr>
              <w:pStyle w:val="TableContents"/>
              <w:spacing w:before="0" w:after="0"/>
              <w:ind w:left="0" w:right="0" w:hanging="0"/>
              <w:rPr/>
            </w:pPr>
            <w:hyperlink w:anchor="ITEM_2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7280" w:type="dxa"/>
            <w:tcBorders/>
            <w:shd w:fill="FFFFFF" w:val="clear"/>
            <w:tcMar>
              <w:bottom w:w="0" w:type="dxa"/>
            </w:tcMar>
            <w:vAlign w:val="center"/>
          </w:tcPr>
          <w:p>
            <w:pPr>
              <w:pStyle w:val="TableContents"/>
              <w:spacing w:before="0" w:after="0"/>
              <w:ind w:left="0" w:right="0" w:hanging="0"/>
              <w:rPr/>
            </w:pPr>
            <w:hyperlink w:anchor="ITEM_3_QUANTITATIVE_QUALITATIVE_DISCLOSU">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7280" w:type="dxa"/>
            <w:tcBorders/>
            <w:shd w:fill="FFFFFF" w:val="clear"/>
            <w:tcMar>
              <w:bottom w:w="0" w:type="dxa"/>
            </w:tcMar>
          </w:tcPr>
          <w:p>
            <w:pPr>
              <w:pStyle w:val="TableContents"/>
              <w:spacing w:before="0" w:after="0"/>
              <w:ind w:left="0" w:right="0" w:hanging="0"/>
              <w:rPr/>
            </w:pPr>
            <w:hyperlink w:anchor="ITEM_4_CONTROLS_PROCEDURES">
              <w:r>
                <w:rPr>
                  <w:rStyle w:val="InternetLink"/>
                  <w:rFonts w:ascii="Times New Roman" w:hAnsi="Times New Roman"/>
                  <w:b w:val="false"/>
                  <w:i w:val="false"/>
                  <w:caps w:val="false"/>
                  <w:smallCaps w:val="false"/>
                  <w:sz w:val="20"/>
                  <w:u w:val="single"/>
                </w:rPr>
                <w:t>Controls and Procedures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PART II.</w:t>
            </w:r>
          </w:p>
        </w:tc>
        <w:tc>
          <w:tcPr>
            <w:tcW w:w="7280" w:type="dxa"/>
            <w:tcBorders/>
            <w:shd w:fill="FFFFFF" w:val="clear"/>
            <w:tcMar>
              <w:bottom w:w="0" w:type="dxa"/>
            </w:tcMar>
            <w:vAlign w:val="center"/>
          </w:tcPr>
          <w:p>
            <w:pPr>
              <w:pStyle w:val="TableContents"/>
              <w:spacing w:before="0" w:after="0"/>
              <w:ind w:left="0" w:right="0" w:hanging="0"/>
              <w:rPr/>
            </w:pPr>
            <w:hyperlink w:anchor="PART_IIOR_INFORMATION">
              <w:r>
                <w:rPr>
                  <w:rStyle w:val="InternetLink"/>
                  <w:rFonts w:ascii="Times New Roman" w:hAnsi="Times New Roman"/>
                  <w:b w:val="false"/>
                  <w:i w:val="false"/>
                  <w:caps w:val="false"/>
                  <w:smallCaps w:val="false"/>
                  <w:sz w:val="20"/>
                  <w:u w:val="single"/>
                </w:rPr>
                <w:t>OTHER INFORMATION</w:t>
              </w:r>
            </w:hyperlink>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7280" w:type="dxa"/>
            <w:tcBorders/>
            <w:shd w:fill="FFFFFF" w:val="clear"/>
            <w:tcMar>
              <w:bottom w:w="0" w:type="dxa"/>
            </w:tcMar>
            <w:vAlign w:val="center"/>
          </w:tcPr>
          <w:p>
            <w:pPr>
              <w:pStyle w:val="TableContents"/>
              <w:spacing w:before="0" w:after="0"/>
              <w:ind w:left="0" w:right="0" w:hanging="0"/>
              <w:rPr/>
            </w:pPr>
            <w:hyperlink w:anchor="ITEM_1_LEGAL_PROCEEDINGS">
              <w:r>
                <w:rPr>
                  <w:rStyle w:val="InternetLink"/>
                  <w:rFonts w:ascii="Times New Roman" w:hAnsi="Times New Roman"/>
                  <w:b w:val="false"/>
                  <w:i w:val="false"/>
                  <w:caps w:val="false"/>
                  <w:smallCaps w:val="false"/>
                  <w:sz w:val="20"/>
                  <w:u w:val="single"/>
                </w:rPr>
                <w:t>Legal Proceedings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7280" w:type="dxa"/>
            <w:tcBorders/>
            <w:shd w:fill="FFFFFF" w:val="clear"/>
            <w:tcMar>
              <w:bottom w:w="0" w:type="dxa"/>
            </w:tcMar>
            <w:vAlign w:val="cente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7280" w:type="dxa"/>
            <w:tcBorders/>
            <w:shd w:fill="FFFFFF" w:val="clear"/>
            <w:tcMar>
              <w:bottom w:w="0" w:type="dxa"/>
            </w:tcMar>
            <w:vAlign w:val="center"/>
          </w:tcPr>
          <w:p>
            <w:pPr>
              <w:pStyle w:val="TableContents"/>
              <w:spacing w:before="0" w:after="0"/>
              <w:ind w:left="0" w:right="0" w:hanging="0"/>
              <w:rPr/>
            </w:pPr>
            <w:hyperlink w:anchor="ITEM_2_UNREGISTERED_SALES_EQUITY_SECURIT">
              <w:r>
                <w:rPr>
                  <w:rStyle w:val="InternetLink"/>
                  <w:rFonts w:ascii="Times New Roman" w:hAnsi="Times New Roman"/>
                  <w:b w:val="false"/>
                  <w:i w:val="false"/>
                  <w:caps w:val="false"/>
                  <w:smallCaps w:val="false"/>
                  <w:sz w:val="20"/>
                  <w:u w:val="single"/>
                </w:rPr>
                <w:t>Unregistered Sales of Equity Securities and Use of Proceeds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tc>
      </w:tr>
      <w:tr>
        <w:trPr/>
        <w:tc>
          <w:tcPr>
            <w:tcW w:w="7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7280" w:type="dxa"/>
            <w:tcBorders/>
            <w:shd w:fill="FFFFFF" w:val="clear"/>
            <w:tcMar>
              <w:bottom w:w="0" w:type="dxa"/>
            </w:tcMar>
            <w:vAlign w:val="center"/>
          </w:tcPr>
          <w:p>
            <w:pPr>
              <w:pStyle w:val="TableContents"/>
              <w:spacing w:before="0" w:after="0"/>
              <w:ind w:left="0" w:right="0" w:hanging="0"/>
              <w:rPr/>
            </w:pPr>
            <w:hyperlink w:anchor="ITEM_6_EXHIBITS">
              <w:r>
                <w:rPr>
                  <w:rStyle w:val="InternetLink"/>
                  <w:rFonts w:ascii="Times New Roman" w:hAnsi="Times New Roman"/>
                  <w:b w:val="false"/>
                  <w:i w:val="false"/>
                  <w:caps w:val="false"/>
                  <w:smallCaps w:val="false"/>
                  <w:sz w:val="20"/>
                  <w:u w:val="single"/>
                </w:rPr>
                <w:t>Exhibits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tc>
      </w:tr>
      <w:tr>
        <w:trPr/>
        <w:tc>
          <w:tcPr>
            <w:tcW w:w="8065" w:type="dxa"/>
            <w:gridSpan w:val="2"/>
            <w:tcBorders/>
            <w:shd w:fill="FFFFFF" w:val="clear"/>
            <w:tcMar>
              <w:bottom w:w="0" w:type="dxa"/>
            </w:tcMar>
            <w:vAlign w:val="cente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Signatures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 w:name="PART_IFINANCIAL_INFORMATION"/>
      <w:bookmarkEnd w:id="2"/>
      <w:r>
        <w:rPr>
          <w:rFonts w:ascii="Times New Roman" w:hAnsi="Times New Roman"/>
          <w:b/>
          <w:i w:val="false"/>
          <w:caps w:val="false"/>
          <w:smallCaps w:val="false"/>
          <w:sz w:val="20"/>
        </w:rPr>
        <w:t>PART I—FINANCIAL INFORMATION</w:t>
      </w:r>
    </w:p>
    <w:p>
      <w:pPr>
        <w:pStyle w:val="TextBody"/>
        <w:spacing w:before="360" w:after="0"/>
        <w:rPr>
          <w:rFonts w:ascii="Times New Roman" w:hAnsi="Times New Roman"/>
          <w:b/>
          <w:i w:val="false"/>
          <w:caps w:val="false"/>
          <w:smallCaps w:val="false"/>
          <w:sz w:val="20"/>
        </w:rPr>
      </w:pPr>
      <w:bookmarkStart w:id="3" w:name="ITEM_1_FINANCIAL_STATEMENTS"/>
      <w:bookmarkEnd w:id="3"/>
      <w:r>
        <w:rPr>
          <w:rFonts w:ascii="Times New Roman" w:hAnsi="Times New Roman"/>
          <w:b/>
          <w:i w:val="false"/>
          <w:caps w:val="false"/>
          <w:smallCaps w:val="false"/>
          <w:sz w:val="20"/>
        </w:rPr>
        <w:t>Item 1. Financial Statements.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Trevi Therapeutics, Inc. </w:t>
      </w:r>
    </w:p>
    <w:p>
      <w:pPr>
        <w:pStyle w:val="TextBody"/>
        <w:spacing w:before="0" w:after="0"/>
        <w:jc w:val="center"/>
        <w:rPr>
          <w:rFonts w:ascii="Times New Roman" w:hAnsi="Times New Roman"/>
          <w:b/>
          <w:i w:val="false"/>
          <w:caps w:val="false"/>
          <w:smallCaps w:val="false"/>
          <w:sz w:val="20"/>
        </w:rPr>
      </w:pPr>
      <w:bookmarkStart w:id="4" w:name="CONDENSED_CONSOLIDATED_BALANCE_SHEETS"/>
      <w:bookmarkEnd w:id="4"/>
      <w:r>
        <w:rPr>
          <w:rFonts w:ascii="Times New Roman" w:hAnsi="Times New Roman"/>
          <w:b/>
          <w:i w:val="false"/>
          <w:caps w:val="false"/>
          <w:smallCaps w:val="false"/>
          <w:sz w:val="20"/>
        </w:rPr>
        <w:t xml:space="preserve">Condensed Consolidated Balance Sheets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(Amounts in thousands, except share and per share amounts) </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8059"/>
        <w:gridCol w:w="60"/>
        <w:gridCol w:w="125"/>
        <w:gridCol w:w="758"/>
        <w:gridCol w:w="80"/>
        <w:gridCol w:w="60"/>
        <w:gridCol w:w="139"/>
        <w:gridCol w:w="842"/>
        <w:gridCol w:w="82"/>
      </w:tblGrid>
      <w:tr>
        <w:trPr/>
        <w:tc>
          <w:tcPr>
            <w:tcW w:w="8059"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3"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1"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(Unaudited)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Cash and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29,113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36,830</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Prepaid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477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886</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Other 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249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241</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Total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29,839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37,957</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Other non-current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398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334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Operating lease right-of-use asset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107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131</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Property, equipment and leasehold improvements,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53</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bottom w:val="doub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Total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7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30,386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38,475</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Liabilities and stockholders’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1,738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2,849</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Accrued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3,881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3,808</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Term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7,000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5,833</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114</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Operating lease liability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123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120</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Total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12,867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12,724</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Term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7,056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8,652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Operating lease liability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24</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Total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19,923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21,400</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Commitments and contingencies (Note 10)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Stockholders’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Preferred stock: $0.001 par value; 5,000,000 shares authorized at March 31, 2022 and December 31, 2021; no shares issued or outstanding at March 31, 2022 and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Common stock: $0.001 par value; 200,000,000 shares authorized at March 31, 2022 and December 31, 2021; and 30,805,804 and 28,505,804 shares issued and outstanding at March 31, 2022 and December 31, 2021, respectively.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29</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198,678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197,963</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Accumulated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(188,246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(180,917</w:t>
            </w:r>
          </w:p>
        </w:tc>
        <w:tc>
          <w:tcPr>
            <w:tcW w:w="8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r>
      <w:tr>
        <w:trPr/>
        <w:tc>
          <w:tcPr>
            <w:tcW w:w="8059"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Total stockholders’ equity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10,463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17,075</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9" w:type="dxa"/>
            <w:tcBorders>
              <w:bottom w:val="doub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Total liabilities and stockholders’ equity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7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30,386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38,475</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notes are an integral part of these condensed consolidated financial statements.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Trevi Therapeutics, Inc. </w:t>
      </w:r>
    </w:p>
    <w:p>
      <w:pPr>
        <w:pStyle w:val="TextBody"/>
        <w:spacing w:before="0" w:after="0"/>
        <w:jc w:val="center"/>
        <w:rPr>
          <w:rFonts w:ascii="Times New Roman" w:hAnsi="Times New Roman"/>
          <w:b/>
          <w:i w:val="false"/>
          <w:caps w:val="false"/>
          <w:smallCaps w:val="false"/>
          <w:sz w:val="20"/>
        </w:rPr>
      </w:pPr>
      <w:bookmarkStart w:id="5" w:name="CONSOLIDATED_STATEMENTS_OPERATIONS"/>
      <w:bookmarkEnd w:id="5"/>
      <w:r>
        <w:rPr>
          <w:rFonts w:ascii="Times New Roman" w:hAnsi="Times New Roman"/>
          <w:b/>
          <w:i w:val="false"/>
          <w:caps w:val="false"/>
          <w:smallCaps w:val="false"/>
          <w:sz w:val="20"/>
        </w:rPr>
        <w:t xml:space="preserve">Condensed Consolidated Statements of Operations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(Amounts in thousands, except share and per share amounts)</w:t>
      </w:r>
    </w:p>
    <w:p>
      <w:pPr>
        <w:pStyle w:val="TextBody"/>
        <w:spacing w:before="0" w:after="0"/>
        <w:rPr/>
      </w:pPr>
      <w:r>
        <w:rPr/>
        <w:t> </w:t>
      </w:r>
    </w:p>
    <w:tbl>
      <w:tblPr>
        <w:tblW w:w="7265" w:type="dxa"/>
        <w:jc w:val="left"/>
        <w:tblInd w:w="0" w:type="dxa"/>
        <w:tblCellMar>
          <w:top w:w="0" w:type="dxa"/>
          <w:left w:w="0" w:type="dxa"/>
          <w:bottom w:w="28" w:type="dxa"/>
          <w:right w:w="0" w:type="dxa"/>
        </w:tblCellMar>
      </w:tblPr>
      <w:tblGrid>
        <w:gridCol w:w="4835"/>
        <w:gridCol w:w="60"/>
        <w:gridCol w:w="125"/>
        <w:gridCol w:w="950"/>
        <w:gridCol w:w="80"/>
        <w:gridCol w:w="60"/>
        <w:gridCol w:w="125"/>
        <w:gridCol w:w="950"/>
        <w:gridCol w:w="80"/>
      </w:tblGrid>
      <w:tr>
        <w:trPr/>
        <w:tc>
          <w:tcPr>
            <w:tcW w:w="48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5,589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2,500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8,089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3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3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expense,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(8,386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3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benefit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3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(7,329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(8,371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3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 net loss per common share outstanding</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3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shares used in net loss per share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attributable to common stockholders,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30,805,804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19,417,038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notes are an integral part of these condensed consolidated financial statements. </w:t>
      </w:r>
    </w:p>
    <w:p>
      <w:pPr>
        <w:pStyle w:val="TextBody"/>
        <w:spacing w:before="0" w:after="0"/>
        <w:jc w:val="center"/>
        <w:rPr>
          <w:caps w:val="false"/>
          <w:smallCaps w:val="false"/>
        </w:rPr>
      </w:pPr>
      <w:r>
        <w:rPr>
          <w:caps w:val="false"/>
          <w:smallCaps w:val="false"/>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6" w:name="CONSOLIDATED_STATEMENT_OF_STOCKHOLDERS_E"/>
      <w:bookmarkEnd w:id="6"/>
      <w:r>
        <w:rPr>
          <w:rFonts w:ascii="Times New Roman" w:hAnsi="Times New Roman"/>
          <w:b/>
          <w:i w:val="false"/>
          <w:caps w:val="false"/>
          <w:smallCaps w:val="false"/>
          <w:sz w:val="20"/>
        </w:rPr>
        <w:t xml:space="preserve">Trevi Therapeutics, Inc.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Condensed Consolidated Statements of Stockholders’ Equity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(Amounts in thousands, except share amounts)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5043"/>
        <w:gridCol w:w="60"/>
        <w:gridCol w:w="60"/>
        <w:gridCol w:w="830"/>
        <w:gridCol w:w="60"/>
        <w:gridCol w:w="60"/>
        <w:gridCol w:w="197"/>
        <w:gridCol w:w="468"/>
        <w:gridCol w:w="60"/>
        <w:gridCol w:w="60"/>
        <w:gridCol w:w="130"/>
        <w:gridCol w:w="715"/>
        <w:gridCol w:w="80"/>
        <w:gridCol w:w="60"/>
        <w:gridCol w:w="147"/>
        <w:gridCol w:w="893"/>
        <w:gridCol w:w="80"/>
        <w:gridCol w:w="60"/>
        <w:gridCol w:w="186"/>
        <w:gridCol w:w="875"/>
        <w:gridCol w:w="81"/>
      </w:tblGrid>
      <w:tr>
        <w:trPr/>
        <w:tc>
          <w:tcPr>
            <w:tcW w:w="5043"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Additional</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1"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Total</w:t>
            </w:r>
          </w:p>
        </w:tc>
        <w:tc>
          <w:tcPr>
            <w:tcW w:w="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7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Common Stock</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Paid-</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Accumulated</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1"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Stockholders’</w:t>
            </w:r>
          </w:p>
        </w:tc>
        <w:tc>
          <w:tcPr>
            <w:tcW w:w="8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Shares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Amount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in Capital</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Deficit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1"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Equity</w:t>
            </w:r>
          </w:p>
        </w:tc>
        <w:tc>
          <w:tcPr>
            <w:tcW w:w="8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Balance at December 31, 2021</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28,505,804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6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197,963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9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(180,917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17,075</w:t>
            </w:r>
          </w:p>
        </w:tc>
        <w:tc>
          <w:tcPr>
            <w:tcW w:w="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Stock-based compensation</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737</w:t>
            </w:r>
          </w:p>
        </w:tc>
        <w:tc>
          <w:tcPr>
            <w:tcW w:w="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under the at-the-market sales agreement, net of commissions and allocated fees</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w:t>
            </w:r>
          </w:p>
        </w:tc>
        <w:tc>
          <w:tcPr>
            <w:tcW w:w="8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5043"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from warrant exercise</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2,300,000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w:t>
            </w:r>
          </w:p>
        </w:tc>
        <w:tc>
          <w:tcPr>
            <w:tcW w:w="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loss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(7,329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(7,329</w:t>
            </w:r>
          </w:p>
        </w:tc>
        <w:tc>
          <w:tcPr>
            <w:tcW w:w="81"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5043"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Balance at March 31, 2022</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30,805,804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6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31</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1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198,678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9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(188,246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7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10,463</w:t>
            </w:r>
          </w:p>
        </w:tc>
        <w:tc>
          <w:tcPr>
            <w:tcW w:w="81"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Balance at December 31, 2020</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18,546,786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6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174,240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9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(146,977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27,282</w:t>
            </w:r>
          </w:p>
        </w:tc>
        <w:tc>
          <w:tcPr>
            <w:tcW w:w="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Stock-based compensation</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718</w:t>
            </w:r>
          </w:p>
        </w:tc>
        <w:tc>
          <w:tcPr>
            <w:tcW w:w="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under the at-the-market sales agreement, net of commissions and allocated fees</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1,367,621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4,055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4,056</w:t>
            </w:r>
          </w:p>
        </w:tc>
        <w:tc>
          <w:tcPr>
            <w:tcW w:w="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3"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loss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(8,371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(8,371</w:t>
            </w:r>
          </w:p>
        </w:tc>
        <w:tc>
          <w:tcPr>
            <w:tcW w:w="81"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5043"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Balance at March 31, 2021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19,914,407</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6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1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179,013</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93"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(155,348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7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23,685</w:t>
            </w:r>
          </w:p>
        </w:tc>
        <w:tc>
          <w:tcPr>
            <w:tcW w:w="81"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notes are an integral part of these condensed consolidated financial statements.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caps w:val="false"/>
          <w:smallCaps w:val="false"/>
        </w:rPr>
      </w:pPr>
      <w:r>
        <w:rPr>
          <w:caps w:val="false"/>
          <w:smallCaps w:val="false"/>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Trevi Therapeutics, Inc. </w:t>
      </w:r>
    </w:p>
    <w:p>
      <w:pPr>
        <w:pStyle w:val="TextBody"/>
        <w:spacing w:before="0" w:after="0"/>
        <w:jc w:val="center"/>
        <w:rPr>
          <w:rFonts w:ascii="Times New Roman" w:hAnsi="Times New Roman"/>
          <w:b/>
          <w:i w:val="false"/>
          <w:caps w:val="false"/>
          <w:smallCaps w:val="false"/>
          <w:sz w:val="20"/>
        </w:rPr>
      </w:pPr>
      <w:bookmarkStart w:id="7" w:name="CONSOLIDATED_STATEMENTS_CASH_FLOWS"/>
      <w:bookmarkEnd w:id="7"/>
      <w:r>
        <w:rPr>
          <w:rFonts w:ascii="Times New Roman" w:hAnsi="Times New Roman"/>
          <w:b/>
          <w:i w:val="false"/>
          <w:caps w:val="false"/>
          <w:smallCaps w:val="false"/>
          <w:sz w:val="20"/>
        </w:rPr>
        <w:t xml:space="preserve">Condensed Consolidated Statements of Cash Flows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(Amounts in thousands) </w:t>
      </w:r>
    </w:p>
    <w:p>
      <w:pPr>
        <w:pStyle w:val="TextBody"/>
        <w:spacing w:before="0" w:after="0"/>
        <w:rPr/>
      </w:pPr>
      <w:r>
        <w:rPr/>
        <w:t> </w:t>
      </w:r>
    </w:p>
    <w:tbl>
      <w:tblPr>
        <w:tblW w:w="8381" w:type="dxa"/>
        <w:jc w:val="left"/>
        <w:tblInd w:w="0" w:type="dxa"/>
        <w:tblCellMar>
          <w:top w:w="0" w:type="dxa"/>
          <w:left w:w="0" w:type="dxa"/>
          <w:bottom w:w="28" w:type="dxa"/>
          <w:right w:w="0" w:type="dxa"/>
        </w:tblCellMar>
      </w:tblPr>
      <w:tblGrid>
        <w:gridCol w:w="5930"/>
        <w:gridCol w:w="60"/>
        <w:gridCol w:w="184"/>
        <w:gridCol w:w="869"/>
        <w:gridCol w:w="117"/>
        <w:gridCol w:w="88"/>
        <w:gridCol w:w="184"/>
        <w:gridCol w:w="869"/>
        <w:gridCol w:w="80"/>
      </w:tblGrid>
      <w:tr>
        <w:trPr/>
        <w:tc>
          <w:tcPr>
            <w:tcW w:w="59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5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5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(7,329</w:t>
            </w:r>
          </w:p>
        </w:tc>
        <w:tc>
          <w:tcPr>
            <w:tcW w:w="11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(8,371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Adjustments to reconcile net loss to 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Depreciation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11</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11</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Accretion/accrual of term loan discounts and debt issuance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154</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737</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718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Changes in operating assets and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Prepaid expenses and other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420</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679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(1,110</w:t>
            </w:r>
          </w:p>
        </w:tc>
        <w:tc>
          <w:tcPr>
            <w:tcW w:w="11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(1,215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r>
      <w:tr>
        <w:trPr/>
        <w:tc>
          <w:tcPr>
            <w:tcW w:w="5930"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Accrued expenses and other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14</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447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Pr>
          <w:p>
            <w:pPr>
              <w:pStyle w:val="TableContents"/>
              <w:spacing w:before="0" w:after="0"/>
              <w:ind w:left="821"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Net cash used in operating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(7,092</w:t>
            </w:r>
          </w:p>
        </w:tc>
        <w:tc>
          <w:tcPr>
            <w:tcW w:w="11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(7,578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Repayments of term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(583</w:t>
            </w:r>
          </w:p>
        </w:tc>
        <w:tc>
          <w:tcPr>
            <w:tcW w:w="11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Proceeds from at-the-market sales, net of commissions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4,178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Proceeds from exercises of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Payments of offering costs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(44</w:t>
            </w:r>
          </w:p>
        </w:tc>
        <w:tc>
          <w:tcPr>
            <w:tcW w:w="11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r>
      <w:tr>
        <w:trPr/>
        <w:tc>
          <w:tcPr>
            <w:tcW w:w="5930" w:type="dxa"/>
            <w:tcBorders>
              <w:bottom w:val="single" w:sz="6" w:space="0" w:color="000000"/>
            </w:tcBorders>
            <w:shd w:fill="FFFFFF" w:val="clear"/>
          </w:tcPr>
          <w:p>
            <w:pPr>
              <w:pStyle w:val="TableContents"/>
              <w:spacing w:before="0" w:after="0"/>
              <w:ind w:left="821"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Net cash (used in) provided by financing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(625</w:t>
            </w:r>
          </w:p>
        </w:tc>
        <w:tc>
          <w:tcPr>
            <w:tcW w:w="11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4,147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Net decrease in 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(7,717</w:t>
            </w:r>
          </w:p>
        </w:tc>
        <w:tc>
          <w:tcPr>
            <w:tcW w:w="11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(3,431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r>
      <w:tr>
        <w:trPr/>
        <w:tc>
          <w:tcPr>
            <w:tcW w:w="59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Cash and cash equivalents at beginning of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36,830</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45,001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Cash and cash equivalents at end of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29,113</w:t>
            </w:r>
          </w:p>
        </w:tc>
        <w:tc>
          <w:tcPr>
            <w:tcW w:w="11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8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41,570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notes are an integral part of these condensed consolidated financial statements. </w:t>
      </w:r>
    </w:p>
    <w:p>
      <w:pPr>
        <w:pStyle w:val="TextBody"/>
        <w:spacing w:before="0" w:after="0"/>
        <w:jc w:val="center"/>
        <w:rPr>
          <w:caps w:val="false"/>
          <w:smallCaps w:val="false"/>
        </w:rPr>
      </w:pPr>
      <w:r>
        <w:rPr>
          <w:caps w:val="false"/>
          <w:smallCaps w:val="false"/>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Trevi Therapeutics, Inc. </w:t>
      </w:r>
    </w:p>
    <w:p>
      <w:pPr>
        <w:pStyle w:val="TextBody"/>
        <w:spacing w:before="0" w:after="0"/>
        <w:jc w:val="center"/>
        <w:rPr>
          <w:rFonts w:ascii="Times New Roman" w:hAnsi="Times New Roman"/>
          <w:b/>
          <w:i w:val="false"/>
          <w:caps w:val="false"/>
          <w:smallCaps w:val="false"/>
          <w:sz w:val="20"/>
        </w:rPr>
      </w:pPr>
      <w:bookmarkStart w:id="8" w:name="NOTES_TO_CONSOLIDATED_FINANCIAL_STATEMEN"/>
      <w:bookmarkEnd w:id="8"/>
      <w:r>
        <w:rPr>
          <w:rFonts w:ascii="Times New Roman" w:hAnsi="Times New Roman"/>
          <w:b/>
          <w:i w:val="false"/>
          <w:caps w:val="false"/>
          <w:smallCaps w:val="false"/>
          <w:sz w:val="20"/>
        </w:rPr>
        <w:t xml:space="preserve">Notes to Condensed Consolidated Financial Statements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share and per share data)</w:t>
      </w:r>
    </w:p>
    <w:tbl>
      <w:tblPr>
        <w:tblW w:w="2095" w:type="dxa"/>
        <w:jc w:val="left"/>
        <w:tblInd w:w="0" w:type="dxa"/>
        <w:tblCellMar>
          <w:top w:w="0" w:type="dxa"/>
          <w:left w:w="0" w:type="dxa"/>
          <w:bottom w:w="0" w:type="dxa"/>
          <w:right w:w="0" w:type="dxa"/>
        </w:tblCellMar>
      </w:tblPr>
      <w:tblGrid>
        <w:gridCol w:w="170"/>
        <w:gridCol w:w="1925"/>
      </w:tblGrid>
      <w:tr>
        <w:trPr/>
        <w:tc>
          <w:tcPr>
            <w:tcW w:w="17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1.</w:t>
            </w:r>
          </w:p>
        </w:tc>
        <w:tc>
          <w:tcPr>
            <w:tcW w:w="1925"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Nature of the Business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Trevi Therapeutics, Inc. (“Trevi” or the “Company”) is a clinical-stage biopharmaceutical company focused on the development and commercialization of the investigational therapy Haduvio (nalbuphine ER) to treat serious neurologically mediated conditions. The Company is currently developing Haduvio for the treatment of chronic pruritus associated with prurigo nodularis and chronic cough in patients with idiopathic pulmonary fibrosis (“IPF”).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itch, cough and certain movement disorders. Nalbuphine’s mechanism of action also mitigates the risk of abuse associated with μ-opioid agonists because it antagonizes or blocks, the μ-opioid receptor. Parenteral nalbuphine is not scheduled as a controlled substance in the U.S. and most of Europe.</w:t>
      </w:r>
    </w:p>
    <w:tbl>
      <w:tblPr>
        <w:tblW w:w="3955" w:type="dxa"/>
        <w:jc w:val="left"/>
        <w:tblInd w:w="0" w:type="dxa"/>
        <w:tblCellMar>
          <w:top w:w="0" w:type="dxa"/>
          <w:left w:w="0" w:type="dxa"/>
          <w:bottom w:w="0" w:type="dxa"/>
          <w:right w:w="0" w:type="dxa"/>
        </w:tblCellMar>
      </w:tblPr>
      <w:tblGrid>
        <w:gridCol w:w="170"/>
        <w:gridCol w:w="3785"/>
      </w:tblGrid>
      <w:tr>
        <w:trPr/>
        <w:tc>
          <w:tcPr>
            <w:tcW w:w="17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2.</w:t>
            </w:r>
          </w:p>
        </w:tc>
        <w:tc>
          <w:tcPr>
            <w:tcW w:w="3785"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Summary of Significant Accounting Policies </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unaudited interim Condensed Consolidated Financial Statements for the three months ended March 31, 2022 and 2021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2021 (the “Annual Report on Form 10-K”).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Condensed Consolidated Financial Statements include the accounts of Trevi Therapeutics, Inc. and its wholly-owned subsidiary Trevi Therapeutics Limited. Intercompany balances and transactions have been eliminated.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amounts presented are in thousands of dollars, except share and per share amounts, unless noted otherwise. The Company has evaluated events occurring subsequent to March 31, 2022 for potential recognition or disclosure in the Condensed Consolidated Financial Statements and concluded there were no subsequent events that required recognition or disclosure other than those provided in Note 11.</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Use of Estimates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resulting from net operating losses.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 The inputs into the Company’s estimates also considered the economic implications of the COVID-19 pandemic on the Company’s estimates.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Unaudited Interim Financial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interim Condensed Consolidated Balance Sheet as of March 31, 2022 and the Condensed Consolidated Statements of Operations, the Condensed Consolidated Statements of Stockholders’ Equity and the Condensed Consolidated Statements of Cash Flows for the three months ended March 31, 2022 and 2021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March 31, 2022 and the results of its operations and its cash flows for the three months ended March 31, 2022 and 2021.  The results for the three months ended March 31, 2022 and 2021 are not necessarily indicative of results to be expected for the year ending December 31, 2022 or any other interim period or any future year or period.</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Cash Equivalents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The Company classifies short-term, highly liquid investments with an original term of three months or less at the date of purchase as cash equivalents.</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Fair Value Measurements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financial instruments have consisted of cash and cash equivalents, other current assets, accounts payable, accrued </w:t>
      </w:r>
      <w:r>
        <w:rPr>
          <w:rFonts w:ascii="Times New Roman" w:hAnsi="Times New Roman"/>
          <w:b w:val="false"/>
          <w:i w:val="false"/>
          <w:caps w:val="false"/>
          <w:smallCaps w:val="false"/>
          <w:color w:val="000000"/>
          <w:sz w:val="20"/>
        </w:rPr>
        <w:t xml:space="preserve">expenses, term loans, term loan derivative liability and warrants to acquire the Company’s common stock. Fair </w:t>
      </w:r>
      <w:r>
        <w:rPr>
          <w:rFonts w:ascii="Times New Roman" w:hAnsi="Times New Roman"/>
          <w:b w:val="false"/>
          <w:i w:val="false"/>
          <w:caps w:val="false"/>
          <w:smallCaps w:val="false"/>
          <w:sz w:val="20"/>
        </w:rPr>
        <w:t xml:space="preserve">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w:t>
      </w:r>
      <w:r>
        <w:rPr>
          <w:rFonts w:ascii="Times New Roman" w:hAnsi="Times New Roman"/>
          <w:b w:val="false"/>
          <w:i w:val="false"/>
          <w:caps w:val="false"/>
          <w:smallCaps w:val="false"/>
          <w:color w:val="000000"/>
          <w:sz w:val="20"/>
        </w:rPr>
        <w:t xml:space="preserve">instruments. </w:t>
      </w:r>
      <w:r>
        <w:rPr>
          <w:rFonts w:ascii="Times New Roman" w:hAnsi="Times New Roman"/>
          <w:b w:val="false"/>
          <w:i w:val="false"/>
          <w:caps w:val="false"/>
          <w:smallCaps w:val="false"/>
          <w:sz w:val="20"/>
        </w:rPr>
        <w:t xml:space="preserve">The carrying amount of the term loan approximates its fair value due to its floating market-based interest rate. </w:t>
      </w:r>
      <w:r>
        <w:rPr>
          <w:rFonts w:ascii="Times New Roman" w:hAnsi="Times New Roman"/>
          <w:b w:val="false"/>
          <w:i w:val="false"/>
          <w:caps w:val="false"/>
          <w:smallCaps w:val="false"/>
          <w:color w:val="000000"/>
          <w:sz w:val="20"/>
          <w:highlight w:val="white"/>
        </w:rPr>
        <w:t>The fair value of the term loan derivative liability is estimated utilizing a probability-weighted cash flow approach. The warrants to acquire the Company’s common stock are not required to be accounted for at fair value.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Current accounting guidance defines fair value, establishes a framework for measuring fair value in accordance with Accounting Standards Codification (“ASC”) 820, </w:t>
      </w:r>
      <w:r>
        <w:rPr>
          <w:rFonts w:ascii="Times New Roman" w:hAnsi="Times New Roman"/>
          <w:b w:val="false"/>
          <w:i/>
          <w:caps w:val="false"/>
          <w:smallCaps w:val="false"/>
          <w:sz w:val="20"/>
        </w:rPr>
        <w:t>Fair Value Measurements and Disclosures,</w:t>
      </w:r>
      <w:r>
        <w:rPr>
          <w:rFonts w:ascii="Times New Roman" w:hAnsi="Times New Roman"/>
          <w:b w:val="false"/>
          <w:i w:val="false"/>
          <w:caps w:val="false"/>
          <w:smallCaps w:val="false"/>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Level 1—Observable inputs—quoted prices in active markets for identical assets and liabilities.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3—Unobservable inputs—includes amounts derived from valuation models where one or more significant inputs are unobservable and require the company to develop relevant assumptions.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financial assets and financial liabilities measured at fair value on a recurring basis as of March 31, 2022 and December 31, 2021, and the basis for that measurement, by level within the fair value hierarchy: </w:t>
      </w:r>
    </w:p>
    <w:p>
      <w:pPr>
        <w:pStyle w:val="TextBody"/>
        <w:spacing w:before="0" w:after="0"/>
        <w:rPr/>
      </w:pPr>
      <w:r>
        <w:rPr/>
        <w:t> </w:t>
      </w:r>
    </w:p>
    <w:tbl>
      <w:tblPr>
        <w:tblW w:w="5858" w:type="dxa"/>
        <w:jc w:val="left"/>
        <w:tblInd w:w="0" w:type="dxa"/>
        <w:tblCellMar>
          <w:top w:w="0" w:type="dxa"/>
          <w:left w:w="0" w:type="dxa"/>
          <w:bottom w:w="28" w:type="dxa"/>
          <w:right w:w="0" w:type="dxa"/>
        </w:tblCellMar>
      </w:tblPr>
      <w:tblGrid>
        <w:gridCol w:w="3485"/>
        <w:gridCol w:w="60"/>
        <w:gridCol w:w="125"/>
        <w:gridCol w:w="590"/>
        <w:gridCol w:w="60"/>
        <w:gridCol w:w="60"/>
        <w:gridCol w:w="210"/>
        <w:gridCol w:w="439"/>
        <w:gridCol w:w="60"/>
        <w:gridCol w:w="60"/>
        <w:gridCol w:w="175"/>
        <w:gridCol w:w="474"/>
        <w:gridCol w:w="60"/>
      </w:tblGrid>
      <w:tr>
        <w:trPr/>
        <w:tc>
          <w:tcPr>
            <w:tcW w:w="34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March 31,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Financial assets carried at fair value: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Money market funds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28,117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4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Financial liabilities carried at fair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47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Financial assets carried at fair value: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Money market funds(1)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35,835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4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9"/>
              </w:rPr>
            </w:pPr>
            <w:r>
              <w:rPr>
                <w:rFonts w:ascii="Times New Roman" w:hAnsi="Times New Roman"/>
                <w:b/>
                <w:i w:val="false"/>
                <w:caps w:val="false"/>
                <w:smallCaps w:val="false"/>
                <w:color w:val="000000"/>
                <w:sz w:val="19"/>
              </w:rPr>
              <w:t>Financial liabilities carried at fair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w:t>
            </w:r>
          </w:p>
        </w:tc>
        <w:tc>
          <w:tcPr>
            <w:tcW w:w="47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Included in cash and cash equivalents on the Condensed Consolidated Balance Sheets.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represents a roll-forward of the fair value of Level 3 instruments (significant unobservable inputs): </w:t>
      </w:r>
    </w:p>
    <w:p>
      <w:pPr>
        <w:pStyle w:val="TextBody"/>
        <w:spacing w:before="0" w:after="0"/>
        <w:rPr/>
      </w:pPr>
      <w:r>
        <w:rPr/>
        <w:t> </w:t>
      </w:r>
    </w:p>
    <w:tbl>
      <w:tblPr>
        <w:tblW w:w="7113" w:type="dxa"/>
        <w:jc w:val="left"/>
        <w:tblInd w:w="0" w:type="dxa"/>
        <w:tblCellMar>
          <w:top w:w="0" w:type="dxa"/>
          <w:left w:w="0" w:type="dxa"/>
          <w:bottom w:w="28" w:type="dxa"/>
          <w:right w:w="0" w:type="dxa"/>
        </w:tblCellMar>
      </w:tblPr>
      <w:tblGrid>
        <w:gridCol w:w="4265"/>
        <w:gridCol w:w="60"/>
        <w:gridCol w:w="318"/>
        <w:gridCol w:w="856"/>
        <w:gridCol w:w="60"/>
        <w:gridCol w:w="60"/>
        <w:gridCol w:w="383"/>
        <w:gridCol w:w="1031"/>
        <w:gridCol w:w="80"/>
      </w:tblGrid>
      <w:tr>
        <w:trPr/>
        <w:tc>
          <w:tcPr>
            <w:tcW w:w="42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1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liabilities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beginning of period</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term loan derivative liability</w:t>
            </w:r>
          </w:p>
        </w:tc>
        <w:tc>
          <w:tcPr>
            <w:tcW w:w="60"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31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end of period</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Property, Equipment and Leasehold Improvements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Impairment of Long-Lived Assets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ASC 360, </w:t>
      </w:r>
      <w:r>
        <w:rPr>
          <w:rFonts w:ascii="Times New Roman" w:hAnsi="Times New Roman"/>
          <w:b w:val="false"/>
          <w:i/>
          <w:caps w:val="false"/>
          <w:smallCaps w:val="false"/>
          <w:sz w:val="20"/>
        </w:rPr>
        <w:t>Property, Plant and Equipment,</w:t>
      </w:r>
      <w:r>
        <w:rPr>
          <w:rFonts w:ascii="Times New Roman" w:hAnsi="Times New Roman"/>
          <w:b w:val="false"/>
          <w:i w:val="false"/>
          <w:caps w:val="false"/>
          <w:smallCaps w:val="false"/>
          <w:sz w:val="20"/>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Foreign Currency Transactions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Condensed Consolidated Statements of Operations.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Deferred Offering Costs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operating expenses.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Research and Development (“R&amp;D”)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clinical research organizations (“CROs”) to conduct certain R&amp;D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R&amp;D expenses as they are incurred.</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Accrued R&amp;D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Patent Costs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patent-related costs in connection with filing and prosecuting patent applications are expensed to general and administrative expense as incurred, as recoverability of such expenditures is uncertain.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Warrants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b w:val="false"/>
          <w:i/>
          <w:caps w:val="false"/>
          <w:smallCaps w:val="false"/>
          <w:color w:val="000000"/>
          <w:sz w:val="20"/>
        </w:rPr>
        <w:t xml:space="preserve">Distinguishing Liabilities from Equity </w:t>
      </w:r>
      <w:r>
        <w:rPr>
          <w:rFonts w:ascii="Times New Roman" w:hAnsi="Times New Roman"/>
          <w:b w:val="false"/>
          <w:i w:val="false"/>
          <w:caps w:val="false"/>
          <w:smallCaps w:val="false"/>
          <w:color w:val="000000"/>
          <w:sz w:val="20"/>
        </w:rPr>
        <w:t xml:space="preserve">(“ASC 480”), and then in accordance with ASC 815, </w:t>
      </w:r>
      <w:r>
        <w:rPr>
          <w:rFonts w:ascii="Times New Roman" w:hAnsi="Times New Roman"/>
          <w:b w:val="false"/>
          <w:i/>
          <w:caps w:val="false"/>
          <w:smallCaps w:val="false"/>
          <w:color w:val="000000"/>
          <w:sz w:val="20"/>
        </w:rPr>
        <w:t>Derivatives and Hedging</w:t>
      </w:r>
      <w:r>
        <w:rPr>
          <w:rFonts w:ascii="Times New Roman" w:hAnsi="Times New Roman"/>
          <w:b w:val="false"/>
          <w:i w:val="false"/>
          <w:caps w:val="false"/>
          <w:smallCaps w:val="false"/>
          <w:color w:val="000000"/>
          <w:sz w:val="20"/>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For equity classified warrants, no changes in fair value are recognized after the issuance date.</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accounts for stock-based compensation arrangements with employees and non-employees for consultancy services in accordance with ASC 718, </w:t>
      </w:r>
      <w:r>
        <w:rPr>
          <w:rFonts w:ascii="Times New Roman" w:hAnsi="Times New Roman"/>
          <w:b w:val="false"/>
          <w:i/>
          <w:caps w:val="false"/>
          <w:smallCaps w:val="false"/>
          <w:sz w:val="20"/>
        </w:rPr>
        <w:t xml:space="preserve">Stock Compensation </w:t>
      </w:r>
      <w:r>
        <w:rPr>
          <w:rFonts w:ascii="Times New Roman" w:hAnsi="Times New Roman"/>
          <w:b w:val="false"/>
          <w:i w:val="false"/>
          <w:caps w:val="false"/>
          <w:smallCaps w:val="false"/>
          <w:sz w:val="20"/>
        </w:rPr>
        <w:t>(“ASC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the variables can materially affect the fair value and ultimately how much stock-based compensation expense is recognized. These inputs are subjective and generally require analysis and judgment to develop.</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Dividend—The Black-Scholes valuation model calls for a single expected dividend yield as an input. The Company currently has no history or expectation of paying cash dividends on its common stock.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Risk-Free Interest Rate—The risk-free interest rate is based on the yield available on U.S. Treasury zero-coupon issues similar in duration to the expected term of the stock-based award.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also recognized on a straight-line basis over the requisite service period based on whether the performance conditions are probable. The Company reassesses the probability of achieving the performance conditions at each reporting date. Forfeitures are accounted for as they occur.</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applies the provisions of ASC 740, </w:t>
      </w:r>
      <w:r>
        <w:rPr>
          <w:rFonts w:ascii="Times New Roman" w:hAnsi="Times New Roman"/>
          <w:b w:val="false"/>
          <w:i/>
          <w:caps w:val="false"/>
          <w:smallCaps w:val="false"/>
          <w:sz w:val="20"/>
        </w:rPr>
        <w:t>Income Taxes</w:t>
      </w:r>
      <w:r>
        <w:rPr>
          <w:rFonts w:ascii="Times New Roman" w:hAnsi="Times New Roman"/>
          <w:b w:val="false"/>
          <w:i w:val="false"/>
          <w:caps w:val="false"/>
          <w:smallCaps w:val="false"/>
          <w:sz w:val="20"/>
        </w:rPr>
        <w:t xml:space="preserve">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March 31, 2022 and December 31, 2021. The Company does not have any interest or penalties accrued related to tax positions as it does not have any unrecognized tax benefits. In the event the Company determines that accrual of interest or penalties are necessary in the future, the amount will be presented as a component of interest expense.</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Leases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ASC 842, </w:t>
      </w:r>
      <w:r>
        <w:rPr>
          <w:rFonts w:ascii="Times New Roman" w:hAnsi="Times New Roman"/>
          <w:b w:val="false"/>
          <w:i/>
          <w:caps w:val="false"/>
          <w:smallCaps w:val="false"/>
          <w:sz w:val="20"/>
        </w:rPr>
        <w:t>Leases</w:t>
      </w:r>
      <w:r>
        <w:rPr>
          <w:rFonts w:ascii="Times New Roman" w:hAnsi="Times New Roman"/>
          <w:b w:val="false"/>
          <w:i w:val="false"/>
          <w:caps w:val="false"/>
          <w:smallCaps w:val="false"/>
          <w:sz w:val="20"/>
        </w:rPr>
        <w:t xml:space="preserve">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Basic and Diluted Net Income (Loss) per Common Share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Segments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has one reporting segment which is also the Company’s only operating segment. Management uses one measurement of profitability and does not segregate its business for internal reporting. All long-lived assets are maintained in the U.S.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Recently Adopted Accounting Pronouncements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been no new pronouncements adopted during the three months ended March 31, 2022, which could be expected to materially impact the Company’s Condensed Consolidated Financial Statements.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Recently Issued Accounting Pronouncements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have been no new pronouncements issued during the three months ended March 31, 2022, which could be expected to materially impact the Company’s Condensed Consolidated Financial Statements.</w:t>
      </w:r>
    </w:p>
    <w:tbl>
      <w:tblPr>
        <w:tblW w:w="760" w:type="dxa"/>
        <w:jc w:val="left"/>
        <w:tblInd w:w="0" w:type="dxa"/>
        <w:tblCellMar>
          <w:top w:w="0" w:type="dxa"/>
          <w:left w:w="0" w:type="dxa"/>
          <w:bottom w:w="0" w:type="dxa"/>
          <w:right w:w="0" w:type="dxa"/>
        </w:tblCellMar>
      </w:tblPr>
      <w:tblGrid>
        <w:gridCol w:w="170"/>
        <w:gridCol w:w="590"/>
      </w:tblGrid>
      <w:tr>
        <w:trPr/>
        <w:tc>
          <w:tcPr>
            <w:tcW w:w="17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3.</w:t>
            </w:r>
          </w:p>
        </w:tc>
        <w:tc>
          <w:tcPr>
            <w:tcW w:w="59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Leases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Effective March 1, 2013, the Company entered into a lease for office space in New Haven, CT and commencing March 1, 2018, the Company entered into the First Amendment to the lease (collectively, the “Office Space Lease”). The leased space approximates 5,600 square feet and the Office Space Lease has a term of 60 months. The Office Space Lease requires monthly payments ranging from approximately $10 to $12 through February 1, 2023 and provides for two designated months of free rent.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incremental borrowing rate used on the Office Space Lease was 13.0%.  The right-of-use asset also includes any lease payments related to initial direct costs and prepayments and excludes lease incentives. Lease expense is recognized on a straight-line basis over the lease term. The Company had no new leases during the three months ended March 31, 2022.</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Office Space Lease is an operating lease and the remaining term as of March 31, 2022 is approximately </w:t>
      </w:r>
      <w:r>
        <w:rPr>
          <w:rFonts w:ascii="Times New Roman" w:hAnsi="Times New Roman"/>
          <w:b w:val="false"/>
          <w:i w:val="false"/>
          <w:caps w:val="false"/>
          <w:smallCaps w:val="false"/>
          <w:color w:val="000000"/>
          <w:sz w:val="20"/>
        </w:rPr>
        <w:t>1.0 year</w:t>
      </w:r>
      <w:r>
        <w:rPr>
          <w:rFonts w:ascii="Times New Roman" w:hAnsi="Times New Roman"/>
          <w:b w:val="false"/>
          <w:i w:val="false"/>
          <w:caps w:val="false"/>
          <w:smallCaps w:val="false"/>
          <w:sz w:val="20"/>
        </w:rPr>
        <w:t>. The Company has no financing leases. The following table summarizes the Company’s operating lease as presented on its Condensed Consolidated Balance Sheets:</w:t>
      </w:r>
    </w:p>
    <w:p>
      <w:pPr>
        <w:pStyle w:val="TextBody"/>
        <w:spacing w:before="0" w:after="0"/>
        <w:rPr/>
      </w:pPr>
      <w:r>
        <w:rPr/>
        <w:t> </w:t>
      </w:r>
    </w:p>
    <w:tbl>
      <w:tblPr>
        <w:tblW w:w="6448" w:type="dxa"/>
        <w:jc w:val="left"/>
        <w:tblInd w:w="0" w:type="dxa"/>
        <w:tblCellMar>
          <w:top w:w="0" w:type="dxa"/>
          <w:left w:w="0" w:type="dxa"/>
          <w:bottom w:w="28" w:type="dxa"/>
          <w:right w:w="0" w:type="dxa"/>
        </w:tblCellMar>
      </w:tblPr>
      <w:tblGrid>
        <w:gridCol w:w="3620"/>
        <w:gridCol w:w="60"/>
        <w:gridCol w:w="318"/>
        <w:gridCol w:w="856"/>
        <w:gridCol w:w="60"/>
        <w:gridCol w:w="60"/>
        <w:gridCol w:w="383"/>
        <w:gridCol w:w="1031"/>
        <w:gridCol w:w="60"/>
      </w:tblGrid>
      <w:tr>
        <w:trPr/>
        <w:tc>
          <w:tcPr>
            <w:tcW w:w="36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1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double" w:sz="6" w:space="0" w:color="000000"/>
            </w:tcBorders>
            <w:shd w:fill="CFF0FC"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1"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 portion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FFFFFF"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long term portion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Future minimum lease payments from March 31, 2022 until the expiration of the operating leases are as follows:</w:t>
      </w:r>
    </w:p>
    <w:p>
      <w:pPr>
        <w:pStyle w:val="TextBody"/>
        <w:spacing w:before="0" w:after="0"/>
        <w:rPr/>
      </w:pPr>
      <w:r>
        <w:rPr/>
        <w:t> </w:t>
      </w:r>
    </w:p>
    <w:tbl>
      <w:tblPr>
        <w:tblW w:w="4145" w:type="dxa"/>
        <w:jc w:val="left"/>
        <w:tblInd w:w="0" w:type="dxa"/>
        <w:tblCellMar>
          <w:top w:w="0" w:type="dxa"/>
          <w:left w:w="0" w:type="dxa"/>
          <w:bottom w:w="0" w:type="dxa"/>
          <w:right w:w="0" w:type="dxa"/>
        </w:tblCellMar>
      </w:tblPr>
      <w:tblGrid>
        <w:gridCol w:w="3545"/>
        <w:gridCol w:w="60"/>
        <w:gridCol w:w="125"/>
        <w:gridCol w:w="335"/>
        <w:gridCol w:w="80"/>
      </w:tblGrid>
      <w:tr>
        <w:trPr/>
        <w:tc>
          <w:tcPr>
            <w:tcW w:w="354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payments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discount rate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4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Carrying value of operating lease liabilities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Lease expense under operating leases, including leases of office equipment, was $39 and $30 for the three months ended March 31, 2022 and 2021, respectively. Lease payments made in the three months ended March 31, 2022 and 2021 were $35 and $34, respectively, with such amounts reflected in the Condensed Consolidated Statements of Cash Flows in operating activities.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tbl>
      <w:tblPr>
        <w:tblW w:w="1810" w:type="dxa"/>
        <w:jc w:val="left"/>
        <w:tblInd w:w="0" w:type="dxa"/>
        <w:tblCellMar>
          <w:top w:w="0" w:type="dxa"/>
          <w:left w:w="0" w:type="dxa"/>
          <w:bottom w:w="0" w:type="dxa"/>
          <w:right w:w="0" w:type="dxa"/>
        </w:tblCellMar>
      </w:tblPr>
      <w:tblGrid>
        <w:gridCol w:w="170"/>
        <w:gridCol w:w="1640"/>
      </w:tblGrid>
      <w:tr>
        <w:trPr/>
        <w:tc>
          <w:tcPr>
            <w:tcW w:w="17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4.</w:t>
            </w:r>
          </w:p>
        </w:tc>
        <w:tc>
          <w:tcPr>
            <w:tcW w:w="164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Accrued Expenses  </w:t>
            </w:r>
          </w:p>
        </w:tc>
      </w:tr>
    </w:tbl>
    <w:p>
      <w:pPr>
        <w:pStyle w:val="TextBody"/>
        <w:spacing w:before="120" w:after="12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Accrued expenses consisted of the following:</w:t>
      </w:r>
    </w:p>
    <w:tbl>
      <w:tblPr>
        <w:tblW w:w="6178" w:type="dxa"/>
        <w:jc w:val="left"/>
        <w:tblInd w:w="0" w:type="dxa"/>
        <w:tblCellMar>
          <w:top w:w="0" w:type="dxa"/>
          <w:left w:w="0" w:type="dxa"/>
          <w:bottom w:w="28" w:type="dxa"/>
          <w:right w:w="0" w:type="dxa"/>
        </w:tblCellMar>
      </w:tblPr>
      <w:tblGrid>
        <w:gridCol w:w="3350"/>
        <w:gridCol w:w="60"/>
        <w:gridCol w:w="239"/>
        <w:gridCol w:w="935"/>
        <w:gridCol w:w="60"/>
        <w:gridCol w:w="60"/>
        <w:gridCol w:w="288"/>
        <w:gridCol w:w="1126"/>
        <w:gridCol w:w="60"/>
      </w:tblGrid>
      <w:tr>
        <w:trPr/>
        <w:tc>
          <w:tcPr>
            <w:tcW w:w="33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R&amp;D projects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 and benefits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consulting and professional fees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other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double" w:sz="6" w:space="0" w:color="000000"/>
            </w:tcBorders>
            <w:shd w:fill="CFF0FC"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expenses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3,881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3,808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580" w:type="dxa"/>
        <w:jc w:val="left"/>
        <w:tblInd w:w="0" w:type="dxa"/>
        <w:tblCellMar>
          <w:top w:w="0" w:type="dxa"/>
          <w:left w:w="0" w:type="dxa"/>
          <w:bottom w:w="0" w:type="dxa"/>
          <w:right w:w="0" w:type="dxa"/>
        </w:tblCellMar>
      </w:tblPr>
      <w:tblGrid>
        <w:gridCol w:w="170"/>
        <w:gridCol w:w="410"/>
      </w:tblGrid>
      <w:tr>
        <w:trPr/>
        <w:tc>
          <w:tcPr>
            <w:tcW w:w="170"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5.</w:t>
            </w:r>
          </w:p>
        </w:tc>
        <w:tc>
          <w:tcPr>
            <w:tcW w:w="410"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Debt</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Silicon Valley Bank Term Loan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August 13, 2020 (the “Effective Date”), the Company entered into a loan and security agreement (the “SVB Loan Agreement”) with Silicon Valley Bank, as lender (“SVB”), pursuant to which SVB provided a term loan to the Company in the original principal amount of $14.0 million (the “SVB Term Loan”). The SVB Term Loan bears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 (A) the prime rate plus 3.00% and (B) 6.25% (see term loan derivative liability discussion below). Commencing on March 1, 2022 and on the first business day of each month thereafter, the Company is required to make monthly interest payments and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On July 6, 2021, the Company and SVB entered into a First Amendment (the “Loan Amendment”) to the SVB Loan Agreement. The Loan Amendment modified the conditions under which the Company was required to cash collateralize all outstanding amounts owed to SVB under the </w:t>
      </w:r>
      <w:r>
        <w:rPr>
          <w:rFonts w:ascii="Times New Roman" w:hAnsi="Times New Roman"/>
          <w:b w:val="false"/>
          <w:i w:val="false"/>
          <w:caps w:val="false"/>
          <w:smallCaps w:val="false"/>
          <w:color w:val="000000"/>
          <w:sz w:val="20"/>
        </w:rPr>
        <w:t>SVB Loan Agreement</w:t>
      </w:r>
      <w:r>
        <w:rPr>
          <w:rFonts w:ascii="Times New Roman" w:hAnsi="Times New Roman"/>
          <w:b w:val="false"/>
          <w:i w:val="false"/>
          <w:caps w:val="false"/>
          <w:smallCaps w:val="false"/>
          <w:color w:val="000000"/>
          <w:sz w:val="20"/>
          <w:highlight w:val="white"/>
        </w:rPr>
        <w:t xml:space="preserve">. Under the </w:t>
      </w:r>
      <w:r>
        <w:rPr>
          <w:rFonts w:ascii="Times New Roman" w:hAnsi="Times New Roman"/>
          <w:b w:val="false"/>
          <w:i w:val="false"/>
          <w:caps w:val="false"/>
          <w:smallCaps w:val="false"/>
          <w:color w:val="000000"/>
          <w:sz w:val="20"/>
        </w:rPr>
        <w:t>Loan Amendment, if the Company failed to receive positive data in its Phase 2b/3 PRISM trial or</w:t>
      </w:r>
      <w:r>
        <w:rPr>
          <w:rFonts w:ascii="Times New Roman" w:hAnsi="Times New Roman"/>
          <w:b w:val="false"/>
          <w:i w:val="false"/>
          <w:caps w:val="false"/>
          <w:smallCaps w:val="false"/>
          <w:color w:val="000000"/>
          <w:sz w:val="20"/>
          <w:highlight w:val="white"/>
        </w:rPr>
        <w:t xml:space="preserve"> to raise by June 30, 2022 sufficient net proceeds from the sale of equity securities to finance its planned second Phase 3 clinical trial of Haduvio for prurigo nodularis and its ongoing operations (each a “Milestone Condition”), the Company would be required to deposit unrestricted and unencumbered cash equal to 100% of all outstanding amounts owed to SVB in a cash collateral account with SVB, which could be used by SVB to prepay the SVB Term Loan at any time.</w:t>
      </w:r>
      <w:r>
        <w:rPr>
          <w:rFonts w:ascii="Times New Roman" w:hAnsi="Times New Roman"/>
          <w:b w:val="false"/>
          <w:i w:val="false"/>
          <w:caps w:val="false"/>
          <w:smallCaps w:val="false"/>
          <w:color w:val="000000"/>
          <w:sz w:val="20"/>
        </w:rPr>
        <w:t xml:space="preserve"> In addition, the Loan Amendment provided that if the Company failed to maintain at least $20.0 million in unrestricted and unencumbered cash in its accounts with SVB at any time prior to the satisfaction of all the Milestone Conditions (the “Minimum Required Cash”), the Company would be required to cash collateralize all outstanding amounts owed to SVB under the SVB Loan Agreement</w:t>
      </w:r>
      <w:r>
        <w:rPr>
          <w:rFonts w:ascii="Times New Roman" w:hAnsi="Times New Roman"/>
          <w:b w:val="false"/>
          <w:i w:val="false"/>
          <w:caps w:val="false"/>
          <w:smallCaps w:val="false"/>
          <w:color w:val="000000"/>
          <w:sz w:val="20"/>
          <w:highlight w:val="white"/>
        </w:rPr>
        <w: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ATM Sales Agreement and two private placements, which took place in October 2021 (see Note 6).</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April 11, 2022, the Company </w:t>
      </w:r>
      <w:r>
        <w:rPr>
          <w:rFonts w:ascii="Times New Roman" w:hAnsi="Times New Roman"/>
          <w:b w:val="false"/>
          <w:i w:val="false"/>
          <w:caps w:val="false"/>
          <w:smallCaps w:val="false"/>
          <w:color w:val="000000"/>
          <w:sz w:val="20"/>
          <w:highlight w:val="white"/>
        </w:rPr>
        <w:t>and SVB entered into a Third Amendment to the SVB Loan Agreement.</w:t>
      </w:r>
      <w:r>
        <w:rPr>
          <w:rFonts w:ascii="Times New Roman" w:hAnsi="Times New Roman"/>
          <w:b w:val="false"/>
          <w:i w:val="false"/>
          <w:caps w:val="false"/>
          <w:smallCaps w:val="false"/>
          <w:sz w:val="20"/>
        </w:rPr>
        <w:t xml:space="preserve"> Refer to Note 11 for additional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restricts the payment of dividends on the Company’s common stock.</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August 2020, in connection with the SVB Term Loan, the Company paid $57 in financing costs to a third party, which were recorded as deferred charges and will be amortized over the life of the SVB Term Loan using the effective interest method. In connection with the Loan Amendment, the Company paid $68 in financing costs to a third party, which were recorded as deferred charges and will be amortized over the remaining life of the SVB Term Loan using the effective interest method. Amortization of these deferred financing charges totaled $17 and $6 for the three months ended March 31, 2022 and 2021, respectively and is included in interest expense in the Company’s Condensed Consolidated Statements of Operations. The unamortized deferred charges totaled $59 and $76 at March 31, 2022 and December 31, 2021, respectively, and are included as a direct reduction of the carrying value of the term loan payable on the Company’s Condensed Consolidated Balance Sheets.</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August 2020, in connection with the execution of the SVB Loan Agreement, the Company paid $27 in financing costs to SVB, which were recorded as loan discounts. These loan discounts are included as a reduction in the balance of the term loan payable on the Company’s Condensed Consolidated Balance Sheets and will be accreted over the life of the SVB Term Loan using the effective interest method. Accretion of these loan discounts totaled $2 and $3 for the three months ended March 31, 2022 and 2021, respectively, and is included in interest expense in the Company’s Condensed Consolidated Statements of Operations. At March 31, 2022 and December 31, 2021, the loan discount-financing costs balance was $10 and $12, respectively.</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Condensed Consolidated Balance Sheets. Accrual of this final payment fee totaled $117 and $118 for the three months ended March 31, 2022 and 2021, respectively, and is included in interest expense in the Company’s Condensed Consolidated Statements of Operations. At March 31, 2022 and December 31, 2021, $774 and $657 was accrued for the final payment fee, respectively.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w:t>
      </w:r>
      <w:r>
        <w:rPr>
          <w:rFonts w:ascii="Times New Roman" w:hAnsi="Times New Roman"/>
          <w:b w:val="false"/>
          <w:i w:val="false"/>
          <w:caps w:val="false"/>
          <w:smallCaps w:val="false"/>
          <w:color w:val="000000"/>
          <w:sz w:val="20"/>
        </w:rPr>
        <w:t xml:space="preserve">pon SVB receiving evidence satisfactory to it that the Company has (i) received positive data for the Phase 2b/3 PRISM trial sufficient to advance Haduvio into a second Phase 3 clinical trial for chronic pruritus associated with prurigo nodularis and (ii) raised sufficient financing to fund such Phase 3 clinical trial and the Company’s operations, the interest rate on the SVB Term Loan will increase by 2.00% (the “Contingent Interest Rate Increase”) as described above. The Contingent Interest Rate Increase represents a free-standing financial instrument. Accordingly, the Company accounted for the Contingent Interest Rate Increase as a derivative under ASC 815, </w:t>
      </w:r>
      <w:r>
        <w:rPr>
          <w:rFonts w:ascii="Times New Roman" w:hAnsi="Times New Roman"/>
          <w:b w:val="false"/>
          <w:i/>
          <w:caps w:val="false"/>
          <w:smallCaps w:val="false"/>
          <w:color w:val="000000"/>
          <w:sz w:val="20"/>
        </w:rPr>
        <w:t>Derivatives and Hedging</w:t>
      </w:r>
      <w:r>
        <w:rPr>
          <w:rFonts w:ascii="Times New Roman" w:hAnsi="Times New Roman"/>
          <w:b w:val="false"/>
          <w:i w:val="false"/>
          <w:caps w:val="false"/>
          <w:smallCaps w:val="false"/>
          <w:color w:val="000000"/>
          <w:sz w:val="20"/>
        </w:rPr>
        <w:t xml:space="preserve"> and therefore, recorded a term loan derivative liability for the Contingent Interest Rate Increase at its fair value of $187 on the Effective Date of the SVB Loan Agreement. The Company adjusts this liability to fair value at each reporting date it remains outstanding, with such adjustments recorded as non-cash charges in other (expense) income, net in the Company’s Condensed Consolidated Statements of Operations. The total fair value of this liability was determined to be $125 and $114 at March 31, 2022 and December 31, 2021, respectively. The change in fair value of the term loan derivative liability as of March 31, 2022 as compared to the fair value at December 31, 2021 was $11. The term loan derivative liability is presented as a current liability on the Company’s Condensed Consolidated Balance Sheets as of March 31, 2022 and December 31, 2021.  Upon recording such term loan derivative liability, the Company also recorded an offsetting term loan discount – interest, to be amortized to interest expense in the Company’s Condensed Consolidated Statements of Operations through the SVB Term Loan’s maturity date using the effective interest method. Such amortization was $18 and $18 in the three months ended March 31, 2022 and 2021, respectively.  At March 31, 2022 and December 31, 2021, the balance of the term loan discount – interest was $66 and $84, respectively, and is included as a reduction in the balance of the term loan payable on the Company’s Condensed Consolidated Balance Sheets.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Fair values of the term loan derivative liability are estimated utilizing a probability-weighted cash flow approach, including variables for the timing of the Phase 3 Event and other probability estimates. For the fair value calculations of the term loan derivative liability at March 31, 2022 and December 31, 2021, significant inputs included the Contingent Interest Rate Increase of 2.00%, a discount rate of 12.0% and the SVB Term Loan maturity date of February 1, 2024.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2022</w:t>
      </w:r>
      <w:r>
        <w:rPr>
          <w:rFonts w:ascii="Times New Roman" w:hAnsi="Times New Roman"/>
          <w:b w:val="false"/>
          <w:i w:val="false"/>
          <w:caps w:val="false"/>
          <w:smallCaps w:val="false"/>
          <w:color w:val="000000"/>
          <w:sz w:val="20"/>
        </w:rPr>
        <w:t xml:space="preserve"> and December 31, 2021,</w:t>
      </w:r>
      <w:r>
        <w:rPr>
          <w:rFonts w:ascii="Times New Roman" w:hAnsi="Times New Roman"/>
          <w:b w:val="false"/>
          <w:i w:val="false"/>
          <w:caps w:val="false"/>
          <w:smallCaps w:val="false"/>
          <w:sz w:val="20"/>
        </w:rPr>
        <w:t xml:space="preserve"> the Company had outstanding borrowings of $13.4 million and $14.0 million, respectively, under the SVB Term Loan and the term loan payable balance as presented on the Company’s Condensed Consolidated Balance Sheets as of March 31, 2022 and December 31, 2021 was comprised as shown below. </w:t>
      </w:r>
    </w:p>
    <w:p>
      <w:pPr>
        <w:pStyle w:val="TextBody"/>
        <w:spacing w:before="0" w:after="0"/>
        <w:rPr/>
      </w:pPr>
      <w:r>
        <w:rPr/>
        <w:t> </w:t>
      </w:r>
    </w:p>
    <w:tbl>
      <w:tblPr>
        <w:tblW w:w="7103" w:type="dxa"/>
        <w:jc w:val="left"/>
        <w:tblInd w:w="0" w:type="dxa"/>
        <w:tblCellMar>
          <w:top w:w="0" w:type="dxa"/>
          <w:left w:w="0" w:type="dxa"/>
          <w:bottom w:w="28" w:type="dxa"/>
          <w:right w:w="0" w:type="dxa"/>
        </w:tblCellMar>
      </w:tblPr>
      <w:tblGrid>
        <w:gridCol w:w="4235"/>
        <w:gridCol w:w="60"/>
        <w:gridCol w:w="204"/>
        <w:gridCol w:w="970"/>
        <w:gridCol w:w="80"/>
        <w:gridCol w:w="60"/>
        <w:gridCol w:w="246"/>
        <w:gridCol w:w="1168"/>
        <w:gridCol w:w="80"/>
      </w:tblGrid>
      <w:tr>
        <w:trPr/>
        <w:tc>
          <w:tcPr>
            <w:tcW w:w="42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1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outstanding under term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13,417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6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discount-interest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discount-unamortized deferred charges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discount-financing costs, net of accretion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3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loan-final payment fee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current portion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5,833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payable, non-current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7,056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8,652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Interest expense on the SVB Term Loan, which is comprised of interest payments, accretion and amortization of term loan discounts and the accrual of the final payment fee, is shown below for the three months ended March 31, 2022 and 2021, respectively. For the three months ended March 31, 2022 and 2021, the interest rate applicable to borrowings under the SVB Term Loan was 4.25%.</w:t>
      </w:r>
    </w:p>
    <w:tbl>
      <w:tblPr>
        <w:tblW w:w="5721" w:type="dxa"/>
        <w:jc w:val="left"/>
        <w:tblInd w:w="0" w:type="dxa"/>
        <w:tblCellMar>
          <w:top w:w="0" w:type="dxa"/>
          <w:left w:w="0" w:type="dxa"/>
          <w:bottom w:w="28" w:type="dxa"/>
          <w:right w:w="0" w:type="dxa"/>
        </w:tblCellMar>
      </w:tblPr>
      <w:tblGrid>
        <w:gridCol w:w="4085"/>
        <w:gridCol w:w="60"/>
        <w:gridCol w:w="182"/>
        <w:gridCol w:w="489"/>
        <w:gridCol w:w="87"/>
        <w:gridCol w:w="87"/>
        <w:gridCol w:w="182"/>
        <w:gridCol w:w="489"/>
        <w:gridCol w:w="60"/>
      </w:tblGrid>
      <w:tr>
        <w:trPr/>
        <w:tc>
          <w:tcPr>
            <w:tcW w:w="40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1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payments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Accrual of the final payment fee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Accretion and amortization of term loan discounts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w:t>
            </w:r>
          </w:p>
        </w:tc>
        <w:tc>
          <w:tcPr>
            <w:tcW w:w="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302</w:t>
            </w:r>
          </w:p>
        </w:tc>
        <w:tc>
          <w:tcPr>
            <w:tcW w:w="8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960" w:type="dxa"/>
        <w:jc w:val="left"/>
        <w:tblInd w:w="0" w:type="dxa"/>
        <w:tblCellMar>
          <w:top w:w="0" w:type="dxa"/>
          <w:left w:w="0" w:type="dxa"/>
          <w:bottom w:w="0" w:type="dxa"/>
          <w:right w:w="0" w:type="dxa"/>
        </w:tblCellMar>
      </w:tblPr>
      <w:tblGrid>
        <w:gridCol w:w="170"/>
        <w:gridCol w:w="1790"/>
      </w:tblGrid>
      <w:tr>
        <w:trPr/>
        <w:tc>
          <w:tcPr>
            <w:tcW w:w="17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6.</w:t>
            </w:r>
          </w:p>
        </w:tc>
        <w:tc>
          <w:tcPr>
            <w:tcW w:w="179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Stockholders’ Equity</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March 31, 2022 and December 31, 2021, the Company had reserved shares of common stock for future issuance as shown in the table below:</w:t>
      </w:r>
    </w:p>
    <w:tbl>
      <w:tblPr>
        <w:tblW w:w="10205" w:type="dxa"/>
        <w:jc w:val="left"/>
        <w:tblInd w:w="0" w:type="dxa"/>
        <w:tblCellMar>
          <w:top w:w="0" w:type="dxa"/>
          <w:left w:w="0" w:type="dxa"/>
          <w:bottom w:w="28" w:type="dxa"/>
          <w:right w:w="0" w:type="dxa"/>
        </w:tblCellMar>
      </w:tblPr>
      <w:tblGrid>
        <w:gridCol w:w="7945"/>
        <w:gridCol w:w="60"/>
        <w:gridCol w:w="60"/>
        <w:gridCol w:w="950"/>
        <w:gridCol w:w="60"/>
        <w:gridCol w:w="60"/>
        <w:gridCol w:w="60"/>
        <w:gridCol w:w="950"/>
        <w:gridCol w:w="60"/>
      </w:tblGrid>
      <w:tr>
        <w:trPr/>
        <w:tc>
          <w:tcPr>
            <w:tcW w:w="79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of common stock reserved for future issuance under the 2012 Stock Incentive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663,089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665,720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of common stock reserved for future issuance under the 2019 Stock Incentive Plan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4,543,352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3,400,489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of common stock reserved for future issuance under the 2019 Employee Stock Purchase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755,689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470,631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to be issued upon exercise of common stock warrants and pre-funded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18,302,244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20,602,244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to be issued upon sales under the LPC Purchase Agreement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30,000,000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30,000,000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4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54,264,374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55,139,084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At-the-Market Offering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2020, the Company entered into the ATM Sales Agreement with SVB Leerink LLC, under which the Company may issue and sell shares of its common stock, from time to time, having an aggregate offering price of up to $12.0 million. Sales of common stock under the ATM Sales Agreement may be made by any method that is deemed an “at-the-market” offering as defined in Rule 415(a)(4) under the Securities Act of 1933, as amended. The Company is not obligated to make any sales of its common stock under the ATM Sales Agreement.  </w:t>
      </w:r>
      <w:r>
        <w:rPr>
          <w:rFonts w:ascii="Times New Roman" w:hAnsi="Times New Roman"/>
          <w:b w:val="false"/>
          <w:i w:val="false"/>
          <w:caps w:val="false"/>
          <w:smallCaps w:val="false"/>
          <w:color w:val="000000"/>
          <w:sz w:val="20"/>
        </w:rPr>
        <w:t xml:space="preserve">The Company began making sales pursuant to the ATM Sales Agreement in July 2020. During the three months ended March 31, 2021, the Company issued and sold an aggregate of 1,367,621 shares of common stock for gross proceeds of $4.4 million, before deducting estimated commissions and allocated fees of $0.3 million. No sales were made during the three months ended March 31, 2022.  As of March 31, 2022, the Company had issued and sold an aggregate of 3,583,394 shares of common stock for gross proceeds of $11.0 million, before deducting estimated commissions and allocated fees of $0.8 million.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Equity Purchase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 million of shares of common stock over a 24-month period commencing on July 23, 2021. In addition, under the LPC Purchase Agreement, the Company issued 170,088 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 </w:t>
      </w:r>
      <w:r>
        <w:rPr>
          <w:rFonts w:ascii="Times New Roman" w:hAnsi="Times New Roman"/>
          <w:b w:val="false"/>
          <w:i w:val="false"/>
          <w:caps w:val="false"/>
          <w:smallCaps w:val="false"/>
          <w:color w:val="000000"/>
          <w:sz w:val="20"/>
        </w:rPr>
        <w:t>Under the terms of the October 2021 private placements described below, the Company agreed to not issue or sell additional shares under the LPC Purchase Agreement on or prior to April 6, 2023.</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Private Placements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 gross proceeds of approximately $11.8 million. Each pre-funded warrant had an exercise price of $0.001 per share, became exercisable immediately upon issuance and was exercisable until exercised in full. Of the accompanying common stock warrants, warrants to purchase an aggregate of 7,299,270 shares will expire on April 5, 2025, and warrants to purchase an aggregate of 7,299,270 shares will expire on October 5, 2028. The accompanying common stock warrants have an exercise price of $1.37 per share and became exercisable immediately upon issuance.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Of the accompanying common stock warrants, warrants to purchase an aggregate of 1,851,852 shares of the Company’s common stock will expire on April 18, 2025, and warrants to purchase an aggregate of 1,851,852 shares of the Company’s common stock will expire on October 18, 2028. The accompanying common stock warrants have an exercise price of $1.37 per share and became exercisable immediately upon issuance.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net proceeds from the two October private placements were $13.7 million, after deducting issuance costs of $1.1 million</w:t>
      </w:r>
      <w:r>
        <w:rPr>
          <w:rFonts w:ascii="Segoe UI" w:hAnsi="Segoe UI"/>
          <w:b w:val="false"/>
          <w:i w:val="false"/>
          <w:caps w:val="false"/>
          <w:smallCaps w:val="false"/>
          <w:color w:val="000000"/>
          <w:sz w:val="18"/>
        </w:rPr>
        <w: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Warrant activity, including activity related to the pre-funded warrants, for the three months ended March 31, 2022 is shown in the table below:</w:t>
      </w:r>
    </w:p>
    <w:tbl>
      <w:tblPr>
        <w:tblW w:w="5045" w:type="dxa"/>
        <w:jc w:val="left"/>
        <w:tblInd w:w="0" w:type="dxa"/>
        <w:tblCellMar>
          <w:top w:w="0" w:type="dxa"/>
          <w:left w:w="0" w:type="dxa"/>
          <w:bottom w:w="28" w:type="dxa"/>
          <w:right w:w="0" w:type="dxa"/>
        </w:tblCellMar>
      </w:tblPr>
      <w:tblGrid>
        <w:gridCol w:w="3065"/>
        <w:gridCol w:w="60"/>
        <w:gridCol w:w="60"/>
        <w:gridCol w:w="950"/>
        <w:gridCol w:w="80"/>
        <w:gridCol w:w="60"/>
        <w:gridCol w:w="145"/>
        <w:gridCol w:w="565"/>
        <w:gridCol w:w="60"/>
      </w:tblGrid>
      <w:tr>
        <w:trPr/>
        <w:tc>
          <w:tcPr>
            <w:tcW w:w="30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Warrant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20,602,244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(2,300,000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March 31, 2022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18,302,244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5"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March 31, 2022, all of the pre-funded warrants had been exercised to purchase shares of the Company’s common stock at the exercise price of $0.001 per share. 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11, 2022, the Company issued common stock and pre-funded warrants to purchase common stock in a private placement. Refer to Note 11 for additional information. On April 11, 2022, common stock warrants to purchase approximately 3.3 million shares of common stock were exercised, which provided $4.5 million in cash proceeds to the Company. Such warrants had been issued in the October 2021 private placements and were set to expire on April 5, 2025.</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Stock-Based Awards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total number of shares of common stock that may be issued under the 2019 Plan and the 2012 Stock Incentive Plan (the “2012 Plan”) was 5,206,441 as of March 31, 2022, of which 1,141,850 shares remained available for grant under the 2019 Plan. </w:t>
      </w:r>
      <w:r>
        <w:rPr>
          <w:rFonts w:ascii="Times New Roman" w:hAnsi="Times New Roman"/>
          <w:b w:val="false"/>
          <w:i w:val="false"/>
          <w:caps w:val="false"/>
          <w:smallCaps w:val="false"/>
          <w:color w:val="000000"/>
          <w:sz w:val="20"/>
        </w:rPr>
        <w:t>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w:t>
      </w:r>
      <w:r>
        <w:rPr>
          <w:rFonts w:ascii="Times New Roman" w:hAnsi="Times New Roman"/>
          <w:b w:val="false"/>
          <w:i w:val="false"/>
          <w:caps w:val="false"/>
          <w:smallCaps w:val="false"/>
          <w:sz w:val="20"/>
        </w:rPr>
        <w:t xml:space="preserve"> Effective January 1, 2022 and January 1, 2021, respectively, the number of shares reserved for issuance under the 2019 Plan increased, pursuant to the terms of the 2019 Plan, by an additional 1,140,232 shares and 741,871 shares, equal to 4% of the Company’s then-outstanding common stock</w:t>
      </w:r>
      <w:r>
        <w:rPr>
          <w:rFonts w:ascii="Times New Roman" w:hAnsi="Times New Roman"/>
          <w:b w:val="false"/>
          <w:i w:val="false"/>
          <w:caps w:val="false"/>
          <w:smallCaps w:val="false"/>
          <w:color w:val="FF0000"/>
          <w:sz w:val="20"/>
        </w:rPr>
        <w: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on May 7, 2019, that no further equity-based awards may be granted under the 2012 Plan.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w:t>
      </w:r>
      <w:r>
        <w:rPr>
          <w:rFonts w:ascii="Times New Roman" w:hAnsi="Times New Roman"/>
          <w:b w:val="false"/>
          <w:i w:val="false"/>
          <w:caps w:val="false"/>
          <w:smallCaps w:val="false"/>
          <w:color w:val="000000"/>
          <w:sz w:val="20"/>
        </w:rPr>
        <w:t>ars.</w:t>
      </w:r>
      <w:r>
        <w:rPr>
          <w:rFonts w:ascii="Times New Roman" w:hAnsi="Times New Roman"/>
          <w:b w:val="false"/>
          <w:i w:val="false"/>
          <w:caps w:val="false"/>
          <w:smallCaps w:val="false"/>
          <w:sz w:val="20"/>
        </w:rPr>
        <w:t xml:space="preserve"> Options granted to directors generally vest over one to two years. As of March 31, 2022 and December 31, 2021, respectively, options to purchase 3,401,502 shares and </w:t>
      </w:r>
      <w:r>
        <w:rPr>
          <w:rFonts w:ascii="Times New Roman" w:hAnsi="Times New Roman"/>
          <w:b w:val="false"/>
          <w:i w:val="false"/>
          <w:caps w:val="false"/>
          <w:smallCaps w:val="false"/>
          <w:color w:val="000000"/>
          <w:sz w:val="20"/>
          <w:highlight w:val="white"/>
        </w:rPr>
        <w:t>2,263,752</w:t>
      </w:r>
      <w:r>
        <w:rPr>
          <w:rFonts w:ascii="Times New Roman" w:hAnsi="Times New Roman"/>
          <w:b w:val="false"/>
          <w:i w:val="false"/>
          <w:caps w:val="false"/>
          <w:smallCaps w:val="false"/>
          <w:color w:val="000000"/>
          <w:sz w:val="20"/>
        </w:rPr>
        <w:t xml:space="preserve"> shares of common stock were granted and outstanding, net of cancellations, under the 2019 Plan. As of March 31, 2022 and December 31, 2021, respectively, options to purchase</w:t>
      </w:r>
      <w:r>
        <w:rPr>
          <w:rFonts w:ascii="Times New Roman" w:hAnsi="Times New Roman"/>
          <w:b w:val="false"/>
          <w:i w:val="false"/>
          <w:caps w:val="false"/>
          <w:smallCaps w:val="false"/>
          <w:sz w:val="20"/>
        </w:rPr>
        <w:t> </w:t>
      </w:r>
      <w:r>
        <w:rPr>
          <w:rFonts w:ascii="Times New Roman" w:hAnsi="Times New Roman"/>
          <w:b w:val="false"/>
          <w:i w:val="false"/>
          <w:caps w:val="false"/>
          <w:smallCaps w:val="false"/>
          <w:color w:val="000000"/>
          <w:sz w:val="20"/>
          <w:highlight w:val="white"/>
        </w:rPr>
        <w:t>663,089</w:t>
      </w:r>
      <w:r>
        <w:rPr>
          <w:rFonts w:ascii="Times New Roman" w:hAnsi="Times New Roman"/>
          <w:b w:val="false"/>
          <w:i w:val="false"/>
          <w:caps w:val="false"/>
          <w:smallCaps w:val="false"/>
          <w:color w:val="000000"/>
          <w:sz w:val="20"/>
        </w:rPr>
        <w:t xml:space="preserve"> and 665,720 shares of common stock, were granted and outstanding, net of cancellations, under the 2012 Plan.</w:t>
      </w:r>
      <w:r>
        <w:rPr>
          <w:rFonts w:ascii="Times New Roman" w:hAnsi="Times New Roman"/>
          <w:b w:val="false"/>
          <w:i w:val="false"/>
          <w:caps w:val="false"/>
          <w:smallCaps w:val="false"/>
          <w:sz w:val="20"/>
        </w:rPr>
        <w:t xml:space="preserv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February 2021, the compensation committee of the Company’s board of directors approved the grant of stock options to purchase 450,875 shares of common stock with performance-based vesting (“PSOs”) to employees of the Company. The PSOs granted in February 2021, vest based on the timing and successful results of the Company’s PRISM or CANAL clinical trials.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summary of the Company’s combined stock option activity for the 2019 Plan and the 2012 Plan for the three months ended March 31, 2022 is as follows:</w:t>
      </w:r>
    </w:p>
    <w:tbl>
      <w:tblPr>
        <w:tblW w:w="5255" w:type="dxa"/>
        <w:jc w:val="left"/>
        <w:tblInd w:w="0" w:type="dxa"/>
        <w:tblCellMar>
          <w:top w:w="0" w:type="dxa"/>
          <w:left w:w="0" w:type="dxa"/>
          <w:bottom w:w="28" w:type="dxa"/>
          <w:right w:w="0" w:type="dxa"/>
        </w:tblCellMar>
      </w:tblPr>
      <w:tblGrid>
        <w:gridCol w:w="3380"/>
        <w:gridCol w:w="60"/>
        <w:gridCol w:w="60"/>
        <w:gridCol w:w="845"/>
        <w:gridCol w:w="80"/>
        <w:gridCol w:w="60"/>
        <w:gridCol w:w="175"/>
        <w:gridCol w:w="535"/>
        <w:gridCol w:w="60"/>
      </w:tblGrid>
      <w:tr>
        <w:trPr/>
        <w:tc>
          <w:tcPr>
            <w:tcW w:w="33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2,929,472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1,137,750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0.51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(2,631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Expired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March 31, 2022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4,064,591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exercisable as of March 31, 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1,490,880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unvested as of March 31,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2,573,711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April 2019, the Company’s board of directors adopted the 2019 Employee Stock Purchase Plan (the “2019 ESPP”), which became effective on May 7, 2019. The 2019 ESPP is administered by the Company’s board of directors.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total number of shares of common stock that may be issued under the 2019 ESPP was 803,976 as of March 31, 2022, of which 755,689 shares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2022 and January 1, 2021, respectively, the aggregate number of shares of the Company’s common stock that may be issued under the 2019 ESPP increased, pursuant to the terms of the 2019 ESPP, by an additional 285,058 shares and 185,467 shares, in each case equal to 1% of the Company’s then-outstanding common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the classifications of stock-based compensation expenses for the 2012 Plan, the 2019 Plan and the 2019 ESPP recognized in the Condensed Consolidated Statements of Operations:</w:t>
      </w:r>
    </w:p>
    <w:p>
      <w:pPr>
        <w:pStyle w:val="TextBody"/>
        <w:spacing w:before="0" w:after="0"/>
        <w:rPr/>
      </w:pPr>
      <w:r>
        <w:rPr/>
        <w:t> </w:t>
      </w:r>
    </w:p>
    <w:tbl>
      <w:tblPr>
        <w:tblW w:w="4551" w:type="dxa"/>
        <w:jc w:val="left"/>
        <w:tblInd w:w="0" w:type="dxa"/>
        <w:tblCellMar>
          <w:top w:w="0" w:type="dxa"/>
          <w:left w:w="0" w:type="dxa"/>
          <w:bottom w:w="28" w:type="dxa"/>
          <w:right w:w="0" w:type="dxa"/>
        </w:tblCellMar>
      </w:tblPr>
      <w:tblGrid>
        <w:gridCol w:w="2915"/>
        <w:gridCol w:w="60"/>
        <w:gridCol w:w="182"/>
        <w:gridCol w:w="489"/>
        <w:gridCol w:w="87"/>
        <w:gridCol w:w="87"/>
        <w:gridCol w:w="182"/>
        <w:gridCol w:w="489"/>
        <w:gridCol w:w="60"/>
      </w:tblGrid>
      <w:tr>
        <w:trPr/>
        <w:tc>
          <w:tcPr>
            <w:tcW w:w="29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1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477</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737</w:t>
            </w:r>
          </w:p>
        </w:tc>
        <w:tc>
          <w:tcPr>
            <w:tcW w:w="8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420" w:type="dxa"/>
        <w:jc w:val="left"/>
        <w:tblInd w:w="0" w:type="dxa"/>
        <w:tblCellMar>
          <w:top w:w="0" w:type="dxa"/>
          <w:left w:w="0" w:type="dxa"/>
          <w:bottom w:w="0" w:type="dxa"/>
          <w:right w:w="0" w:type="dxa"/>
        </w:tblCellMar>
      </w:tblPr>
      <w:tblGrid>
        <w:gridCol w:w="170"/>
        <w:gridCol w:w="1250"/>
      </w:tblGrid>
      <w:tr>
        <w:trPr/>
        <w:tc>
          <w:tcPr>
            <w:tcW w:w="170"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7.</w:t>
            </w:r>
          </w:p>
        </w:tc>
        <w:tc>
          <w:tcPr>
            <w:tcW w:w="1250"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Income Taxes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three months ended March 31, 2022 and 2021, the Company maintained a full valuation allowance on deferred tax assets. The amounts recorded for income taxes during the three months ended March 31, 2022 and 2021 were to align the Company’s estimates for its state research and development credits in each given year.</w:t>
      </w:r>
    </w:p>
    <w:tbl>
      <w:tblPr>
        <w:tblW w:w="1825" w:type="dxa"/>
        <w:jc w:val="left"/>
        <w:tblInd w:w="0" w:type="dxa"/>
        <w:tblCellMar>
          <w:top w:w="0" w:type="dxa"/>
          <w:left w:w="0" w:type="dxa"/>
          <w:bottom w:w="0" w:type="dxa"/>
          <w:right w:w="0" w:type="dxa"/>
        </w:tblCellMar>
      </w:tblPr>
      <w:tblGrid>
        <w:gridCol w:w="170"/>
        <w:gridCol w:w="1655"/>
      </w:tblGrid>
      <w:tr>
        <w:trPr/>
        <w:tc>
          <w:tcPr>
            <w:tcW w:w="17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8.</w:t>
            </w:r>
          </w:p>
        </w:tc>
        <w:tc>
          <w:tcPr>
            <w:tcW w:w="1655"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Net Loss per Share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computation of basic and diluted net loss per share attributable to common stockholders of the Company: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775"/>
        <w:gridCol w:w="60"/>
        <w:gridCol w:w="125"/>
        <w:gridCol w:w="950"/>
        <w:gridCol w:w="80"/>
        <w:gridCol w:w="60"/>
        <w:gridCol w:w="125"/>
        <w:gridCol w:w="950"/>
        <w:gridCol w:w="80"/>
      </w:tblGrid>
      <w:tr>
        <w:trPr/>
        <w:tc>
          <w:tcPr>
            <w:tcW w:w="777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(7,329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(8,371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7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shares used in net loss per share attributable to common stockholders, basic and diluted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30,805,804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19,417,038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7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 net loss per common share outstanding</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Basic shares outstanding includes the weighted average effect of the Company’s pre-funded warrants from the date of issuance, the exercise of which requires little or no consideration for the delivery of shares of common stock.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potential dilutive securities, which include stock options,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March 31, 2022 and 2021, respectively, were excluded from the calculation of diluted net loss per share attributable to common stockholders for the periods indicated because including them would have had an anti-dilutive effect:</w:t>
      </w:r>
    </w:p>
    <w:tbl>
      <w:tblPr>
        <w:tblW w:w="3330" w:type="dxa"/>
        <w:jc w:val="left"/>
        <w:tblInd w:w="0" w:type="dxa"/>
        <w:tblCellMar>
          <w:top w:w="0" w:type="dxa"/>
          <w:left w:w="0" w:type="dxa"/>
          <w:bottom w:w="28" w:type="dxa"/>
          <w:right w:w="0" w:type="dxa"/>
        </w:tblCellMar>
      </w:tblPr>
      <w:tblGrid>
        <w:gridCol w:w="1175"/>
        <w:gridCol w:w="60"/>
        <w:gridCol w:w="60"/>
        <w:gridCol w:w="950"/>
        <w:gridCol w:w="60"/>
        <w:gridCol w:w="60"/>
        <w:gridCol w:w="60"/>
        <w:gridCol w:w="845"/>
        <w:gridCol w:w="60"/>
      </w:tblGrid>
      <w:tr>
        <w:trPr/>
        <w:tc>
          <w:tcPr>
            <w:tcW w:w="117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 as of 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4,064,591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3,245,201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Warrants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18,302,244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22,366,835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3,245,201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700" w:type="dxa"/>
        <w:jc w:val="left"/>
        <w:tblInd w:w="0" w:type="dxa"/>
        <w:tblCellMar>
          <w:top w:w="0" w:type="dxa"/>
          <w:left w:w="0" w:type="dxa"/>
          <w:bottom w:w="0" w:type="dxa"/>
          <w:right w:w="0" w:type="dxa"/>
        </w:tblCellMar>
      </w:tblPr>
      <w:tblGrid>
        <w:gridCol w:w="170"/>
        <w:gridCol w:w="3530"/>
      </w:tblGrid>
      <w:tr>
        <w:trPr/>
        <w:tc>
          <w:tcPr>
            <w:tcW w:w="17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9.</w:t>
            </w:r>
          </w:p>
        </w:tc>
        <w:tc>
          <w:tcPr>
            <w:tcW w:w="353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Collaborative and Licensing Agreements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enters into collaborative and licensing agreements with pharmaceutical companies to in-license, develop, manufacture and/or market products that fit within its business strategy.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Endo Pharmaceuticals Inc.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such as the Phase 2b/3 PRISM trial, and $0.8 million, which would become due upon the marketing approval of a licensed product in the U.S.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 </w:t>
      </w:r>
    </w:p>
    <w:tbl>
      <w:tblPr>
        <w:tblW w:w="3160" w:type="dxa"/>
        <w:jc w:val="left"/>
        <w:tblInd w:w="0" w:type="dxa"/>
        <w:tblCellMar>
          <w:top w:w="0" w:type="dxa"/>
          <w:left w:w="0" w:type="dxa"/>
          <w:bottom w:w="0" w:type="dxa"/>
          <w:right w:w="0" w:type="dxa"/>
        </w:tblCellMar>
      </w:tblPr>
      <w:tblGrid>
        <w:gridCol w:w="275"/>
        <w:gridCol w:w="2885"/>
      </w:tblGrid>
      <w:tr>
        <w:trPr/>
        <w:tc>
          <w:tcPr>
            <w:tcW w:w="275"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10.</w:t>
            </w:r>
          </w:p>
        </w:tc>
        <w:tc>
          <w:tcPr>
            <w:tcW w:w="2885"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Commitments and Contingencies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also has commitments under lease and licensing agreements (Note 3 and Note 9).</w:t>
      </w:r>
    </w:p>
    <w:tbl>
      <w:tblPr>
        <w:tblW w:w="1855" w:type="dxa"/>
        <w:jc w:val="left"/>
        <w:tblInd w:w="0" w:type="dxa"/>
        <w:tblCellMar>
          <w:top w:w="0" w:type="dxa"/>
          <w:left w:w="0" w:type="dxa"/>
          <w:bottom w:w="0" w:type="dxa"/>
          <w:right w:w="0" w:type="dxa"/>
        </w:tblCellMar>
      </w:tblPr>
      <w:tblGrid>
        <w:gridCol w:w="275"/>
        <w:gridCol w:w="1580"/>
      </w:tblGrid>
      <w:tr>
        <w:trPr/>
        <w:tc>
          <w:tcPr>
            <w:tcW w:w="275"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11.</w:t>
            </w:r>
          </w:p>
        </w:tc>
        <w:tc>
          <w:tcPr>
            <w:tcW w:w="158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Subsequent Events</w:t>
            </w:r>
          </w:p>
        </w:tc>
      </w:tr>
    </w:tbl>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Financing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6, 2022, the Company entered into a securities purchase agreement (the “Securities Purchase Agreement”) with certain purchasers, pursuant to which the Company agreed to issue and sell to the purchasers, in a private placement priced at-the-market under Nasdaq rules, (i) 4,580,526 shares of the Company’s common stock, par value $0.001 per share, at a purchase price of $1.90 per share, and (ii) pre-funded warrants to purchase up to an aggregate of 24,379,673 shares of common stock at a purchase price of $1.899 per warrant (the “April 2022 Private Placement”).  Each pre-funded warrant has an exercise price of $0.001 per share, is exercisable immediately and will be exercisable until the pre-funded warrant is exercised in full. The April 2022 Private Placement, which closed on April 11, 2022, resulted in gross proceeds to the Company of approximately $55.0 million. New Enterprise Associates 16, L.P., an existing stockholder of the Company and a related party (“NEA”), as well as an affiliate of NEA, participated in the offering.</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Registration Rights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6, 2022, in connection with the April 2022 Private Placement, the Company entered into a registration rights agreement (the “Registration Rights Agreement”) with the purchasers, pursuant to which the Company agreed to register for resale the shares issued in the private placement, as well as the shares of common stock issuable upon exercise of the pre-funded warrants. Under the Registration Rights Agreement, the Company agreed to file a registration statement covering the resale by the purchasers of the shares and pre-funded warrant shares within 30 days following the date the Registration Rights Agreement was entered into.   The registration statement was filed on May 2, 2022 and was declared effective on May 11, 2022.</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Loan Amendment</w:t>
      </w:r>
    </w:p>
    <w:p>
      <w:pPr>
        <w:pStyle w:val="TextBody"/>
        <w:spacing w:before="120" w:after="0"/>
        <w:rPr>
          <w:rFonts w:ascii="Times New Roman" w:hAnsi="Times New Roman"/>
          <w:b w:val="false"/>
          <w:i w:val="false"/>
          <w:caps w:val="false"/>
          <w:smallCaps w:val="false"/>
          <w:sz w:val="20"/>
        </w:rPr>
      </w:pPr>
      <w:bookmarkStart w:id="9" w:name="page4"/>
      <w:bookmarkEnd w:id="9"/>
      <w:r>
        <w:rPr>
          <w:rFonts w:ascii="Times New Roman" w:hAnsi="Times New Roman"/>
          <w:b w:val="false"/>
          <w:i w:val="false"/>
          <w:caps w:val="false"/>
          <w:smallCaps w:val="false"/>
          <w:sz w:val="20"/>
        </w:rPr>
        <w:t>On April 6, 2022, the Company and SVB entered into a Third Amendment (the “Third Amendment”) to the Loan and Security Agreement, dated as of August 13, 2020, by and between the Company and SVB, as amended to date (the “Loan Agreement”). The Third Amendment principally modified the conditions under which the Company is required to cash collateralize all outstanding amounts owed to SVB under the Loan Agreement. As a result of the Third Amendment, when the Company raised $45.0 million in net proceeds from the sale of equity securities (the “2022 Equity Event”), the Company’s obligations to achieve the Milestone Conditions and maintain the Minimum Required Cash terminated. The closing of the April 2022 Private Placement constituted the 2022 Equity Event. Upon the Company’s achievement of the 2022 Equity Event, the cash collateralization requirement under the Loan Agreement will instead be triggered if the Company does not receive positive final data by December 31, 2022 from either its ongoing Phase 2b/3 PRISM trial of Haduvio for prurigo nodularis or its Phase 2 CANAL trial of Haduvio for the treatment of chronic cough in adults with IPF. In addition, the Third Amendment modifies the interest rate on the principal amount outstanding under the Loan Agreement. As a result of the Third Amendment, amounts outstanding under the Loan Agreement accrue interest at a floating per annum rate equal to (i) prior to the occurrence of the 2022 Equity Event, the greater of (A) the prime rate plus 1.00% and (B) 4.25%, and (ii) upon and after the occurrence of the 2022 Equity Event, the greater of (A) the prime rate plus 3.00% and (B) 6.25%.</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Warrant Exercises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April 11, 2022, common stock warrants to purchase approximately 3.3 million shares of common stock were exercised, which provided $4.5 million in cash proceeds </w:t>
      </w:r>
      <w:r>
        <w:rPr>
          <w:rFonts w:ascii="Times New Roman" w:hAnsi="Times New Roman"/>
          <w:b w:val="false"/>
          <w:i w:val="false"/>
          <w:caps w:val="false"/>
          <w:smallCaps w:val="false"/>
          <w:color w:val="000000"/>
          <w:sz w:val="20"/>
        </w:rPr>
        <w:t>to the Company. Such warrants had been issued in the October 2021 private placements and were set to expire on April 5, 2025.</w:t>
      </w:r>
    </w:p>
    <w:p>
      <w:pPr>
        <w:pStyle w:val="TextBody"/>
        <w:spacing w:before="120" w:after="0"/>
        <w:rPr/>
      </w:pPr>
      <w:r>
        <w:rPr/>
        <w:t> </w:t>
      </w:r>
    </w:p>
    <w:p>
      <w:pPr>
        <w:pStyle w:val="TextBody"/>
        <w:spacing w:before="0" w:after="0"/>
        <w:rPr>
          <w:rFonts w:ascii="Times New Roman" w:hAnsi="Times New Roman"/>
          <w:b/>
          <w:i w:val="false"/>
          <w:caps w:val="false"/>
          <w:smallCaps w:val="false"/>
          <w:sz w:val="20"/>
        </w:rPr>
      </w:pPr>
      <w:bookmarkStart w:id="10" w:name="ITEM_2_MANAGEMENTS_DISCUSSION_ANALYSIS_F"/>
      <w:bookmarkEnd w:id="10"/>
      <w:r>
        <w:rPr>
          <w:rFonts w:ascii="Times New Roman" w:hAnsi="Times New Roman"/>
          <w:b/>
          <w:i w:val="false"/>
          <w:caps w:val="false"/>
          <w:smallCaps w:val="false"/>
          <w:sz w:val="20"/>
        </w:rPr>
        <w:t>Item 2. Management’s Discussion and Analysis of Financial Condition and Results of Operations.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our audited consolidated financial statements and related notes for the year ended December 31, 2021 included in our Annual Report on Form 10-K, filed with the Securities and Exchange Commission, or SEC, on March 17, 2022.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We caution readers not to place undue reliance on any forward-looking statements made by us, which speak only as of the date they are made.</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Overview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clinical-stage biopharmaceutical company focused on the development and commercialization of the investigational therapy Haduvio (nalbuphine ER) to treat serious neurologically mediated conditions. We are developing Haduvio for the treatment of chronic pruritus associated with prurigo nodularis and chronic cough in patients with idiopathic pulmonary fibrosis, or IPF.</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conducting a Phase 2b/3 clinical trial of Haduvio, which we refer to as the Phase 2b/3 PRISM trial, in adults with severe pruritus associated with prurigo nodularis. The Phase 2b/3 PRISM trial is a randomized, double-blind, placebo controlled, two-arm treatment study that is designed to evaluate the safety and anti-pruritic efficacy of Haduvio in patients in the United States and Europe. In accordance with the protocol for the Phase 2b/3 PRISM trial, we conducted a sample size re-estimation, or SSRE, analysis in July 2020, following such time as approximately 45% of the initial targeted number of subjects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which maintains the statistical power for the primary endpoint. Based on the DMC’s recommendation, we increased the planned trial size to 360 subjects. We completed enrollment in the trial on January 31, 2022.</w:t>
      </w:r>
      <w:r>
        <w:rPr>
          <w:rFonts w:ascii="Times New Roman" w:hAnsi="Times New Roman"/>
          <w:b w:val="false"/>
          <w:i w:val="false"/>
          <w:caps w:val="false"/>
          <w:smallCaps w:val="false"/>
          <w:color w:val="FF0000"/>
          <w:sz w:val="20"/>
        </w:rPr>
        <w:t xml:space="preserve"> </w:t>
      </w:r>
      <w:r>
        <w:rPr>
          <w:rFonts w:ascii="Times New Roman" w:hAnsi="Times New Roman"/>
          <w:b w:val="false"/>
          <w:i w:val="false"/>
          <w:caps w:val="false"/>
          <w:smallCaps w:val="false"/>
          <w:sz w:val="20"/>
        </w:rPr>
        <w:t>We expect to report top-line data in the second quarter of 2022. If the Phase 2b/3 PRISM trial is successful, we expect that we will use the Phase 2b/3 PRISM trial and an additional Phase 3 clinical trial that we believe we will need to conduct to support the submission of a new drug application, or NDA, to the U.S. Food and Drug Administration, or FDA, a marketing authorization application, or MAA, to the European Medicines Agency, or EMA, and an MAA to the Medicines and Healthcare Products Regulatory Agency in the United Kingdom, or MHRA, for Haduvio for the treatment of pruritus associated with prurigo nodularis.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also conducting a Phase 2 clinical trial of Haduvio for chronic cough in adults with IPF, which we refer to as the Phase 2 CANAL trial. The Phase 2 CANAL trial is a randomized, double-blind, placebo controlled, two-treatment, two-period, crossover study that is designed to evaluate the efficacy, safety, tolerability and dosing of Haduvio for chronic cough in adults with IPF. This trial was originally designed to enroll approximately 60 subjects with a goal to have 44 study completers. We are conducting the trial at multiple sites in the United Kingdom. In February 2022, we conducted an interim statistical analysis for this trial. The interim analysis (N=26) was statistically significant on the primary efficacy endpoint demonstrating a 52% placebo-adjusted reduction in the geometric mean percent change in daytime cough events (p&lt;0.0001, conditional power 100%) for Haduvio.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 The interim analysis was conducted by an independent statistical team according to the pre-specified endpoint in the protocol. In March 2022, in light of the statistically significant efficacy results from the interim analysis, we concluded enrollment early for our Phase 2 CANAL trial. In total, we enrolled approximately 40 subjects in the study. We expect to report efficacy and safety data for the full set of subjects for this trial in the third quarter of 2022.</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currently focusing our financial and operational resources on completing the Phase 2b/3 PRISM and the Phase 2 CANAL trials and preparing for the initiation of the next trial of Haduvio for the treatment of chronic cough in adults with IPF. After we receive top-line data from both of these trials, we will evaluate additional indications for which we may choose to pursue the development of Haduvio.</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March 31, 2022, we had an accumulated deficit of $188.2 million, primarily as a result of research and development and general and administrative expenses. We do not expect to generate product revenue unless and until we obtain marketing approval for and commercialize Haduvio for the treatment of pruritus associated with prurigo nodularis or chronic cough in adults with IPF and we can provide no assurance that we will ever generate significant revenue or profits.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2020, we entered into a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March 31, 2022, we had issued and sold an aggregate of 3,583,394 shares of common stock for gross proceeds of $11.0 million, before deducting estimated commissions and allocated fees of $0.8 million. Under the terms of the October 2021 Private Placements, as described below, we agreed to not issue and sell additional shares under the ATM Sales Agreement on or prior to January 4, 2022.</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August 2020, we entered into a loan and security agreement, or the SVB Loan Agreement, with Silicon Valley Bank, or SVB, pursuant to which SVB provided a term loan, or the SVB Term Loan, to us in the original principal amount of $14.0 million. On the first business day of each month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In July 2021 and April 2022, we entered into amendments to the SVB Loan Agreement with SVB, which we refer to as the Loan Amendments, that modified the conditions under which we will be required to cash collateralize the outstanding amounts owed to them under the SVB Loan Agreement. For further discussion of the SVB Term Loan and the Loan Amendments, see “—Liquidity and Capital Resources”.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October 5, 2021 and October 18, 2021, we issued and sold in two private placements, or the October 2021 Private Placements, in the aggregate (i)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As of February 10, 2022, all of the pre-funded warrants had been exercised. Of the accompanying common stock warrants, warrants to purchase an aggregate of 9,151,122 shares will expire in April 2025 and warrants to purchase an aggregate of 9,151,122 shares will expire in October 2028. The accompanying common stock warrants have an exercise price of $1.37 per share and became exercisable immediately upon issuance. As of May 12, 2022, warrants to purchase 3,299,270 shares of common stock that were to expire on April 5, 2025 have been exercised.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we had cash and cash equivalents of $29.1 million. In April 2022, we received approximately $55.0 million in gross proceeds from the April 2022 Private Placement and $4.5 million in proceeds from the exercise of common stock warrants that were issued in the October 2021 Private Placements. We believe that our existing cash and cash equivalents, including the proceeds from the April 2022 Private Placement and the proceeds from the exercise of common stock warrants that were issued in the October 2021 Private Placements, will enable us to fund our operating expenses and capital expenditure requirements for at least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12 months from the date of issuance of the Condensed Consolidated Financial Statements included in this Quarterly Report on Form 10-Q.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and the additional Phase 3 clinical trial we believe we will be required to conduct to support the submission of a NDA to the FDA for Haduvio for the treatment of pruritus associated with prurigo nodularis, our ongoing Phase 2 CANAL trial and the next trial we plan to conduct for Haduvio for the treatment of chronic cough in adults with IPF which we expect will be designed as a Phase 2b/3 trial, subject to discussions with the FDA. We also expect to incur substantial expenditures in the foreseeable future related to the development and validation of our commercial manufacturing process for Haduvio and other development activities. In addition, we may continue to incur additional expenses as a result of the COVID-19 pandemic and related clinical trial delays and interruptions.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Impacts of the COVID-19 Pandemic</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both our Phase 2b/3 PRISM and Phase 2 CANAL trials. </w:t>
      </w:r>
      <w:r>
        <w:rPr>
          <w:rFonts w:ascii="Times New Roman" w:hAnsi="Times New Roman"/>
          <w:b w:val="false"/>
          <w:i w:val="false"/>
          <w:caps w:val="false"/>
          <w:smallCaps w:val="false"/>
          <w:color w:val="000000"/>
          <w:sz w:val="20"/>
        </w:rPr>
        <w:t xml:space="preserve">The </w:t>
      </w:r>
      <w:r>
        <w:rPr>
          <w:rFonts w:ascii="Times New Roman" w:hAnsi="Times New Roman"/>
          <w:b w:val="false"/>
          <w:i w:val="false"/>
          <w:caps w:val="false"/>
          <w:smallCaps w:val="false"/>
          <w:sz w:val="20"/>
        </w:rPr>
        <w:t>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r>
        <w:rPr>
          <w:rFonts w:ascii="Times New Roman" w:hAnsi="Times New Roman"/>
          <w:b w:val="false"/>
          <w:i w:val="false"/>
          <w:caps w:val="false"/>
          <w:smallCaps w:val="false"/>
          <w:color w:val="FF0000"/>
          <w:sz w:val="20"/>
        </w:rPr>
        <w:t xml:space="preserv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taken precautionary measures intended to help minimize the risk of the virus to our employees, including allowing employees to work remotely part of the week.</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Components of Operating Results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Operating Expenses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Research and Development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of our research and development expenses consist of expenses incurred in connection with the development of Haduvio. These expenses include personnel-related costs, including stock-based compensation, consulting costs, contract manufacturing costs and fees paid to clinical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whether as a result of the COVID-19 pandemic or otherwise, we could be required to expend significant additional financial resources and time on our development program. Furthermore, we are unable to predict when or if Haduvio will receive regulatory approval in the U.S. or elsewhere with any certainty.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General and Administrative Expenses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anticipate that our general and administrative expenses will increase as a result of increased personnel costs, including stock-based compensation and expanded infrastructure.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Other (Expense) Income, Net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Change in Fair Value of Term Loan Derivative Liability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connection with the SVB Term Loan, prior to the Third Amendment (as defined below) to the SVB Loan Agreement, as discussed below, upon the occurrence of the Phase 3 Event, as described below, the interest rate on the SVB Term Loan would increase by 2.00%. This contingent interest rate increase represented a free-standing financial instrument. Accordingly, we accounted for the contingent interest rate increase as a derivative under Accounting Standards Codification or ASC, 815, </w:t>
      </w:r>
      <w:r>
        <w:rPr>
          <w:rFonts w:ascii="Times New Roman" w:hAnsi="Times New Roman"/>
          <w:b w:val="false"/>
          <w:i/>
          <w:caps w:val="false"/>
          <w:smallCaps w:val="false"/>
          <w:color w:val="000000"/>
          <w:sz w:val="20"/>
        </w:rPr>
        <w:t>Derivatives and Hedging</w:t>
      </w:r>
      <w:r>
        <w:rPr>
          <w:rFonts w:ascii="Times New Roman" w:hAnsi="Times New Roman"/>
          <w:b w:val="false"/>
          <w:i w:val="false"/>
          <w:caps w:val="false"/>
          <w:smallCaps w:val="false"/>
          <w:color w:val="000000"/>
          <w:sz w:val="20"/>
        </w:rPr>
        <w:t xml:space="preserve"> and therefore, we recorded a term loan derivative liability for the contingent interest rate increase at its fair value. We adjust this liability to fair value at each reporting date it remains outstanding. We recognized changes in the fair value of this term loan derivative in our statements of operations as a component of other income (expense), net.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Interest Income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consists of interest earned from money market funds on our cash and cash equivalents.</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Interest Expense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August 2020, we entered into the SVB Loan Agreement under which we borrowed $14.0 million under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Prior to the Third Amendment to the SVB Loan Agreement, the SVB Term Loan </w:t>
      </w:r>
      <w:r>
        <w:rPr>
          <w:rFonts w:ascii="Times New Roman" w:hAnsi="Times New Roman"/>
          <w:b w:val="false"/>
          <w:i w:val="false"/>
          <w:caps w:val="false"/>
          <w:smallCaps w:val="false"/>
          <w:color w:val="000000"/>
          <w:sz w:val="20"/>
          <w:highlight w:val="white"/>
        </w:rPr>
        <w:t>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chronic pruritus associated with prurigo nodularis and (ii) raised sufficient financing to fund such Phase 3 clinical trial and our operations, which we refer to together as the Phase 3 Event, the interest rate under the SVB Term Loan would be adjusted to a floating rate equal to the greater of (A) the prime rate plus 3.00% and (B) 6.25%</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On April 6, 2022, we entered into the Third Amendment to the SVB Loan Agreement, or the Third Amendment. Under the Third Amendment, amounts outstanding under the SVB Loan Agreement will accrue interest at a floating per annum rate equal to the greater of (A) the prime rate plus 3.00% and (B) 6.25%.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SVB Term Loan required interest-only payments until March 2022.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Results of Operations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March 31, 2022 and 2021</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results of operations for the periods indicated (in thousands):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0" w:after="0"/>
        <w:rPr/>
      </w:pPr>
      <w:r>
        <w:rPr/>
        <w:t> </w:t>
      </w:r>
    </w:p>
    <w:tbl>
      <w:tblPr>
        <w:tblW w:w="6713" w:type="dxa"/>
        <w:jc w:val="left"/>
        <w:tblInd w:w="0" w:type="dxa"/>
        <w:tblCellMar>
          <w:top w:w="0" w:type="dxa"/>
          <w:left w:w="0" w:type="dxa"/>
          <w:bottom w:w="28" w:type="dxa"/>
          <w:right w:w="0" w:type="dxa"/>
        </w:tblCellMar>
      </w:tblPr>
      <w:tblGrid>
        <w:gridCol w:w="4265"/>
        <w:gridCol w:w="60"/>
        <w:gridCol w:w="126"/>
        <w:gridCol w:w="550"/>
        <w:gridCol w:w="80"/>
        <w:gridCol w:w="60"/>
        <w:gridCol w:w="126"/>
        <w:gridCol w:w="550"/>
        <w:gridCol w:w="80"/>
        <w:gridCol w:w="60"/>
        <w:gridCol w:w="126"/>
        <w:gridCol w:w="550"/>
        <w:gridCol w:w="80"/>
      </w:tblGrid>
      <w:tr>
        <w:trPr/>
        <w:tc>
          <w:tcPr>
            <w:tcW w:w="426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08"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5,589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2,500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8,089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expense,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(8,386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6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benefit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(7,329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(8,371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Operating Expenses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Research and Development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research and development expenses for the periods indicated (in thousands):</w:t>
      </w:r>
    </w:p>
    <w:p>
      <w:pPr>
        <w:pStyle w:val="TextBody"/>
        <w:spacing w:before="0" w:after="0"/>
        <w:rPr/>
      </w:pPr>
      <w:r>
        <w:rPr/>
        <w:t> </w:t>
      </w:r>
    </w:p>
    <w:tbl>
      <w:tblPr>
        <w:tblW w:w="5908" w:type="dxa"/>
        <w:jc w:val="left"/>
        <w:tblInd w:w="0" w:type="dxa"/>
        <w:tblCellMar>
          <w:top w:w="0" w:type="dxa"/>
          <w:left w:w="0" w:type="dxa"/>
          <w:bottom w:w="28" w:type="dxa"/>
          <w:right w:w="0" w:type="dxa"/>
        </w:tblCellMar>
      </w:tblPr>
      <w:tblGrid>
        <w:gridCol w:w="3455"/>
        <w:gridCol w:w="60"/>
        <w:gridCol w:w="146"/>
        <w:gridCol w:w="567"/>
        <w:gridCol w:w="70"/>
        <w:gridCol w:w="70"/>
        <w:gridCol w:w="146"/>
        <w:gridCol w:w="567"/>
        <w:gridCol w:w="70"/>
        <w:gridCol w:w="70"/>
        <w:gridCol w:w="146"/>
        <w:gridCol w:w="461"/>
        <w:gridCol w:w="80"/>
      </w:tblGrid>
      <w:tr>
        <w:trPr/>
        <w:tc>
          <w:tcPr>
            <w:tcW w:w="345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3"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development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3,066</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3,811</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Personnel and related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1,089</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1,176</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Consulting expenses and professional fees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404</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research and development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research and development expenses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4,645</w:t>
            </w:r>
          </w:p>
        </w:tc>
        <w:tc>
          <w:tcPr>
            <w:tcW w:w="7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5,589</w:t>
            </w:r>
          </w:p>
        </w:tc>
        <w:tc>
          <w:tcPr>
            <w:tcW w:w="7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expenses for the three months ended March 31, 2022 decreased to $4.6 million from $5.6 million for the corresponding period in 2021, primarily due to decreased clinical trial subject recruitment costs. Our consulting expenses and professional fees declined as well due to a reduction in our use of consulting services and the non-recurrence of professional recruiting fees related to hirings in the prior year period. For the periods presented, all of our research and development expenses related to our development activity for Haduvio.</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General and Administrative Expenses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expenses for the three months ended March 31, 2022 decreased to $2.4 million from $2.5 million for the corresponding period in 2021. The decrease was primarily due to lower legal fees as a result of the timing of certain intellectual property filings.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our inception, we have not generated any revenue and have incurred significant operating losses and negative cash flows from our operations. Prior to the completion of our initial public offering, or the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our prior term loan.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June 2020, we entered into the ATM Sales Agreement, under which we may issue and sell shares of common stock, from time to time, having an aggregate offering price of up to $12.0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March 31, 2022 we had issued and sold an aggregate of 3,583,394 shares of common stock for gross proceeds of $11.0 million, before deducting estimated commissions and allocated fees of $0.8 million. Under the terms of the October 2021 Private Placements, we agreed to not issue or sell additional shares under the ATM Sales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Agreement on or prior to January 4, 2022. During the three months ended March 31, 2022, the Company had no sales of shares of common stock under the ATM Sales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June 18, 2021, we entered into the LPC Purchase Agreement with Lincoln Park for an equity line financing. The LPC Purchase Agreement provides that, subject to the terms and conditions set forth therein, we have the right, but not the obligation, to sell to Lincoln Park and Lincoln Park is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As part of the LPC Purchase Agreement, we issued 170,088 shares of our common stock to Lincoln Park as consideration for its commitment to purchase shares of our common stock under the LPC Purchase Agreement. Under the terms of the October 2021 Private Placements, we agreed to not issue or sell additional shares under the LPC Purchase Agreement on or prior to April 6, 2023.</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SVB Loan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August 2020, we entered into the SVB Loan Agreement with SVB, pursuant to which SVB provided the SVB Term Loan in the original principal amount of $14.0 million. The SVB Term Loan bears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the interest rate under the SVB Term Loan would have been adjusted to a floating rate equal to the greater of (A) the prime rate plus 3.00% and (B) 6.25%. Commencing on March 1, 2022 and on the first business day of each month thereafter,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July 6, 2021, we and SVB entered into the First Amendment to the SVB Loan Agreement, or the First Amendment. The First Amendment modified the conditions under which we are required to cash collateralize outstanding amounts owed to SVB under the SVB Loan Agreement. Under the First Amendment, if we failed to receive positive data in our Phase 2b/3 PRISM trial or, prior to June 30, 2022, failed to raise sufficient net proceeds from the sale of equity securities to finance our planned second Phase 3 clinical trial of Haduvio for prurigo nodularis and our ongoing operations, each of which we refer to as a Milestone Condition, we would be required to deposit unrestricted and unencumbered cash equal to 100% of all outstanding amounts owed to SVB in a cash collateral account with SVB, which could be used by SVB to prepay the SVB Term Loan at any time. In addition, the First Amendment provided that if we failed to maintain at least $20.0 million in unrestricted and unencumbered cash in our accounts with SVB, or the Minimum Required Cash, at any time prior to the satisfaction of all the Milestone Conditions, we would also have been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April 6, 2022, we entered into the Third Amendment to the SVB Loan Agreement. The Third Amendment principally modified the conditions under which we are required to cash collateralize all outstanding amounts owed to SVB under the SVB Loan Agreement. As a result of the Third Amendment, upon the closing of the April 2022 Private Placement, our obligations to achieve the Milestone Conditions and maintain the Minimum Required Cash terminated and the cash collateralization requirement under the SVB Loan Agreement will instead be triggered if we do not receive positive final data by December 31, 2022 from either our ongoing Phase 2b/3 PRISM trial of Haduvio for prurigo nodularis or our Phase 2 CANAL trial of Haduvio for the treatment of chronic cough in adults with IPF. In addition, the Third Amendment modified the interest rate on the principal amount outstanding under the SVB Loan Agreement, as discussed above under “–Interest Expense.”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Private Placements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October 5, 2021 and October 18, 2021, we issued and sold in two private placements (i) an aggregate of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was exercisable until exercised in full. As of February 10, 2022, all of the pre-funded warrants had been exercised. Of the accompanying common stock warrants, warrants to purchase an aggregate of 9,151,122 shares will expire in April 2025 and warrants to purchase an aggregate of 9,151,122 shares will expire in October 2028. The accompanying common stock warrants have an exercise price of $1.37 per share and became exercisable immediately upon issuance. As of May 12, 2022, common stock warrants to purchase 3,299,270 shares of common stock that were to expire on April 5, 2025 have been exercised.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Cash Flows </w:t>
      </w:r>
    </w:p>
    <w:p>
      <w:pPr>
        <w:pStyle w:val="TextBody"/>
        <w:spacing w:before="120" w:after="12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2022, we had cash and cash equivalents of $29.1 million.  Our cash and cash equivalents are primarily held in money market accounts. The following table summarizes our cash flows for each of the periods presented below (in thousands):</w:t>
      </w:r>
    </w:p>
    <w:tbl>
      <w:tblPr>
        <w:tblW w:w="6563" w:type="dxa"/>
        <w:jc w:val="left"/>
        <w:tblInd w:w="0" w:type="dxa"/>
        <w:tblCellMar>
          <w:top w:w="0" w:type="dxa"/>
          <w:left w:w="0" w:type="dxa"/>
          <w:bottom w:w="28" w:type="dxa"/>
          <w:right w:w="0" w:type="dxa"/>
        </w:tblCellMar>
      </w:tblPr>
      <w:tblGrid>
        <w:gridCol w:w="4115"/>
        <w:gridCol w:w="60"/>
        <w:gridCol w:w="126"/>
        <w:gridCol w:w="550"/>
        <w:gridCol w:w="80"/>
        <w:gridCol w:w="60"/>
        <w:gridCol w:w="126"/>
        <w:gridCol w:w="550"/>
        <w:gridCol w:w="80"/>
        <w:gridCol w:w="60"/>
        <w:gridCol w:w="126"/>
        <w:gridCol w:w="550"/>
        <w:gridCol w:w="80"/>
      </w:tblGrid>
      <w:tr>
        <w:trPr/>
        <w:tc>
          <w:tcPr>
            <w:tcW w:w="411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08"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(7,092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(7,578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provided by financing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4,147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(4,772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1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decrease in cash and cash equivalents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(7,717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(3,431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Operating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three months ended March 31, 2022, operating activities used $7.1 million of net cash, resulting from our net loss of $7.3 million and net changes in our operating assets and liabilities of $0.7 million, offset by non-cash charges of $0.9 million. The non-cash charges consisted primarily of stock-based compensation expense of $0.7 million and $0.2 million of accretion/accrual of term loan discounts and debt issuance costs.  Changes in our operating assets and liabilities consisted of a $1.1 million decrease in accounts payable, a $0.4 million decrease in prepaid expenses and other current assets and an immaterial increase in accrued expenses and other liabilities. The decrease in accounts payable was primarily due to the timing of vendor invoices. </w:t>
      </w:r>
      <w:r>
        <w:rPr>
          <w:rFonts w:ascii="Times New Roman" w:hAnsi="Times New Roman"/>
          <w:b w:val="false"/>
          <w:i w:val="false"/>
          <w:caps w:val="false"/>
          <w:smallCaps w:val="false"/>
          <w:color w:val="000000"/>
          <w:sz w:val="20"/>
          <w:highlight w:val="white"/>
        </w:rPr>
        <w:t xml:space="preserve">The decrease in prepaid expenses and other current assets was primarily due to a decrease in prepayments of our corporate insurance policies. </w:t>
      </w:r>
      <w:r>
        <w:rPr>
          <w:rFonts w:ascii="Times New Roman" w:hAnsi="Times New Roman"/>
          <w:b w:val="false"/>
          <w:i w:val="false"/>
          <w:caps w:val="false"/>
          <w:smallCaps w:val="false"/>
          <w:color w:val="000000"/>
          <w:sz w:val="20"/>
        </w:rPr>
        <w:t xml:space="preserve">The immaterial increase in accrued expenses and other liabilities was primarily due to increased accruals for research, development and clinical trial work performed by our CROs, partially offset by a decrease in accrued compensation and benefits.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During the three months ended March 31, 2021, operating activities used $7.6 million of cash, resulting from our net loss of $8.4 million and net changes in our operating assets and liabilities of $0.1 million, partially offset by non-cash charges of $0.9 million. The non-cash charges consisted primarily of stock-based compensation expense of $0.7 million and $0.1 million of accretion/accrual of term loan discounts and debt issuance costs. Changes in our operating assets and liabilities consisted of a $1.2 million decrease in accounts payable, a $0.7 million decrease in prepaid expenses and other current assets and a $0.4 million increase in accrued expenses. The decrease in accounts payable was primarily due to the timing of vendor invoices. The decrease in prepaid expenses and other current assets was primarily due to a decrease in prepayments of our corporate insurance policies and our research, development and clinical trial work performed by our CROs and other vendors. The increase in accrued expenses was primarily due to increased accruals for research, development and clinical trial work performed by our CROs, partially offset by a decrease in accrued compensation and benefits.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Investing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three months ended March 31, 2022 and 2021, no cash was provided by or used in investing activities.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Financing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three months ended March 31, 2022, </w:t>
      </w:r>
      <w:r>
        <w:rPr>
          <w:rFonts w:ascii="Times New Roman" w:hAnsi="Times New Roman"/>
          <w:b w:val="false"/>
          <w:i w:val="false"/>
          <w:caps w:val="false"/>
          <w:smallCaps w:val="false"/>
          <w:color w:val="000000"/>
          <w:sz w:val="20"/>
          <w:highlight w:val="white"/>
        </w:rPr>
        <w:t xml:space="preserve">net cash used in financing activities was $0.6 million, primarily consisting of repayments of </w:t>
      </w:r>
      <w:r>
        <w:rPr>
          <w:rFonts w:ascii="Times New Roman" w:hAnsi="Times New Roman"/>
          <w:b w:val="false"/>
          <w:i w:val="false"/>
          <w:caps w:val="false"/>
          <w:smallCaps w:val="false"/>
          <w:color w:val="000000"/>
          <w:sz w:val="20"/>
        </w:rPr>
        <w:t xml:space="preserve">$0.6 million </w:t>
      </w:r>
      <w:r>
        <w:rPr>
          <w:rFonts w:ascii="Times New Roman" w:hAnsi="Times New Roman"/>
          <w:b w:val="false"/>
          <w:i w:val="false"/>
          <w:caps w:val="false"/>
          <w:smallCaps w:val="false"/>
          <w:color w:val="000000"/>
          <w:sz w:val="20"/>
          <w:highlight w:val="white"/>
        </w:rPr>
        <w:t>on the SVB Term Loan and by payments of offering costs of less than $0.1 million, slightly offset by proceeds received from the exercise of warrants.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During the three months ended March 31, 2021, net cash provided by financing activities was $4.1 million, consisting of gross cash proceeds of $4.4 million from sales of our common stock under the ATM Sales Agreement, before deducting estimated commissions and allocated fees of $0.3 million.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Funding Requirements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the additional Phase 3 clinical trial we believe we will need to conduct to support the submission of an NDA to the FDA and MAAs to the </w:t>
      </w:r>
      <w:r>
        <w:rPr>
          <w:rFonts w:ascii="Times New Roman" w:hAnsi="Times New Roman"/>
          <w:b w:val="false"/>
          <w:i w:val="false"/>
          <w:caps w:val="false"/>
          <w:smallCaps w:val="false"/>
          <w:color w:val="000000"/>
          <w:sz w:val="20"/>
        </w:rPr>
        <w:t>EMA</w:t>
      </w:r>
      <w:r>
        <w:rPr>
          <w:rFonts w:ascii="Times New Roman" w:hAnsi="Times New Roman"/>
          <w:b w:val="false"/>
          <w:i w:val="false"/>
          <w:caps w:val="false"/>
          <w:smallCaps w:val="false"/>
          <w:sz w:val="20"/>
        </w:rPr>
        <w:t xml:space="preserve"> and MHRA for Haduvio for the treatment of pruritus associated with prurigo nodularis if the PRISM trial is successful, our ongoing Phase 2 CANAL trial and our next clinical trial that we expect will be designed as a Phase 2b/3 trial, subject to discussions with the FDA, if the CANAL trial is successful, as well as any additional clinical trials required to support the submission of an NDA to the FDA and MAAs to the EMA and MHRA for Haduvio for the treatment of chronic cough in adults with IPF. Generally, regulatory authorities require two adequate and well-controlled studies for approval. We also expect to incur substantial expenditures in the foreseeable future related to the costs of commercialization activities, including manufacturing capabilities, for Haduvio and other development activities. In addition, we have incurred and may continue to incur additional expenses as a result of the COVID-19 pandemic and resulting clinical trial delays and interruptions. Furthermore, we expect to continue to incur additional costs associated with operating as a public company, including significant legal, accounting, investor relations and other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scope, progress, timing, costs and results of clinical trials of Haduvio, including our ongoing Phase 2b/3 PRISM trial and our ongoing Phase 2 CANAL trial, as well as any future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number and characteristics of indications for which we seek to develop Haduvio or any future product candidates and their respective development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outcome, timing and costs of clinical and nonclinical trials and of seeking regulatory approvals, including the costs of supportive clinical studies such as our planned human abuse liability, or HAL, study and a potential Thorough QT, or TQT, study;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the costs associated with the manufacture of necessary quantities of Haduvio or any future product candidate for clinical development in connection with regulatory submissions;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costs of commercialization activities for Haduvio for the treatment of pruritus associated with prurigo nodularis or for the treatment of chronic cough in adults with IPF or for any other serious neurologically mediated conditions or for any future product candidates that receive marketing approval, if any, including the costs and timing of establishing product sales, marketing, distribution and manufacturing capabilities;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subject to receipt of marketing approvals, revenue, if any, received from commercial sales of Haduvio for the treatment of pruritus associated with prurigo nodularis or for the treatment of chronic cough in adults with IPF or for any other serious neurologically mediated conditions or from any future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identify potential collaborators for Haduvio for the treatment of pruritus associated with prurigo nodularis or for the treatment of chronic cough in adults with IPF or for any future product candidates and the terms and timing of any collaboration agreement that we may establish for the development and any commercialization of such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extent to which we acquire or in-license rights to other potential product candidates or technologies and the terms and timing of any such acquisition or licensing arrangements;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mid-single digit royalties on the net sales of the product;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headcount growth and associated costs as we expand our research and development activities and establish a commercial infrastructure;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costs of preparing, filing and prosecuting patent applications, maintaining, expanding and protecting our intellectual property rights and defending against intellectual property-related claims; </w:t>
            </w:r>
          </w:p>
        </w:tc>
      </w:tr>
    </w:tbl>
    <w:tbl>
      <w:tblPr>
        <w:tblW w:w="5395" w:type="dxa"/>
        <w:jc w:val="left"/>
        <w:tblInd w:w="0" w:type="dxa"/>
        <w:tblCellMar>
          <w:top w:w="0" w:type="dxa"/>
          <w:left w:w="0" w:type="dxa"/>
          <w:bottom w:w="0" w:type="dxa"/>
          <w:right w:w="0" w:type="dxa"/>
        </w:tblCellMar>
      </w:tblPr>
      <w:tblGrid>
        <w:gridCol w:w="60"/>
        <w:gridCol w:w="110"/>
        <w:gridCol w:w="52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2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effect of competing technologies and market developments; </w:t>
            </w:r>
          </w:p>
        </w:tc>
      </w:tr>
    </w:tbl>
    <w:tbl>
      <w:tblPr>
        <w:tblW w:w="8605" w:type="dxa"/>
        <w:jc w:val="left"/>
        <w:tblInd w:w="0" w:type="dxa"/>
        <w:tblCellMar>
          <w:top w:w="0" w:type="dxa"/>
          <w:left w:w="0" w:type="dxa"/>
          <w:bottom w:w="0" w:type="dxa"/>
          <w:right w:w="0" w:type="dxa"/>
        </w:tblCellMar>
      </w:tblPr>
      <w:tblGrid>
        <w:gridCol w:w="60"/>
        <w:gridCol w:w="110"/>
        <w:gridCol w:w="84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establish and maintain healthcare coverage and adequate reimbursement for our products; </w:t>
            </w:r>
          </w:p>
        </w:tc>
      </w:tr>
    </w:tbl>
    <w:tbl>
      <w:tblPr>
        <w:tblW w:w="3700" w:type="dxa"/>
        <w:jc w:val="left"/>
        <w:tblInd w:w="0" w:type="dxa"/>
        <w:tblCellMar>
          <w:top w:w="0" w:type="dxa"/>
          <w:left w:w="0" w:type="dxa"/>
          <w:bottom w:w="0" w:type="dxa"/>
          <w:right w:w="0" w:type="dxa"/>
        </w:tblCellMar>
      </w:tblPr>
      <w:tblGrid>
        <w:gridCol w:w="60"/>
        <w:gridCol w:w="110"/>
        <w:gridCol w:w="35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53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the costs of operating as a public company;</w:t>
            </w:r>
          </w:p>
        </w:tc>
      </w:tr>
    </w:tbl>
    <w:tbl>
      <w:tblPr>
        <w:tblW w:w="4030" w:type="dxa"/>
        <w:jc w:val="left"/>
        <w:tblInd w:w="0" w:type="dxa"/>
        <w:tblCellMar>
          <w:top w:w="0" w:type="dxa"/>
          <w:left w:w="0" w:type="dxa"/>
          <w:bottom w:w="0" w:type="dxa"/>
          <w:right w:w="0" w:type="dxa"/>
        </w:tblCellMar>
      </w:tblPr>
      <w:tblGrid>
        <w:gridCol w:w="60"/>
        <w:gridCol w:w="110"/>
        <w:gridCol w:w="38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86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continue as a going concern; and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the impact of the COVID-19 pandemic on the scope, progress, timing, costs and results of our ongoing and planned clinical trials of Haduvio.</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our existing cash and cash equivalents, including the proceeds from our April 2022 Private Placement, will enable us to fund our operating expenses and capital expenditure requirements into the first quarter of 2024.</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sz w:val="20"/>
        </w:rPr>
        <w:t>do not have any committed external source of funds.</w:t>
      </w:r>
      <w:r>
        <w:rPr>
          <w:rFonts w:ascii="Times New Roman" w:hAnsi="Times New Roman"/>
          <w:b w:val="false"/>
          <w:i w:val="false"/>
          <w:caps w:val="false"/>
          <w:smallCaps w:val="false"/>
          <w:color w:val="FF0000"/>
          <w:sz w:val="20"/>
        </w:rPr>
        <w:t xml:space="preserve"> </w:t>
      </w:r>
      <w:r>
        <w:rPr>
          <w:rFonts w:ascii="Times New Roman" w:hAnsi="Times New Roman"/>
          <w:b w:val="false"/>
          <w:i w:val="false"/>
          <w:caps w:val="false"/>
          <w:smallCaps w:val="false"/>
          <w:sz w:val="20"/>
        </w:rPr>
        <w:t>Accordingly, we will be required to obtain further funding through public or private equity offerings, debt financings, collaborations, licensing arrangements or other sources to complete the clinical development and commercialization of Haduvio for the treatment of pruritus associated with prurigo nodularis or for the treatment of chronic cough in adults with IPF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We are also bound by certain contractual terms and obligations that may limit or otherwise impact our ability to raise additional funding in the near-term including, but not limited to, provisions in the October 2021 Private Placements prohibiting us from obtaining additional financing through a variable rate transaction such as an equity line of credit.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or additional equity that we raise may contain terms that could adversely affect our common stockholders.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Critical Accounting Policies and Use of Estimates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While our significant accounting policies are described in the Notes to our financial statements, we believe that the critical accounting policies described under the heading “Management’s Discussion and Analysis of Financial Condition and Results of Operations—Critical Accounting Policies and Use of Estimates” in our Annual Report on Form 10-K for the year ended December 31, 2021 are the most important to understanding and evaluating our reported financial results. During the three months ended March 31, 2022, there were no material changes to our critical accounting policies.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Recently Adopted Accounting Pronouncements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There have been no new pronouncements adopted during the three months ended March 31, 2022, which could be expected to materially impact the Company’s Condensed Consolidated Financial Statements.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Recently Issued Accounting Pronouncements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have been no new pronouncements during the three months ended March 31, 2022 which could be expected to materially impact our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120" w:after="0"/>
        <w:rPr>
          <w:rFonts w:ascii="Times New Roman" w:hAnsi="Times New Roman"/>
          <w:b/>
          <w:i w:val="false"/>
          <w:caps w:val="false"/>
          <w:smallCaps w:val="false"/>
          <w:sz w:val="20"/>
        </w:rPr>
      </w:pPr>
      <w:bookmarkStart w:id="11" w:name="ITEM_3_QUANTITATIVE_QUALITATIVE_DISCLOSU"/>
      <w:bookmarkEnd w:id="11"/>
      <w:r>
        <w:rPr>
          <w:rFonts w:ascii="Times New Roman" w:hAnsi="Times New Roman"/>
          <w:b/>
          <w:i w:val="false"/>
          <w:caps w:val="false"/>
          <w:smallCaps w:val="false"/>
          <w:sz w:val="20"/>
        </w:rPr>
        <w:t>Item 3. Quantitative and Qualitative Disclosures About Market Risk.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120" w:after="0"/>
        <w:rPr>
          <w:rFonts w:ascii="Times New Roman" w:hAnsi="Times New Roman"/>
          <w:b/>
          <w:i w:val="false"/>
          <w:caps w:val="false"/>
          <w:smallCaps w:val="false"/>
          <w:sz w:val="20"/>
        </w:rPr>
      </w:pPr>
      <w:bookmarkStart w:id="12" w:name="ITEM_4_CONTROLS_PROCEDURES"/>
      <w:bookmarkEnd w:id="12"/>
      <w:r>
        <w:rPr>
          <w:rFonts w:ascii="Times New Roman" w:hAnsi="Times New Roman"/>
          <w:b/>
          <w:i w:val="false"/>
          <w:caps w:val="false"/>
          <w:smallCaps w:val="false"/>
          <w:sz w:val="20"/>
        </w:rPr>
        <w:t>Item 4. Controls and Procedures.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Evaluation of Disclosure Controls and Procedures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March 31, 2022.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March 31, 2022, our Chief Executive Officer and Chief Financial Officer concluded that, as of such date, our disclosure controls and procedures were effective at the reasonable assurance level.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Changes in Internal Control over Financial Reporting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change in our internal control over financial reporting (as defined in Rules 13a-15(f) and 15d-15(f) under the Exchange Act) occurred during the three months ended March 31, 2022 that has materially affected or is reasonably likely to materially affect, our internal control over financial reporting.</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13" w:name="PART_IIOR_INFORMATION"/>
      <w:bookmarkEnd w:id="13"/>
      <w:r>
        <w:rPr>
          <w:rFonts w:ascii="Times New Roman" w:hAnsi="Times New Roman"/>
          <w:b/>
          <w:i w:val="false"/>
          <w:caps w:val="false"/>
          <w:smallCaps w:val="false"/>
          <w:sz w:val="20"/>
        </w:rPr>
        <w:t>PART II—OTHER INFORMATION</w:t>
      </w:r>
    </w:p>
    <w:p>
      <w:pPr>
        <w:pStyle w:val="TextBody"/>
        <w:spacing w:before="120" w:after="0"/>
        <w:rPr>
          <w:rFonts w:ascii="Times New Roman" w:hAnsi="Times New Roman"/>
          <w:b/>
          <w:i w:val="false"/>
          <w:caps w:val="false"/>
          <w:smallCaps w:val="false"/>
          <w:sz w:val="20"/>
        </w:rPr>
      </w:pPr>
      <w:bookmarkStart w:id="14" w:name="ITEM_1_LEGAL_PROCEEDINGS"/>
      <w:bookmarkEnd w:id="14"/>
      <w:r>
        <w:rPr>
          <w:rFonts w:ascii="Times New Roman" w:hAnsi="Times New Roman"/>
          <w:b/>
          <w:i w:val="false"/>
          <w:caps w:val="false"/>
          <w:smallCaps w:val="false"/>
          <w:sz w:val="20"/>
        </w:rPr>
        <w:t>Item 1. Legal Proceedings.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not subject to any material legal proceedings.</w:t>
      </w:r>
    </w:p>
    <w:p>
      <w:pPr>
        <w:pStyle w:val="TextBody"/>
        <w:spacing w:before="120" w:after="0"/>
        <w:rPr>
          <w:rFonts w:ascii="Times New Roman" w:hAnsi="Times New Roman"/>
          <w:b/>
          <w:i w:val="false"/>
          <w:caps w:val="false"/>
          <w:smallCaps w:val="false"/>
          <w:sz w:val="20"/>
        </w:rPr>
      </w:pPr>
      <w:bookmarkStart w:id="15" w:name="ITEM_1A_RISK_FACTORS"/>
      <w:bookmarkEnd w:id="15"/>
      <w:r>
        <w:rPr>
          <w:rFonts w:ascii="Times New Roman" w:hAnsi="Times New Roman"/>
          <w:b/>
          <w:i w:val="false"/>
          <w:caps w:val="false"/>
          <w:smallCaps w:val="false"/>
          <w:sz w:val="20"/>
        </w:rPr>
        <w:t xml:space="preserve">Item 1A. Risk Factors.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Our Financial Position and Need for Additional Capital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have incurred significant losses since inception, expect to incur significant and increasing losses for the foreseeable future and may never achieve or maintain profitability.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incurred significant annual net losses every year since our inception. We expect to continue to incur significant and increasing net losses for at least the next several years. Our net losses were $7.3 million and $33.9 million for the three months ended March 31, 2022 and for the year ended December 31, 2021, respectively. As of March 31, 2022, we had an accumulated deficit of $188.2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borrowings under our prior term loan facility, proceeds from our IPO and concurrent private placement completed in May 2019, sales of our common stock pursuant to the ATM Sales Agreement we entered into in June 2020, which we refer to as the ATM Sales Agreement, the term loan facility with Silicon Valley Bank that we entered into in August 2020, which we refer to as the SVB Term Loan, proceeds from the two private placements we completed in October 2021, or the October 2021 Private Placements, proceeds from the private placement we completed in April 2022, or the April 2022 Private Placement, and proceeds from the exercise of common stock warrants that were issued in the October 2021 Private Placements. We have devoted substantially all of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to continue to incur significant expenses and increasing operating losses for the foreseeable future. We anticipate that our expenses will increase substantially if and as we: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continue to develop and conduct clinical trials of Haduvio, including our ongoing Phase 2b/3 PRISM trial and our ongoing Phase 2 CANAL trial and subsequent trials in each indication;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complete other development work required for the filing of a NDA with the FDA, and the filing of marketing authorization applications, or MAAs, with the EMA and the MHRA, for Haduvio for the treatment of pruritus associated with prurigo nodularis, including completing our Phase 2b/3 PRISM trial and at least one additional Phase 3 clinical trial in this indication and our continued development work in chronic cough in IPF;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seek regulatory and marketing approvals for Haduvio for the treatment of pruritus associated with prurigo nodularis or chronic cough in IPF or for other serious neurologically mediated conditions or for any future product candidate that successfully completes clinical trials, if any; </w:t>
            </w:r>
          </w:p>
        </w:tc>
      </w:tr>
    </w:tbl>
    <w:tbl>
      <w:tblPr>
        <w:tblW w:w="8185" w:type="dxa"/>
        <w:jc w:val="left"/>
        <w:tblInd w:w="0" w:type="dxa"/>
        <w:tblCellMar>
          <w:top w:w="0" w:type="dxa"/>
          <w:left w:w="0" w:type="dxa"/>
          <w:bottom w:w="0" w:type="dxa"/>
          <w:right w:w="0" w:type="dxa"/>
        </w:tblCellMar>
      </w:tblPr>
      <w:tblGrid>
        <w:gridCol w:w="60"/>
        <w:gridCol w:w="110"/>
        <w:gridCol w:w="80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0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negotiate and execute pediatric development plans and complete any post-approval commitments;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 sales, marketing, distribution and other commercial infrastructure to commercialize any products for which we may obtain marketing approval;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require the manufacture of larger quantities of Haduvio or any future product candidate for clinical development and, potentially, commercialization; </w:t>
            </w:r>
          </w:p>
        </w:tc>
      </w:tr>
    </w:tbl>
    <w:tbl>
      <w:tblPr>
        <w:tblW w:w="6805" w:type="dxa"/>
        <w:jc w:val="left"/>
        <w:tblInd w:w="0" w:type="dxa"/>
        <w:tblCellMar>
          <w:top w:w="0" w:type="dxa"/>
          <w:left w:w="0" w:type="dxa"/>
          <w:bottom w:w="0" w:type="dxa"/>
          <w:right w:w="0" w:type="dxa"/>
        </w:tblCellMar>
      </w:tblPr>
      <w:tblGrid>
        <w:gridCol w:w="60"/>
        <w:gridCol w:w="110"/>
        <w:gridCol w:w="66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6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acquire or in-license rights to other potential product candidates or technologies; </w:t>
            </w:r>
          </w:p>
        </w:tc>
      </w:tr>
    </w:tbl>
    <w:tbl>
      <w:tblPr>
        <w:tblW w:w="8995" w:type="dxa"/>
        <w:jc w:val="left"/>
        <w:tblInd w:w="0" w:type="dxa"/>
        <w:tblCellMar>
          <w:top w:w="0" w:type="dxa"/>
          <w:left w:w="0" w:type="dxa"/>
          <w:bottom w:w="0" w:type="dxa"/>
          <w:right w:w="0" w:type="dxa"/>
        </w:tblCellMar>
      </w:tblPr>
      <w:tblGrid>
        <w:gridCol w:w="60"/>
        <w:gridCol w:w="110"/>
        <w:gridCol w:w="88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8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initiate and conduct research, preclinical and clinical development efforts for any future product candidates; </w:t>
            </w:r>
          </w:p>
        </w:tc>
      </w:tr>
    </w:tbl>
    <w:tbl>
      <w:tblPr>
        <w:tblW w:w="5455" w:type="dxa"/>
        <w:jc w:val="left"/>
        <w:tblInd w:w="0" w:type="dxa"/>
        <w:tblCellMar>
          <w:top w:w="0" w:type="dxa"/>
          <w:left w:w="0" w:type="dxa"/>
          <w:bottom w:w="0" w:type="dxa"/>
          <w:right w:w="0" w:type="dxa"/>
        </w:tblCellMar>
      </w:tblPr>
      <w:tblGrid>
        <w:gridCol w:w="60"/>
        <w:gridCol w:w="110"/>
        <w:gridCol w:w="52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2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maintain, expand and protect our intellectual property portfolio; </w:t>
            </w:r>
          </w:p>
        </w:tc>
      </w:tr>
    </w:tbl>
    <w:tbl>
      <w:tblPr>
        <w:tblW w:w="7435" w:type="dxa"/>
        <w:jc w:val="left"/>
        <w:tblInd w:w="0" w:type="dxa"/>
        <w:tblCellMar>
          <w:top w:w="0" w:type="dxa"/>
          <w:left w:w="0" w:type="dxa"/>
          <w:bottom w:w="0" w:type="dxa"/>
          <w:right w:w="0" w:type="dxa"/>
        </w:tblCellMar>
      </w:tblPr>
      <w:tblGrid>
        <w:gridCol w:w="60"/>
        <w:gridCol w:w="110"/>
        <w:gridCol w:w="72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2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hire and retain additional personnel, such as clinical, regulatory and scientific personnel;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add operational, financial and management information systems and personnel, including personnel to support our product development and commercialization efforts and to help us comply with our obligations as a public company;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add equipment and physical infrastructure to support our development program for Haduvio and for any future product candidates.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pruritus associated with prurigo nodularis, we will be required, at a minimum, to successfully complete our ongoing Phase 2b/3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have a limited operating history and no products approved for commercial sale, which may make it difficult to evaluate the prospects for our future success and viability.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will need substantial additional funding and if we are unable to raise sufficient capital when needed on acceptable terms or at all, we could be forced to delay, reduce or abandon our product development programs or commercialization efforts.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three months ended March 31, 2022 and the year ended December 31, 2021, we used net cash of $7.1 million and $28.9 million, respectively, in our operating activities, substantially all of which related to development activities for Haduvio. As of March 31, 2022, our cash and cash equivalents were $29.1 million. In April 2022, we closed the April 2022 Private Placement with gross proceeds of $55.0 million. In April 2022, we also received $4.5 million in proceeds from the exercise of common stock warrants that were issued in the October 2021 Private Placements. We expect our expenses to increase substantially in connection with our ongoing activities, particularly as we continue to develop Haduvio, including as we: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complete our ongoing Phase 2b/3 PRISM trial and the additional Phase 3 clinical trial we believe we will need to conduct for Haduvio for the treatment of pruritus associated with prurigo nodularis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0"/>
              </w:rPr>
              <w:t>complete our Phase 2 CANAL trial and begin the next trial we plan to conduct for Haduvio for the treatment of chronic cough in adults</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with IPF, which we expect will be designed as a Phase 2b/3 trial, subject to discussions with the FDA;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acquire or in-license rights to other potential product candidates or technologies and seek regulatory and marketing approvals for Haduvio or any future product candidate that successfully completes clinical trials, if any.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we may incur additional expenses as a result of the COVID-19 pandemic and resulting clinical trial delays and interruptions. 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plan to use our existing cash and cash equivalents to fund the development of Haduvio for the treatment of pruritus associated with prurigo nodularis, for the treatment of chronic cough in adults with IPF and for working capital and other general corporate purposes. We will be required to expend significant funds to advance the development of Haduvio in multiple indications, as well as any future product candidates we may seek to develop. Our existing cash and cash equivalents will not be sufficient to complete development of Haduvio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indicated that there were a number of factors that raised substantial risks about our ability to continue as a going concern as of the date of our Annual Report on Form 10-K for the year ended December 31, 2021 without additional capital. We believe that our existing cash and cash equivalents, including the proceeds from the April 2022 Private Placement as well as proceeds received from the exercise of outstanding warrants that were to expire on April 5, 2025 from the October 2021 Private Placements, will enable us to fund our operating expenses and capital expenditure requirements into the first quarter of 2024, without giving effect to the rights of SVB under the SVB Loan Agreement if we fail to receive positive data in either our Phase 2b/3 PRISM trial or our Phase 2 CANAL trial by December 31, 2022. If we fail to achieve this condition and SVB cash collateralizes the amounts then owed to SVB under the SVB Loan Agreement or uses such amounts to prepay the SVB Term Loan, the period for which we will be able to fund our operating expenses and capital expenditure requirements will be significantly shorter however, it will be at least through 12 months from the filing date.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In addition, under the terms of the Securities Purchase Agreements we entered into with our October 2021 Private Placements, until April 5, 2023, we are prohibited from obtaining additional financing through a variable rate transaction such as an equity line of credit. Our failure to raise capital as and when needed would have a negative impact on our financial condition and our ability to pursue our business strategy.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scope, progress, timing, costs and results of clinical trials of Haduvio for the treatment of pruritus associated with prurigo nodularis, as well as the scope, progress, timing, costs and results of clinical trials of Haduvio for chronic cough associated with IPF and other serious neurologically mediated conditions;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number and characteristics of indications for which we seek to develop Haduvio or any future product candidates and their respective development requirements;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outcome, timing and costs of clinical and nonclinical trials and of seeking regulatory approvals, including the costs of supportive clinical studies such as our planned human abuse liability, or HAL, study and a potential Thorough QT, or TQT, study;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costs associated with the manufacture of necessary quantities of Haduvio or any future product candidate for clinical development in connection with regulatory submissions;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costs of commercialization activities for Haduvio for the treatment of pruritus associated with prurigo nodularis, chronic cough associated with IPF, or for any other serious neurologically mediated conditions or for any future product candidates that receive marketing approval, if any, including the costs and timing of establishing product sales, marketing, distribution and manufacturing capabilities;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subject to receipt of marketing approvals, revenue, if any, received from commercial sales of Haduvio for the treatment of pruritus associated with prurigo nodularis or chronic cough associated with IPF or for any other serious neurologically mediated conditions or from any future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identify potential collaborators for Haduvio for the treatment of pruritus associated with prurigo nodularis or chronic cough associated with IPF or for any future product candidates and the terms and timing of any collaboration agreement that we may establish for the development and any commercialization of such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extent to which we acquire or in-license rights to other potential product candidates or technologies and the terms and timing of any such acquisition or licensing arrangements;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headcount growth and associated costs as we expand our research and development activities and establish a commercial infrastructure;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costs of preparing, filing and prosecuting patent applications, maintaining, expanding and protecting our intellectual property rights and defending against intellectual property-related claims;</w:t>
            </w:r>
          </w:p>
        </w:tc>
      </w:tr>
    </w:tbl>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1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effect of competing technologies and market developments;</w:t>
            </w:r>
          </w:p>
        </w:tc>
      </w:tr>
    </w:tbl>
    <w:tbl>
      <w:tblPr>
        <w:tblW w:w="8560" w:type="dxa"/>
        <w:jc w:val="left"/>
        <w:tblInd w:w="0" w:type="dxa"/>
        <w:tblCellMar>
          <w:top w:w="0" w:type="dxa"/>
          <w:left w:w="0" w:type="dxa"/>
          <w:bottom w:w="0" w:type="dxa"/>
          <w:right w:w="0" w:type="dxa"/>
        </w:tblCellMar>
      </w:tblPr>
      <w:tblGrid>
        <w:gridCol w:w="60"/>
        <w:gridCol w:w="110"/>
        <w:gridCol w:w="83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3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establish and maintain healthcare coverage and adequate reimbursement for our products;</w:t>
            </w:r>
          </w:p>
        </w:tc>
      </w:tr>
    </w:tbl>
    <w:tbl>
      <w:tblPr>
        <w:tblW w:w="3745" w:type="dxa"/>
        <w:jc w:val="left"/>
        <w:tblInd w:w="0" w:type="dxa"/>
        <w:tblCellMar>
          <w:top w:w="0" w:type="dxa"/>
          <w:left w:w="0" w:type="dxa"/>
          <w:bottom w:w="0" w:type="dxa"/>
          <w:right w:w="0" w:type="dxa"/>
        </w:tblCellMar>
      </w:tblPr>
      <w:tblGrid>
        <w:gridCol w:w="60"/>
        <w:gridCol w:w="110"/>
        <w:gridCol w:w="35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costs of operating as a public company; </w:t>
            </w:r>
          </w:p>
        </w:tc>
      </w:tr>
    </w:tbl>
    <w:tbl>
      <w:tblPr>
        <w:tblW w:w="3985" w:type="dxa"/>
        <w:jc w:val="left"/>
        <w:tblInd w:w="0" w:type="dxa"/>
        <w:tblCellMar>
          <w:top w:w="0" w:type="dxa"/>
          <w:left w:w="0" w:type="dxa"/>
          <w:bottom w:w="0" w:type="dxa"/>
          <w:right w:w="0" w:type="dxa"/>
        </w:tblCellMar>
      </w:tblPr>
      <w:tblGrid>
        <w:gridCol w:w="60"/>
        <w:gridCol w:w="110"/>
        <w:gridCol w:w="38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continue as a going concern;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impacts of the COVID-19 pandemic on the scope, progress, timing, costs and results of our ongoing and planned clinical trials of Haduvio.</w:t>
            </w:r>
          </w:p>
        </w:tc>
      </w:tr>
    </w:tbl>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indebtedness could adversely affect our financial condition or restrict our future operations.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August 13, 2020, we entered into a Loan and Security Agreement, or the SVB Loan Agreement with Silicon Valley Bank, or SVB, pursuant to which SVB provided a term loan to us in the original principal amount of $14.0 million, or the SVB Term Loan. In July 2021, we entered into the Loan Amendment. In April 2022, we entered into the Third Amendment to the SVB Loan Agreement. Following the Third Amendment, the SVB Term Loan bears interest at a floating rate per annum equal to (i) prior to raising $45.0 million in net proceeds from the sale of our equity securities, which we refer to as the 2022 Equity Event, the greater of (A) the prime rate plus 1.00% and (B) 4.25%, and (ii) upon and after the occurrence of the 2022 Equity Event, the greater of (A) the prime rate plus 3.00% and (B) 6.25%. The closing of the April 2022 Private Placement constituted the 2022 Equity Event.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the first business day of each month, we are required to make monthly interest payments and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Additionally, under the Third Amendment, we will be required to deposit unrestricted and unencumbered cash equal to 100% of all outstanding amounts owed to SVB in a cash collateral account controlled by SVB if we do not receive positive final data by December 31, 2022 from either our ongoing Phase 2b/3 PRISM trial of Haduvio for prurigo nodularis or our Phase 2 CANAL trial of Haduvio for the treatment of chronic cough in </w:t>
      </w:r>
      <w:r>
        <w:rPr>
          <w:rFonts w:ascii="Times New Roman" w:hAnsi="Times New Roman"/>
          <w:b w:val="false"/>
          <w:i w:val="false"/>
          <w:caps w:val="false"/>
          <w:smallCaps w:val="false"/>
          <w:color w:val="000000"/>
          <w:sz w:val="20"/>
        </w:rPr>
        <w:t>adults</w:t>
      </w:r>
      <w:r>
        <w:rPr>
          <w:rFonts w:ascii="Times New Roman" w:hAnsi="Times New Roman"/>
          <w:b w:val="false"/>
          <w:i w:val="false"/>
          <w:caps w:val="false"/>
          <w:smallCaps w:val="false"/>
          <w:color w:val="000000"/>
          <w:sz w:val="20"/>
          <w:highlight w:val="white"/>
        </w:rPr>
        <w:t xml:space="preserve"> with IPF.</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debt combined with our other financial obligations and contractual commitments could have significant adverse consequences,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requiring us to dedicate a portion of our cash and cash equivalents to the payment of interest on and principal of our debt, or maintain a portion of our cash and cash equivalents in cash collateral accounts controlled by our lenders to secure repayment of our debt (which may be used by our lenders to prepay the debt if certain requirements are not met), which will reduce the amounts available to fund working capital, capital expenditures, product development efforts and other general corporate purposes;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obligating us to negative covenants restricting our activities, including the negative covenants to which we are subject under the SVB Loan Agreement; and</w:t>
            </w:r>
          </w:p>
        </w:tc>
      </w:tr>
    </w:tbl>
    <w:tbl>
      <w:tblPr>
        <w:tblW w:w="7855" w:type="dxa"/>
        <w:jc w:val="left"/>
        <w:tblInd w:w="0" w:type="dxa"/>
        <w:tblCellMar>
          <w:top w:w="0" w:type="dxa"/>
          <w:left w:w="0" w:type="dxa"/>
          <w:bottom w:w="0" w:type="dxa"/>
          <w:right w:w="0" w:type="dxa"/>
        </w:tblCellMar>
      </w:tblPr>
      <w:tblGrid>
        <w:gridCol w:w="60"/>
        <w:gridCol w:w="110"/>
        <w:gridCol w:w="76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6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limiting our flexibility in planning for or reacting to, changes in our business and our industry.</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intend to satisfy our debt service obligations with our existing cash and cash equivalents, the proceeds from the April 2022 Private Placement, proceeds from the exercise of any warrants from the October 2021 Private Placements,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In addition, as discussed above, a failure to achieve positive data in either our ongoing Phase 2b/3 PRISM trial of Haduvio for prurigo nodularis or our Phase 2 CANAL trial of Haduvio for the treatment of chronic cough in adults with IPF could result in us having to deposit unrestricted and unencumbered cash equal to 100% of all outstanding amounts owed to SVB in a cash collateral account with SVB, which can be used by SVB to prepay the SVB Term Loan at any time.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our assets, excluding our intellectual property (which is subject to a negative pledge under the SVB Loan Agreement), as collateral on the SVB Term Loan may limit our ability to obtain additional debt financing. </w:t>
      </w:r>
    </w:p>
    <w:p>
      <w:pPr>
        <w:pStyle w:val="TextBody"/>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Raising additional capital may cause dilution to our stockholders, restrict our operations or require us to relinquish rights to our product candidates.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our expenses to increase substantially in connection with our planned operations, particularly as we conduct:</w:t>
      </w:r>
    </w:p>
    <w:tbl>
      <w:tblPr>
        <w:tblW w:w="3190" w:type="dxa"/>
        <w:jc w:val="left"/>
        <w:tblInd w:w="0" w:type="dxa"/>
        <w:tblCellMar>
          <w:top w:w="0" w:type="dxa"/>
          <w:left w:w="0" w:type="dxa"/>
          <w:bottom w:w="0" w:type="dxa"/>
          <w:right w:w="0" w:type="dxa"/>
        </w:tblCellMar>
      </w:tblPr>
      <w:tblGrid>
        <w:gridCol w:w="60"/>
        <w:gridCol w:w="110"/>
        <w:gridCol w:w="30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0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ongoing Phase 2b/3 PRISM trial;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additional Phase 3 clinical trial we believe we will need to conduct for Haduvio for the treatment of pruritus associated with prurigo nodularis;</w:t>
            </w:r>
          </w:p>
        </w:tc>
      </w:tr>
    </w:tbl>
    <w:tbl>
      <w:tblPr>
        <w:tblW w:w="3040" w:type="dxa"/>
        <w:jc w:val="left"/>
        <w:tblInd w:w="0" w:type="dxa"/>
        <w:tblCellMar>
          <w:top w:w="0" w:type="dxa"/>
          <w:left w:w="0" w:type="dxa"/>
          <w:bottom w:w="0" w:type="dxa"/>
          <w:right w:w="0" w:type="dxa"/>
        </w:tblCellMar>
      </w:tblPr>
      <w:tblGrid>
        <w:gridCol w:w="60"/>
        <w:gridCol w:w="110"/>
        <w:gridCol w:w="28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8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ongoing Phase 2 CANAL trial;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0"/>
              </w:rPr>
              <w:t>the next study we plan to conduct for Haduvio for the treatment of chronic cough in adults</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with IPF, which we expect will be designed as a Phase 2b/3 trial, subject to discussions with the FDA; and develop Haduvio for the treatment of other serious neurologically mediated conditions.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obtain further debt financing may be limited by the covenants under the SVB Loan Agreement, which include a covenant not to incur additional indebtedness as well as the pledge of substantially all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the Development and Commercialization of Haduvio and Any Future Product Candidates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currently have no products approved for sale and are investing substantially all our efforts and financial resources to fund the development of Haduvio for multiple serious neurologically mediated conditions.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most advanced programs are the development of Haduvio for the treatment of pruritus associated with prurigo nodularis and chronic cough associated with IPF, as our efforts to develop Haduvio for other serious neurologically mediated conditions are only at an early stage. As a result, if our efforts to develop and commercialize Haduvio for the treatment of pruritus associated with prurigo nodularis or chronic cough associated with IPF are unsuccessful or we experience significant delays in doing so, our business could also be substantially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success of Haduvio for the treatment of pruritus associated with prurigo nodularis and chronic cough associated with IPF, as well as for other serious neurologically mediated conditions, will depend on several factors, including the following: </w:t>
      </w:r>
    </w:p>
    <w:tbl>
      <w:tblPr>
        <w:tblW w:w="8905" w:type="dxa"/>
        <w:jc w:val="left"/>
        <w:tblInd w:w="0" w:type="dxa"/>
        <w:tblCellMar>
          <w:top w:w="0" w:type="dxa"/>
          <w:left w:w="0" w:type="dxa"/>
          <w:bottom w:w="0" w:type="dxa"/>
          <w:right w:w="0" w:type="dxa"/>
        </w:tblCellMar>
      </w:tblPr>
      <w:tblGrid>
        <w:gridCol w:w="60"/>
        <w:gridCol w:w="110"/>
        <w:gridCol w:w="87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7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successfully retaining subjects in and completing our Phase 2b/3 PRISM trial and our Phase 2 CANAL trial;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0"/>
              </w:rPr>
              <w:t>initiating and successfully recruiting, enrolling and retaining subjects in and completing additional clinical and nonclinical trials of Haduvio, including the additional Phase 3 clinical trial we believe we will need to conduct for Haduvio for the treatment of pruritus associated with prurigo nodularis and the additional clinical trials we plan to conduct for the treatment of chronic cough in adults</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with IPF;</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completion of other supportive clinical studies such as our planned HAL study, a potential physical dependence study and a potential TQT study;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demonstrating safety, tolerability and efficacy profiles that are satisfactory to the FDA, EMA, MHRA and other comparable regulatory authorities for marketing approval;</w:t>
            </w:r>
          </w:p>
        </w:tc>
      </w:tr>
    </w:tbl>
    <w:tbl>
      <w:tblPr>
        <w:tblW w:w="6415" w:type="dxa"/>
        <w:jc w:val="left"/>
        <w:tblInd w:w="0" w:type="dxa"/>
        <w:tblCellMar>
          <w:top w:w="0" w:type="dxa"/>
          <w:left w:w="0" w:type="dxa"/>
          <w:bottom w:w="0" w:type="dxa"/>
          <w:right w:w="0" w:type="dxa"/>
        </w:tblCellMar>
      </w:tblPr>
      <w:tblGrid>
        <w:gridCol w:w="60"/>
        <w:gridCol w:w="110"/>
        <w:gridCol w:w="62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2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receiving timely marketing approvals from applicable regulatory authorities;</w:t>
            </w:r>
          </w:p>
        </w:tc>
      </w:tr>
    </w:tbl>
    <w:tbl>
      <w:tblPr>
        <w:tblW w:w="10000" w:type="dxa"/>
        <w:jc w:val="left"/>
        <w:tblInd w:w="0" w:type="dxa"/>
        <w:tblCellMar>
          <w:top w:w="0" w:type="dxa"/>
          <w:left w:w="0" w:type="dxa"/>
          <w:bottom w:w="0" w:type="dxa"/>
          <w:right w:w="0" w:type="dxa"/>
        </w:tblCellMar>
      </w:tblPr>
      <w:tblGrid>
        <w:gridCol w:w="60"/>
        <w:gridCol w:w="110"/>
        <w:gridCol w:w="98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8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managing the extent and cost of any required post-marketing approval commitments to applicable regulatory authorities;</w:t>
            </w:r>
          </w:p>
        </w:tc>
      </w:tr>
    </w:tbl>
    <w:tbl>
      <w:tblPr>
        <w:tblW w:w="8575" w:type="dxa"/>
        <w:jc w:val="left"/>
        <w:tblInd w:w="0" w:type="dxa"/>
        <w:tblCellMar>
          <w:top w:w="0" w:type="dxa"/>
          <w:left w:w="0" w:type="dxa"/>
          <w:bottom w:w="0" w:type="dxa"/>
          <w:right w:w="0" w:type="dxa"/>
        </w:tblCellMar>
      </w:tblPr>
      <w:tblGrid>
        <w:gridCol w:w="60"/>
        <w:gridCol w:w="110"/>
        <w:gridCol w:w="840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40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establishing and maintaining arrangements with our third-party supplier of drug substance for Haduvio;</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establishing and maintaining arrangements with third-party manufacturers of Haduvio, including developing, validating and maintaining a commercially viable manufacturing process that is compliant with current good manufacturing practices, or cGMPs;</w:t>
            </w:r>
          </w:p>
        </w:tc>
      </w:tr>
    </w:tbl>
    <w:tbl>
      <w:tblPr>
        <w:tblW w:w="10060" w:type="dxa"/>
        <w:jc w:val="left"/>
        <w:tblInd w:w="0" w:type="dxa"/>
        <w:tblCellMar>
          <w:top w:w="0" w:type="dxa"/>
          <w:left w:w="0" w:type="dxa"/>
          <w:bottom w:w="0" w:type="dxa"/>
          <w:right w:w="0" w:type="dxa"/>
        </w:tblCellMar>
      </w:tblPr>
      <w:tblGrid>
        <w:gridCol w:w="60"/>
        <w:gridCol w:w="110"/>
        <w:gridCol w:w="98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8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obtaining, maintaining and protecting our patents, trade secrets and regulatory exclusivity in the U.S. and other countries;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establishing a focused, specialty sales organization in the U.S. and successfully launching commercial sales following any marketing approval;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obtaining commercial acceptance of our products, if approved, by patients, the medical community and third-party payors and obtaining and maintaining healthcare coverage and adequate reimbursement;</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6670" w:type="dxa"/>
        <w:jc w:val="left"/>
        <w:tblInd w:w="0" w:type="dxa"/>
        <w:tblCellMar>
          <w:top w:w="0" w:type="dxa"/>
          <w:left w:w="0" w:type="dxa"/>
          <w:bottom w:w="0" w:type="dxa"/>
          <w:right w:w="0" w:type="dxa"/>
        </w:tblCellMar>
      </w:tblPr>
      <w:tblGrid>
        <w:gridCol w:w="60"/>
        <w:gridCol w:w="110"/>
        <w:gridCol w:w="65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5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maintaining an acceptable safety profile following any marketing approval; and</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compete with other therapies.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approach to the development and commercialization of Haduvio to treat serious neurologically mediated conditions is unproven.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currently focused on the development and commercialization of Haduvio to treat serious neurologically mediated conditions.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pruritus, chronic cough, and other serious neurologically mediated conditions and that Haduvio has the potential to be safe and well-tolerated, nalbuphine has not been approved in any indications other than pain. Additionally, Haduvio has not been approved in any indication. No therapies have been approved in the U.S. or Europe for the treatment of severe pruritus in prurigo nodularis or chronic cough in IPF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Clinical drug development involves a lengthy and expensive process with an uncertain outcome.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tbl>
      <w:tblPr>
        <w:tblW w:w="5305" w:type="dxa"/>
        <w:jc w:val="left"/>
        <w:tblInd w:w="0" w:type="dxa"/>
        <w:tblCellMar>
          <w:top w:w="0" w:type="dxa"/>
          <w:left w:w="0" w:type="dxa"/>
          <w:bottom w:w="0" w:type="dxa"/>
          <w:right w:w="0" w:type="dxa"/>
        </w:tblCellMar>
      </w:tblPr>
      <w:tblGrid>
        <w:gridCol w:w="60"/>
        <w:gridCol w:w="110"/>
        <w:gridCol w:w="51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1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clinical trials may produce unfavorable or inconclusive results;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may decide, or regulators may require us, to restructure clinical trials, conduct additional clinical and nonclinical trials or abandon product development programs;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number of subjects required for clinical trials may be larger than we anticipate, such as with the increase of the target number of enrolled subjects for our Phase 2b/3 PRISM trial from 240 to 360 subjects as a result of the SSRE analysis;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subject enrollment in these clinical trials may be slower than we anticipate, whether as a result of the COVID-19 pandemic or otherwise, or participants may discontinue their participation in these clinical trials at a higher rate than we anticipate, as we experienced in our Phase 2 clinical trial of Haduvio for the treatment of pruritus associated with prurigo nodularis;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cost of planned clinical trials may be greater than we anticipate, as we have experienced in our Phase 2b/3 PRISM trial as we added additional sites, increased the target number of enrolled subjects as a result of the SSRE analysis, enrollment has taken longer than expected and we have used additional incentive strategies to address site activation and enrollment;</w:t>
            </w:r>
          </w:p>
        </w:tc>
      </w:tr>
    </w:tbl>
    <w:tbl>
      <w:tblPr>
        <w:tblW w:w="8530" w:type="dxa"/>
        <w:jc w:val="left"/>
        <w:tblInd w:w="0" w:type="dxa"/>
        <w:tblCellMar>
          <w:top w:w="0" w:type="dxa"/>
          <w:left w:w="0" w:type="dxa"/>
          <w:bottom w:w="0" w:type="dxa"/>
          <w:right w:w="0" w:type="dxa"/>
        </w:tblCellMar>
      </w:tblPr>
      <w:tblGrid>
        <w:gridCol w:w="60"/>
        <w:gridCol w:w="110"/>
        <w:gridCol w:w="83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3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clinical trials sites may not have adequate staff and resources to support our trials on a timely basis;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regulators or institutional review boards may not authorize us or our investigators to commence a clinical trial or conduct a clinical trial at a prospective trial site;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may experience delays in reaching or fail to reach agreement on acceptable clinical trial contracts or clinical trial protocols with prospective trial sites;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may have to delay, suspend or terminate clinical trials for various reasons, including a finding that the participants are being exposed to unacceptable health risks, undesirable side effects or other unexpected characteristics of a product candidate;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FDA or comparable foreign regulatory authorities may disagree with our clinical trial designs or our interpretation of data from preclinical studies and clinical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FDA or comparable foreign regulatory authorities may fail to approve or subsequently find fault with the manufacturing processes or facilities of third-party manufacturers with which we enter into agreements for clinical and commercial supplies;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The COVID-19 pandemic could also result in further delays in our clinical trials due to prioritization of hospital and medical resources toward the outbreak, restrictions in travel, potential unwillingness of patients to enroll in trials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incur additional unplanned costs, which may exceed the resources that we have available or are able to obtain on reasonable terms;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 </w:t>
            </w:r>
          </w:p>
        </w:tc>
      </w:tr>
    </w:tbl>
    <w:tbl>
      <w:tblPr>
        <w:tblW w:w="3430" w:type="dxa"/>
        <w:jc w:val="left"/>
        <w:tblInd w:w="0" w:type="dxa"/>
        <w:tblCellMar>
          <w:top w:w="0" w:type="dxa"/>
          <w:left w:w="0" w:type="dxa"/>
          <w:bottom w:w="0" w:type="dxa"/>
          <w:right w:w="0" w:type="dxa"/>
        </w:tblCellMar>
      </w:tblPr>
      <w:tblGrid>
        <w:gridCol w:w="60"/>
        <w:gridCol w:w="110"/>
        <w:gridCol w:w="32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2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fail to obtain marketing approval at all; </w:t>
            </w:r>
          </w:p>
        </w:tc>
      </w:tr>
    </w:tbl>
    <w:tbl>
      <w:tblPr>
        <w:tblW w:w="10150" w:type="dxa"/>
        <w:jc w:val="left"/>
        <w:tblInd w:w="0" w:type="dxa"/>
        <w:tblCellMar>
          <w:top w:w="0" w:type="dxa"/>
          <w:left w:w="0" w:type="dxa"/>
          <w:bottom w:w="0" w:type="dxa"/>
          <w:right w:w="0" w:type="dxa"/>
        </w:tblCellMar>
      </w:tblPr>
      <w:tblGrid>
        <w:gridCol w:w="60"/>
        <w:gridCol w:w="110"/>
        <w:gridCol w:w="99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9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obtain marketing approval for indications or patient populations that are not as broad as we originally intended or desired;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obtain marketing approval with labeling that includes significant use or distribution restrictions or significant safety warnings, including boxed warnings; </w:t>
            </w:r>
          </w:p>
        </w:tc>
      </w:tr>
    </w:tbl>
    <w:tbl>
      <w:tblPr>
        <w:tblW w:w="6070" w:type="dxa"/>
        <w:jc w:val="left"/>
        <w:tblInd w:w="0" w:type="dxa"/>
        <w:tblCellMar>
          <w:top w:w="0" w:type="dxa"/>
          <w:left w:w="0" w:type="dxa"/>
          <w:bottom w:w="0" w:type="dxa"/>
          <w:right w:w="0" w:type="dxa"/>
        </w:tblCellMar>
      </w:tblPr>
      <w:tblGrid>
        <w:gridCol w:w="60"/>
        <w:gridCol w:w="110"/>
        <w:gridCol w:w="59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9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be subject to additional post-marketing testing or other requirements; or </w:t>
            </w:r>
          </w:p>
        </w:tc>
      </w:tr>
    </w:tbl>
    <w:tbl>
      <w:tblPr>
        <w:tblW w:w="7225" w:type="dxa"/>
        <w:jc w:val="left"/>
        <w:tblInd w:w="0" w:type="dxa"/>
        <w:tblCellMar>
          <w:top w:w="0" w:type="dxa"/>
          <w:left w:w="0" w:type="dxa"/>
          <w:bottom w:w="0" w:type="dxa"/>
          <w:right w:w="0" w:type="dxa"/>
        </w:tblCellMar>
      </w:tblPr>
      <w:tblGrid>
        <w:gridCol w:w="60"/>
        <w:gridCol w:w="110"/>
        <w:gridCol w:w="70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be required to remove the product from the market after obtaining marketing approval.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failure to successfully and timely complete clinical trials of Haduvio for the treatment of pruritus associated with prurigo nodularis, chronic cough in IPF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clinical trials may fail to demonstrate adequately the safety and efficacy of Haduvio or any future product candidates, which would likely prevent or delay regulatory approval and commercialization.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pruritus associated with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pruritus associated with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Haduvio does not achieve the primary endpoint in our Phase 2b/3 PRISM trial or the FDA does not otherwise believe that the results of the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pruritus associated with prurigo nodularis.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Use of patient-reported outcome assessments, or PROs, in our clinical trials and high placebo response rates may delay or impair the development of Haduvio or adversely impact our clinical trials.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 clinical trial of Haduvio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Phase 2b/3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PROs for the assessment of pruritus have historically been observed to have high placebo group response rates. We observed this in some of our clinical trials of Haduvio. For example, in our Phase 2 clinical trial of Haduvio for the treatment of pruritus associated with prurigo nodularis, we observed a mean reduction from baseline in WI-NRS score for the trial’s modified intention-to-treat population of 1.75 points for placebo as compared to 2.14 points for Haduvio dosed twice-daily at 81 mg and 2.51 points for Haduvio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experience delays or difficulties in the enrollment of subjects in clinical trials, our receipt of necessary regulatory approvals could be delayed or prevented.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not be able to initiate or continue clinical trials for Haduvio or any future product candidate if we are unable to locate and enroll a sufficient number of eligible subjects to participate in clinical trials as required by the FDA or comparable foreign regulatory authorities. Patient enrollment is a significant factor in the timing of our clinical trials and is affected by many factors, including:</w:t>
      </w:r>
    </w:p>
    <w:tbl>
      <w:tblPr>
        <w:tblW w:w="4510" w:type="dxa"/>
        <w:jc w:val="left"/>
        <w:tblInd w:w="0" w:type="dxa"/>
        <w:tblCellMar>
          <w:top w:w="0" w:type="dxa"/>
          <w:left w:w="0" w:type="dxa"/>
          <w:bottom w:w="0" w:type="dxa"/>
          <w:right w:w="0" w:type="dxa"/>
        </w:tblCellMar>
      </w:tblPr>
      <w:tblGrid>
        <w:gridCol w:w="60"/>
        <w:gridCol w:w="110"/>
        <w:gridCol w:w="43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size and nature of the eligible patient population;</w:t>
            </w:r>
          </w:p>
        </w:tc>
      </w:tr>
    </w:tbl>
    <w:tbl>
      <w:tblPr>
        <w:tblW w:w="3970" w:type="dxa"/>
        <w:jc w:val="left"/>
        <w:tblInd w:w="0" w:type="dxa"/>
        <w:tblCellMar>
          <w:top w:w="0" w:type="dxa"/>
          <w:left w:w="0" w:type="dxa"/>
          <w:bottom w:w="0" w:type="dxa"/>
          <w:right w:w="0" w:type="dxa"/>
        </w:tblCellMar>
      </w:tblPr>
      <w:tblGrid>
        <w:gridCol w:w="60"/>
        <w:gridCol w:w="110"/>
        <w:gridCol w:w="38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severity of the disease under investigation;</w:t>
            </w:r>
          </w:p>
        </w:tc>
      </w:tr>
    </w:tbl>
    <w:tbl>
      <w:tblPr>
        <w:tblW w:w="4210" w:type="dxa"/>
        <w:jc w:val="left"/>
        <w:tblInd w:w="0" w:type="dxa"/>
        <w:tblCellMar>
          <w:top w:w="0" w:type="dxa"/>
          <w:left w:w="0" w:type="dxa"/>
          <w:bottom w:w="0" w:type="dxa"/>
          <w:right w:w="0" w:type="dxa"/>
        </w:tblCellMar>
      </w:tblPr>
      <w:tblGrid>
        <w:gridCol w:w="60"/>
        <w:gridCol w:w="110"/>
        <w:gridCol w:w="40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0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proximity of eligible patients to clinical sites;</w:t>
            </w:r>
          </w:p>
        </w:tc>
      </w:tr>
    </w:tbl>
    <w:tbl>
      <w:tblPr>
        <w:tblW w:w="3325" w:type="dxa"/>
        <w:jc w:val="left"/>
        <w:tblInd w:w="0" w:type="dxa"/>
        <w:tblCellMar>
          <w:top w:w="0" w:type="dxa"/>
          <w:left w:w="0" w:type="dxa"/>
          <w:bottom w:w="0" w:type="dxa"/>
          <w:right w:w="0" w:type="dxa"/>
        </w:tblCellMar>
      </w:tblPr>
      <w:tblGrid>
        <w:gridCol w:w="60"/>
        <w:gridCol w:w="110"/>
        <w:gridCol w:w="31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1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patient referral practices of physicians;</w:t>
            </w:r>
          </w:p>
        </w:tc>
      </w:tr>
    </w:tbl>
    <w:tbl>
      <w:tblPr>
        <w:tblW w:w="3595" w:type="dxa"/>
        <w:jc w:val="left"/>
        <w:tblInd w:w="0" w:type="dxa"/>
        <w:tblCellMar>
          <w:top w:w="0" w:type="dxa"/>
          <w:left w:w="0" w:type="dxa"/>
          <w:bottom w:w="0" w:type="dxa"/>
          <w:right w:w="0" w:type="dxa"/>
        </w:tblCellMar>
      </w:tblPr>
      <w:tblGrid>
        <w:gridCol w:w="60"/>
        <w:gridCol w:w="110"/>
        <w:gridCol w:w="34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4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eligibility criteria for the clinical trial;</w:t>
            </w:r>
          </w:p>
        </w:tc>
      </w:tr>
    </w:tbl>
    <w:tbl>
      <w:tblPr>
        <w:tblW w:w="2635" w:type="dxa"/>
        <w:jc w:val="left"/>
        <w:tblInd w:w="0" w:type="dxa"/>
        <w:tblCellMar>
          <w:top w:w="0" w:type="dxa"/>
          <w:left w:w="0" w:type="dxa"/>
          <w:bottom w:w="0" w:type="dxa"/>
          <w:right w:w="0" w:type="dxa"/>
        </w:tblCellMar>
      </w:tblPr>
      <w:tblGrid>
        <w:gridCol w:w="60"/>
        <w:gridCol w:w="110"/>
        <w:gridCol w:w="24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4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design of the clinical trial;</w:t>
            </w:r>
          </w:p>
        </w:tc>
      </w:tr>
    </w:tbl>
    <w:tbl>
      <w:tblPr>
        <w:tblW w:w="3235" w:type="dxa"/>
        <w:jc w:val="left"/>
        <w:tblInd w:w="0" w:type="dxa"/>
        <w:tblCellMar>
          <w:top w:w="0" w:type="dxa"/>
          <w:left w:w="0" w:type="dxa"/>
          <w:bottom w:w="0" w:type="dxa"/>
          <w:right w:w="0" w:type="dxa"/>
        </w:tblCellMar>
      </w:tblPr>
      <w:tblGrid>
        <w:gridCol w:w="60"/>
        <w:gridCol w:w="110"/>
        <w:gridCol w:w="30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0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efforts to facilitate timely enrollment;</w:t>
            </w:r>
          </w:p>
        </w:tc>
      </w:tr>
    </w:tbl>
    <w:tbl>
      <w:tblPr>
        <w:tblW w:w="2230" w:type="dxa"/>
        <w:jc w:val="left"/>
        <w:tblInd w:w="0" w:type="dxa"/>
        <w:tblCellMar>
          <w:top w:w="0" w:type="dxa"/>
          <w:left w:w="0" w:type="dxa"/>
          <w:bottom w:w="0" w:type="dxa"/>
          <w:right w:w="0" w:type="dxa"/>
        </w:tblCellMar>
      </w:tblPr>
      <w:tblGrid>
        <w:gridCol w:w="60"/>
        <w:gridCol w:w="110"/>
        <w:gridCol w:w="20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0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competing clinical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clinicians’ and patients’ perceptions as to the potential advantages and risks of the product candidate being studied in relation to other available therapies, including any new drugs that may be approved for the indications under investigation; and </w:t>
            </w:r>
          </w:p>
        </w:tc>
      </w:tr>
    </w:tbl>
    <w:tbl>
      <w:tblPr>
        <w:tblW w:w="3355" w:type="dxa"/>
        <w:jc w:val="left"/>
        <w:tblInd w:w="0" w:type="dxa"/>
        <w:tblCellMar>
          <w:top w:w="0" w:type="dxa"/>
          <w:left w:w="0" w:type="dxa"/>
          <w:bottom w:w="0" w:type="dxa"/>
          <w:right w:w="0" w:type="dxa"/>
        </w:tblCellMar>
      </w:tblPr>
      <w:tblGrid>
        <w:gridCol w:w="60"/>
        <w:gridCol w:w="110"/>
        <w:gridCol w:w="31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1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impact of the COVID-19 pandemic.</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particular, the successful completion of our clinical development program for Haduvio for the treatment of pruritus associated with prurigo nodularis is dependent upon our ability to enroll a sufficient number of subjects with this severe condition. We experienced delays and difficulties in the enrollment of subjects in our clinical trials, including our Phase 2b/3 PRISM trial and our Phase 2 CANAL trial, which have delayed the completion of our trials.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companies are conducting clinical trials or have announced plans for future clinical trials that are seeking or are likely to seek to enroll patients with prurigo nodularis or chronic cough associated with IPF, which are the same conditions for which we are or will be conducting clinical trials and patients are generally only able to enroll in a single trial at a time. In addition, although there are no drugs approved in the U.S.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 Similarly, many patients use various treatments off-label to treat chronic cough associated with IPF and these patients and their physicians may also be reluctant to forgo, discontinue or otherwise alter their use of such off-label therapeutic approaches to participate in our clinical trials.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response to the COVID-19 pandemic, the FDA issued guidance on March 18, 2020, and updated it on July 2, 2020, January 27, 2021 and August 30, 2021, to address the conduct of clinical trials during the pandemic. The guidance sets out a number of considerations for sponsors of clinical trials impacted by the pandemic, including the requirement to include in a clinical study report (or as a separate document) contingency measures implemented to manage the study, and any disruption of the study, as a result of the COVID-19 pandemic; a list of all study participants affected by COVID-19 pandemic related study disruptions by a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study. In its most recent update to this guidance, the FDA addressed questions received during the past year from clinical practitioners who are adapting their operations in a pandemic environment. These questions focused on, among other things, when to suspend, continue or initiate a trial and how to submit changes to protocols for investigational NDAs and handle remote site monitoring visits. There is no assurance that this guidance governing clinical studies during the pandemic will remain in effect or, even if it does, that it will help address the risks and challenges enumerated above.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Adverse events or undesirable side effects caused by, or other unexpected properties of, Haduvio or any future product candidate may be identified during development and could delay or prevent the marketing approval or limit the use of Haduvio or any future product candidate.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Adverse events or undesirable side effects caused by or other unexpected properties of, Haduvio or any future product candidate could cause us, an institutional review board or regulatory authorities to interrupt, delay or halt clinical trials of such product candidate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may be required to conduct a clinical trial of Haduvio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our Phase 2 clinical trial of Haduvio for the treatment of pruritus associated with prurigo nodularis, the most frequently reported adverse events associated with Haduvio were nausea, dizziness and headache. In the open label extension of the trial, nausea, dizziness and fatigue were reported. Across both the Phase 2 clinical trial of Haduvio for the treatment of pruritus associated with prurigo nodularis and the open label extension, a total of four subjects reported SAEs, but none of these events was attributed to Haduvio.</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our Phase 2b/3 trial of Haduvio in patients with uremic pruritus, the most frequently reported adverse events attributed to Haduvio were nausea, vomiting, somnolence and dizziness. In patients with uremic pruritus, SAEs were frequent but were primarily related to associated underlying diseases or to procedural complications related to hemodialysis.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Many currently approved µ-opioid products are subject to restrictive marketing and distribution regulations which, if applied to Haduvio, could potentially restrict its use and harm our ability to generate profits.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HAL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Results of preclinical studies and clinical trials may not be predictive of results of later clinical trials.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 The results of our Phase 2 clinical trial of Haduvio for the treatment of pruritus associated with prurigo nodularis may not be predictive of the results of our Phase 2b/3 PRISM trial, and the interim results of our Phase 2 CANAL trial may not be predictive of the full trial results for the Phase 2 CANAL trial or of future trials of Haduvio for the treatment of chronic cough in adults with IPF.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 a meeting with the FDA following the completion of our Phase 2 clinical trial of Haduvio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subjects in each arm of the Phase 2 clinical trial and the large differential discontinuation rate among the three treatment arms, as well as our plan to increase the fixed-dose treatment duration from eight weeks in the Phase 2 clinical trial to 12 weeks in our Phase 2b/3 PRISM trial.</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Phase 2b/3 PRISM trial based on an assumed discontinuation rate that takes into account observed discontinuation rates in our Phase 2 clinical trial of Haduvio for the treatment of pruritus associated with prurigo nodularis. If enrolled subjects withdraw from our Phase 2b/3 PRISM trial at a rate that is higher than expected, as occurred in our Phase 2 clinical trial of Haduvio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some of our data for Haduvio for the treatment of pruritus is drawn from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analyses of data subsets from our Phase 2 clinical trials of Haduvio in patients with prurigo nodularis and uremic pruritus. While we believe these data may be useful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informing the design of our Phase 2b/3 PRISM trial and other future Phase 3 clinical trials for Haduvio,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analyses performed after unmasking trial results can result in the introduction of bias and may not be predictive of success in Phase 3 clinical trials.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 </w:t>
      </w:r>
    </w:p>
    <w:tbl>
      <w:tblPr>
        <w:tblW w:w="7240" w:type="dxa"/>
        <w:jc w:val="left"/>
        <w:tblInd w:w="0" w:type="dxa"/>
        <w:tblCellMar>
          <w:top w:w="0" w:type="dxa"/>
          <w:left w:w="0" w:type="dxa"/>
          <w:bottom w:w="0" w:type="dxa"/>
          <w:right w:w="0" w:type="dxa"/>
        </w:tblCellMar>
      </w:tblPr>
      <w:tblGrid>
        <w:gridCol w:w="60"/>
        <w:gridCol w:w="110"/>
        <w:gridCol w:w="70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regulatory authorities may withdraw their approval of the product or seize the product; </w:t>
            </w:r>
          </w:p>
        </w:tc>
      </w:tr>
    </w:tbl>
    <w:tbl>
      <w:tblPr>
        <w:tblW w:w="10060" w:type="dxa"/>
        <w:jc w:val="left"/>
        <w:tblInd w:w="0" w:type="dxa"/>
        <w:tblCellMar>
          <w:top w:w="0" w:type="dxa"/>
          <w:left w:w="0" w:type="dxa"/>
          <w:bottom w:w="0" w:type="dxa"/>
          <w:right w:w="0" w:type="dxa"/>
        </w:tblCellMar>
      </w:tblPr>
      <w:tblGrid>
        <w:gridCol w:w="60"/>
        <w:gridCol w:w="110"/>
        <w:gridCol w:w="98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8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be required to recall the product, change the way the product is administered or conduct additional clinical trials; </w:t>
            </w:r>
          </w:p>
        </w:tc>
      </w:tr>
    </w:tbl>
    <w:tbl>
      <w:tblPr>
        <w:tblW w:w="8920" w:type="dxa"/>
        <w:jc w:val="left"/>
        <w:tblInd w:w="0" w:type="dxa"/>
        <w:tblCellMar>
          <w:top w:w="0" w:type="dxa"/>
          <w:left w:w="0" w:type="dxa"/>
          <w:bottom w:w="0" w:type="dxa"/>
          <w:right w:w="0" w:type="dxa"/>
        </w:tblCellMar>
      </w:tblPr>
      <w:tblGrid>
        <w:gridCol w:w="60"/>
        <w:gridCol w:w="110"/>
        <w:gridCol w:w="87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7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additional restrictions may be imposed on the marketing of or the manufacturing processes for, the product; </w:t>
            </w:r>
          </w:p>
        </w:tc>
      </w:tr>
    </w:tbl>
    <w:tbl>
      <w:tblPr>
        <w:tblW w:w="7225" w:type="dxa"/>
        <w:jc w:val="left"/>
        <w:tblInd w:w="0" w:type="dxa"/>
        <w:tblCellMar>
          <w:top w:w="0" w:type="dxa"/>
          <w:left w:w="0" w:type="dxa"/>
          <w:bottom w:w="0" w:type="dxa"/>
          <w:right w:w="0" w:type="dxa"/>
        </w:tblCellMar>
      </w:tblPr>
      <w:tblGrid>
        <w:gridCol w:w="60"/>
        <w:gridCol w:w="110"/>
        <w:gridCol w:w="70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be subject to fines, injunctions or the imposition of civil or criminal penalties;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regulatory authorities may require the addition of labeling statements, such as a “black box” warning or a contraindication;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be required to create a Medication Guide outlining the risks of the previously unidentified side effects for distribution to patients; </w:t>
            </w:r>
          </w:p>
        </w:tc>
      </w:tr>
    </w:tbl>
    <w:tbl>
      <w:tblPr>
        <w:tblW w:w="5170" w:type="dxa"/>
        <w:jc w:val="left"/>
        <w:tblInd w:w="0" w:type="dxa"/>
        <w:tblCellMar>
          <w:top w:w="0" w:type="dxa"/>
          <w:left w:w="0" w:type="dxa"/>
          <w:bottom w:w="0" w:type="dxa"/>
          <w:right w:w="0" w:type="dxa"/>
        </w:tblCellMar>
      </w:tblPr>
      <w:tblGrid>
        <w:gridCol w:w="60"/>
        <w:gridCol w:w="110"/>
        <w:gridCol w:w="50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0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could be sued and held liable for harm caused to patients; </w:t>
            </w:r>
          </w:p>
        </w:tc>
      </w:tr>
    </w:tbl>
    <w:tbl>
      <w:tblPr>
        <w:tblW w:w="4000" w:type="dxa"/>
        <w:jc w:val="left"/>
        <w:tblInd w:w="0" w:type="dxa"/>
        <w:tblCellMar>
          <w:top w:w="0" w:type="dxa"/>
          <w:left w:w="0" w:type="dxa"/>
          <w:bottom w:w="0" w:type="dxa"/>
          <w:right w:w="0" w:type="dxa"/>
        </w:tblCellMar>
      </w:tblPr>
      <w:tblGrid>
        <w:gridCol w:w="60"/>
        <w:gridCol w:w="110"/>
        <w:gridCol w:w="38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product may become less competitive; and </w:t>
            </w:r>
          </w:p>
        </w:tc>
      </w:tr>
    </w:tbl>
    <w:tbl>
      <w:tblPr>
        <w:tblW w:w="2320" w:type="dxa"/>
        <w:jc w:val="left"/>
        <w:tblInd w:w="0" w:type="dxa"/>
        <w:tblCellMar>
          <w:top w:w="0" w:type="dxa"/>
          <w:left w:w="0" w:type="dxa"/>
          <w:bottom w:w="0" w:type="dxa"/>
          <w:right w:w="0" w:type="dxa"/>
        </w:tblCellMar>
      </w:tblPr>
      <w:tblGrid>
        <w:gridCol w:w="60"/>
        <w:gridCol w:w="110"/>
        <w:gridCol w:w="21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1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reputation may suffer.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Any of these events could harm our business and operations and could negatively impact our stock price.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 </w:t>
      </w:r>
    </w:p>
    <w:tbl>
      <w:tblPr>
        <w:tblW w:w="3295" w:type="dxa"/>
        <w:jc w:val="left"/>
        <w:tblInd w:w="0" w:type="dxa"/>
        <w:tblCellMar>
          <w:top w:w="0" w:type="dxa"/>
          <w:left w:w="0" w:type="dxa"/>
          <w:bottom w:w="0" w:type="dxa"/>
          <w:right w:w="0" w:type="dxa"/>
        </w:tblCellMar>
      </w:tblPr>
      <w:tblGrid>
        <w:gridCol w:w="60"/>
        <w:gridCol w:w="110"/>
        <w:gridCol w:w="31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1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efficacy and safety of the product; </w:t>
            </w:r>
          </w:p>
        </w:tc>
      </w:tr>
    </w:tbl>
    <w:tbl>
      <w:tblPr>
        <w:tblW w:w="6955" w:type="dxa"/>
        <w:jc w:val="left"/>
        <w:tblInd w:w="0" w:type="dxa"/>
        <w:tblCellMar>
          <w:top w:w="0" w:type="dxa"/>
          <w:left w:w="0" w:type="dxa"/>
          <w:bottom w:w="0" w:type="dxa"/>
          <w:right w:w="0" w:type="dxa"/>
        </w:tblCellMar>
      </w:tblPr>
      <w:tblGrid>
        <w:gridCol w:w="60"/>
        <w:gridCol w:w="110"/>
        <w:gridCol w:w="67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7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potential and perceived advantages of the product compared to other therapies; </w:t>
            </w:r>
          </w:p>
        </w:tc>
      </w:tr>
    </w:tbl>
    <w:tbl>
      <w:tblPr>
        <w:tblW w:w="4015" w:type="dxa"/>
        <w:jc w:val="left"/>
        <w:tblInd w:w="0" w:type="dxa"/>
        <w:tblCellMar>
          <w:top w:w="0" w:type="dxa"/>
          <w:left w:w="0" w:type="dxa"/>
          <w:bottom w:w="0" w:type="dxa"/>
          <w:right w:w="0" w:type="dxa"/>
        </w:tblCellMar>
      </w:tblPr>
      <w:tblGrid>
        <w:gridCol w:w="60"/>
        <w:gridCol w:w="110"/>
        <w:gridCol w:w="38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prevalence and severity of any side effects; </w:t>
            </w:r>
          </w:p>
        </w:tc>
      </w:tr>
    </w:tbl>
    <w:tbl>
      <w:tblPr>
        <w:tblW w:w="8620" w:type="dxa"/>
        <w:jc w:val="left"/>
        <w:tblInd w:w="0" w:type="dxa"/>
        <w:tblCellMar>
          <w:top w:w="0" w:type="dxa"/>
          <w:left w:w="0" w:type="dxa"/>
          <w:bottom w:w="0" w:type="dxa"/>
          <w:right w:w="0" w:type="dxa"/>
        </w:tblCellMar>
      </w:tblPr>
      <w:tblGrid>
        <w:gridCol w:w="60"/>
        <w:gridCol w:w="110"/>
        <w:gridCol w:w="84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4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potential that the DEA could determine that Haduvio should be classified as a controlled substance; </w:t>
            </w:r>
          </w:p>
        </w:tc>
      </w:tr>
    </w:tbl>
    <w:tbl>
      <w:tblPr>
        <w:tblW w:w="4945" w:type="dxa"/>
        <w:jc w:val="left"/>
        <w:tblInd w:w="0" w:type="dxa"/>
        <w:tblCellMar>
          <w:top w:w="0" w:type="dxa"/>
          <w:left w:w="0" w:type="dxa"/>
          <w:bottom w:w="0" w:type="dxa"/>
          <w:right w:w="0" w:type="dxa"/>
        </w:tblCellMar>
      </w:tblPr>
      <w:tblGrid>
        <w:gridCol w:w="60"/>
        <w:gridCol w:w="110"/>
        <w:gridCol w:w="47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7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clinical indications for which the product is approved;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0" w:after="0"/>
        <w:rPr/>
      </w:pPr>
      <w:r>
        <w:rPr/>
        <w:t> </w:t>
      </w:r>
    </w:p>
    <w:tbl>
      <w:tblPr>
        <w:tblW w:w="9250" w:type="dxa"/>
        <w:jc w:val="left"/>
        <w:tblInd w:w="0" w:type="dxa"/>
        <w:tblCellMar>
          <w:top w:w="0" w:type="dxa"/>
          <w:left w:w="0" w:type="dxa"/>
          <w:bottom w:w="0" w:type="dxa"/>
          <w:right w:w="0" w:type="dxa"/>
        </w:tblCellMar>
      </w:tblPr>
      <w:tblGrid>
        <w:gridCol w:w="60"/>
        <w:gridCol w:w="110"/>
        <w:gridCol w:w="90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0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whether the product is designated under physician treatment guidelines as a first-, second- or third-line therapy; </w:t>
            </w:r>
          </w:p>
        </w:tc>
      </w:tr>
    </w:tbl>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offer the product for sale at competitive prices; </w:t>
            </w:r>
          </w:p>
        </w:tc>
      </w:tr>
    </w:tbl>
    <w:tbl>
      <w:tblPr>
        <w:tblW w:w="4615" w:type="dxa"/>
        <w:jc w:val="left"/>
        <w:tblInd w:w="0" w:type="dxa"/>
        <w:tblCellMar>
          <w:top w:w="0" w:type="dxa"/>
          <w:left w:w="0" w:type="dxa"/>
          <w:bottom w:w="0" w:type="dxa"/>
          <w:right w:w="0" w:type="dxa"/>
        </w:tblCellMar>
      </w:tblPr>
      <w:tblGrid>
        <w:gridCol w:w="60"/>
        <w:gridCol w:w="110"/>
        <w:gridCol w:w="44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4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product’s convenience and ease of administration; </w:t>
            </w:r>
          </w:p>
        </w:tc>
      </w:tr>
    </w:tbl>
    <w:tbl>
      <w:tblPr>
        <w:tblW w:w="8020" w:type="dxa"/>
        <w:jc w:val="left"/>
        <w:tblInd w:w="0" w:type="dxa"/>
        <w:tblCellMar>
          <w:top w:w="0" w:type="dxa"/>
          <w:left w:w="0" w:type="dxa"/>
          <w:bottom w:w="0" w:type="dxa"/>
          <w:right w:w="0" w:type="dxa"/>
        </w:tblCellMar>
      </w:tblPr>
      <w:tblGrid>
        <w:gridCol w:w="60"/>
        <w:gridCol w:w="110"/>
        <w:gridCol w:w="78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8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willingness of the target patient population to try and of physicians to prescribe the product; </w:t>
            </w:r>
          </w:p>
        </w:tc>
      </w:tr>
    </w:tbl>
    <w:tbl>
      <w:tblPr>
        <w:tblW w:w="9235" w:type="dxa"/>
        <w:jc w:val="left"/>
        <w:tblInd w:w="0" w:type="dxa"/>
        <w:tblCellMar>
          <w:top w:w="0" w:type="dxa"/>
          <w:left w:w="0" w:type="dxa"/>
          <w:bottom w:w="0" w:type="dxa"/>
          <w:right w:w="0" w:type="dxa"/>
        </w:tblCellMar>
      </w:tblPr>
      <w:tblGrid>
        <w:gridCol w:w="60"/>
        <w:gridCol w:w="110"/>
        <w:gridCol w:w="90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0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limitations or warnings, including distribution or use restrictions contained in the product’s approved labeling; </w:t>
            </w:r>
          </w:p>
        </w:tc>
      </w:tr>
    </w:tbl>
    <w:tbl>
      <w:tblPr>
        <w:tblW w:w="6070" w:type="dxa"/>
        <w:jc w:val="left"/>
        <w:tblInd w:w="0" w:type="dxa"/>
        <w:tblCellMar>
          <w:top w:w="0" w:type="dxa"/>
          <w:left w:w="0" w:type="dxa"/>
          <w:bottom w:w="0" w:type="dxa"/>
          <w:right w:w="0" w:type="dxa"/>
        </w:tblCellMar>
      </w:tblPr>
      <w:tblGrid>
        <w:gridCol w:w="60"/>
        <w:gridCol w:w="110"/>
        <w:gridCol w:w="59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9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strength of sales, marketing and distribution support for the product; </w:t>
            </w:r>
          </w:p>
        </w:tc>
      </w:tr>
    </w:tbl>
    <w:tbl>
      <w:tblPr>
        <w:tblW w:w="5095" w:type="dxa"/>
        <w:jc w:val="left"/>
        <w:tblInd w:w="0" w:type="dxa"/>
        <w:tblCellMar>
          <w:top w:w="0" w:type="dxa"/>
          <w:left w:w="0" w:type="dxa"/>
          <w:bottom w:w="0" w:type="dxa"/>
          <w:right w:w="0" w:type="dxa"/>
        </w:tblCellMar>
      </w:tblPr>
      <w:tblGrid>
        <w:gridCol w:w="60"/>
        <w:gridCol w:w="110"/>
        <w:gridCol w:w="49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approval of other new products for the same indications; </w:t>
            </w:r>
          </w:p>
        </w:tc>
      </w:tr>
    </w:tbl>
    <w:tbl>
      <w:tblPr>
        <w:tblW w:w="6775" w:type="dxa"/>
        <w:jc w:val="left"/>
        <w:tblInd w:w="0" w:type="dxa"/>
        <w:tblCellMar>
          <w:top w:w="0" w:type="dxa"/>
          <w:left w:w="0" w:type="dxa"/>
          <w:bottom w:w="0" w:type="dxa"/>
          <w:right w:w="0" w:type="dxa"/>
        </w:tblCellMar>
      </w:tblPr>
      <w:tblGrid>
        <w:gridCol w:w="60"/>
        <w:gridCol w:w="110"/>
        <w:gridCol w:w="660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60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timing of market introduction of the product as well as competitive products; </w:t>
            </w:r>
          </w:p>
        </w:tc>
      </w:tr>
    </w:tbl>
    <w:tbl>
      <w:tblPr>
        <w:tblW w:w="7285" w:type="dxa"/>
        <w:jc w:val="left"/>
        <w:tblInd w:w="0" w:type="dxa"/>
        <w:tblCellMar>
          <w:top w:w="0" w:type="dxa"/>
          <w:left w:w="0" w:type="dxa"/>
          <w:bottom w:w="0" w:type="dxa"/>
          <w:right w:w="0" w:type="dxa"/>
        </w:tblCellMar>
      </w:tblPr>
      <w:tblGrid>
        <w:gridCol w:w="60"/>
        <w:gridCol w:w="110"/>
        <w:gridCol w:w="71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1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adverse publicity about the product or favorable publicity about competitive products; </w:t>
            </w:r>
          </w:p>
        </w:tc>
      </w:tr>
    </w:tbl>
    <w:tbl>
      <w:tblPr>
        <w:tblW w:w="2980" w:type="dxa"/>
        <w:jc w:val="left"/>
        <w:tblInd w:w="0" w:type="dxa"/>
        <w:tblCellMar>
          <w:top w:w="0" w:type="dxa"/>
          <w:left w:w="0" w:type="dxa"/>
          <w:bottom w:w="0" w:type="dxa"/>
          <w:right w:w="0" w:type="dxa"/>
        </w:tblCellMar>
      </w:tblPr>
      <w:tblGrid>
        <w:gridCol w:w="60"/>
        <w:gridCol w:w="110"/>
        <w:gridCol w:w="28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8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potential product liability claims; </w:t>
            </w:r>
          </w:p>
        </w:tc>
      </w:tr>
    </w:tbl>
    <w:tbl>
      <w:tblPr>
        <w:tblW w:w="6610" w:type="dxa"/>
        <w:jc w:val="left"/>
        <w:tblInd w:w="0" w:type="dxa"/>
        <w:tblCellMar>
          <w:top w:w="0" w:type="dxa"/>
          <w:left w:w="0" w:type="dxa"/>
          <w:bottom w:w="0" w:type="dxa"/>
          <w:right w:w="0" w:type="dxa"/>
        </w:tblCellMar>
      </w:tblPr>
      <w:tblGrid>
        <w:gridCol w:w="60"/>
        <w:gridCol w:w="110"/>
        <w:gridCol w:w="64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4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changes in the standard of care for the targeted indications for the product;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availability and amount of coverage and reimbursement from government payors, managed care plans and other third-party payors. </w:t>
            </w:r>
          </w:p>
        </w:tc>
      </w:tr>
    </w:tbl>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pruritus associated with prurigo nodularis and for the treatment of chronic cough in adults with IPF. However, the development of Haduvio for these indications may ultimately prove to be unsuccessful or less successful than another product candidate or other indications that we might have chosen to pursue with our limited resources.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unable to establish sales, marketing and distribution capabilities or enter into sales, marketing and distribution arrangements with third parties, we may not be successful in commercializing Haduvio or any future product candidates if and when they are approved.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U.S. directly through our own focused, specialty sales organization. If Haduvio receives marketing approval outside the U.S., we may develop a variety of collaboration, distribution and other marketing arrangements with one or more third parties to commercialize the product in those markets.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do not establish sales, marketing and distribution capabilities, either on our own or in collaboration with third parties, we will not be successful in commercializing any product candidate that receives marketing approval.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face substantial competition, which may result in others developing or commercializing products before or more successfully than we do.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Haduvio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Sanofi has reported positive data from two Phase 3 trials of Dupixent for the treatment of prurigo nodularis and that it plans regulatory submissions around the world for this indication in 2022.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vixarelimab, a monoclonal antibody targeting oncostatin M receptor beta being developed by Kiniksa Pharmaceuticals; abrocitinib, an oral small molecule targeting the janus kinase 1, or JAK1, receptor being developed by Pfizer Inc.; INCB054707, an oral small molecule targeting the JAK 1 receptor being developed by Incyte;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pruritus associated with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is approved for the treatment of chronic cough in adults with IPF, we expect that it may compete with product candidates currently in clinical development for the treatment of chronic cough in adults with IPF, such as orvepitant, which is being developed by Nerre Therapeutics, and ifenprodil which is being developed by Algernon Pharmeceuticals. We expect that it might also compete with other product candidates currently in development or submitted for approval to the FDA for the treatment of chronic refractory cough and unexplained chronic cough by companies including Merck, Shionogi, and Bellus Health. In addition, it is possible that product candidates currently in development for the treatment of IPF could, if approved, reduce the need for therapies to treat chronic cough associated with IPF.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we are able to commercialize a product candidate, the product may become subject to unfavorable pricing regulations, third-party payor reimbursement practices or healthcare reform initiatives, any of which could harm our business.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Product liability lawsuits could divert our resources, cause us to incur substantial liabilities and limit commercialization of any products that we may develop or in-license.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pPr>
      <w:r>
        <w:rPr/>
        <w:t> </w:t>
      </w:r>
    </w:p>
    <w:tbl>
      <w:tblPr>
        <w:tblW w:w="5920" w:type="dxa"/>
        <w:jc w:val="left"/>
        <w:tblInd w:w="0" w:type="dxa"/>
        <w:tblCellMar>
          <w:top w:w="0" w:type="dxa"/>
          <w:left w:w="0" w:type="dxa"/>
          <w:bottom w:w="0" w:type="dxa"/>
          <w:right w:w="0" w:type="dxa"/>
        </w:tblCellMar>
      </w:tblPr>
      <w:tblGrid>
        <w:gridCol w:w="60"/>
        <w:gridCol w:w="110"/>
        <w:gridCol w:w="57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7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decreased demand for any products that we may develop or in-license; </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injury to our reputation and significant negative media attention; </w:t>
            </w:r>
          </w:p>
        </w:tc>
      </w:tr>
    </w:tbl>
    <w:tbl>
      <w:tblPr>
        <w:tblW w:w="3445" w:type="dxa"/>
        <w:jc w:val="left"/>
        <w:tblInd w:w="0" w:type="dxa"/>
        <w:tblCellMar>
          <w:top w:w="0" w:type="dxa"/>
          <w:left w:w="0" w:type="dxa"/>
          <w:bottom w:w="0" w:type="dxa"/>
          <w:right w:w="0" w:type="dxa"/>
        </w:tblCellMar>
      </w:tblPr>
      <w:tblGrid>
        <w:gridCol w:w="60"/>
        <w:gridCol w:w="110"/>
        <w:gridCol w:w="32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2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withdrawal of clinical trial participants; </w:t>
            </w:r>
          </w:p>
        </w:tc>
      </w:tr>
    </w:tbl>
    <w:tbl>
      <w:tblPr>
        <w:tblW w:w="4000" w:type="dxa"/>
        <w:jc w:val="left"/>
        <w:tblInd w:w="0" w:type="dxa"/>
        <w:tblCellMar>
          <w:top w:w="0" w:type="dxa"/>
          <w:left w:w="0" w:type="dxa"/>
          <w:bottom w:w="0" w:type="dxa"/>
          <w:right w:w="0" w:type="dxa"/>
        </w:tblCellMar>
      </w:tblPr>
      <w:tblGrid>
        <w:gridCol w:w="60"/>
        <w:gridCol w:w="110"/>
        <w:gridCol w:w="38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significant costs to defend resulting litigation; </w:t>
            </w:r>
          </w:p>
        </w:tc>
      </w:tr>
    </w:tbl>
    <w:tbl>
      <w:tblPr>
        <w:tblW w:w="5080" w:type="dxa"/>
        <w:jc w:val="left"/>
        <w:tblInd w:w="0" w:type="dxa"/>
        <w:tblCellMar>
          <w:top w:w="0" w:type="dxa"/>
          <w:left w:w="0" w:type="dxa"/>
          <w:bottom w:w="0" w:type="dxa"/>
          <w:right w:w="0" w:type="dxa"/>
        </w:tblCellMar>
      </w:tblPr>
      <w:tblGrid>
        <w:gridCol w:w="60"/>
        <w:gridCol w:w="110"/>
        <w:gridCol w:w="49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substantial monetary awards to trial participants or patients; </w:t>
            </w:r>
          </w:p>
        </w:tc>
      </w:tr>
    </w:tbl>
    <w:tbl>
      <w:tblPr>
        <w:tblW w:w="1510" w:type="dxa"/>
        <w:jc w:val="left"/>
        <w:tblInd w:w="0" w:type="dxa"/>
        <w:tblCellMar>
          <w:top w:w="0" w:type="dxa"/>
          <w:left w:w="0" w:type="dxa"/>
          <w:bottom w:w="0" w:type="dxa"/>
          <w:right w:w="0" w:type="dxa"/>
        </w:tblCellMar>
      </w:tblPr>
      <w:tblGrid>
        <w:gridCol w:w="60"/>
        <w:gridCol w:w="110"/>
        <w:gridCol w:w="13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3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loss of revenue; </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0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reduced resources of our management to pursue our business strategy; and </w:t>
            </w:r>
          </w:p>
        </w:tc>
      </w:tr>
    </w:tbl>
    <w:tbl>
      <w:tblPr>
        <w:tblW w:w="5545" w:type="dxa"/>
        <w:jc w:val="left"/>
        <w:tblInd w:w="0" w:type="dxa"/>
        <w:tblCellMar>
          <w:top w:w="0" w:type="dxa"/>
          <w:left w:w="0" w:type="dxa"/>
          <w:bottom w:w="0" w:type="dxa"/>
          <w:right w:w="0" w:type="dxa"/>
        </w:tblCellMar>
      </w:tblPr>
      <w:tblGrid>
        <w:gridCol w:w="60"/>
        <w:gridCol w:w="110"/>
        <w:gridCol w:w="53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inability to commercialize any products that we may develop.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Our Dependence on Third Parties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rely on third parties to conduct our clinical trials. If they do not perform satisfactorily, our business could be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also be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contract with third parties for the manufacture, storage, packaging and distribution of Haduvio for clinical trials, including a single supplier for the active ingredient in Haduvio and expect to continue to rely on third parties for these services in connection with our future development and commercialization efforts for Haduvio and any future product candidates.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manufacturing delays if our third-party contractors prioritize the supply of other companies’ products over Haduvio or any future product candidates or otherwise fail to satisfactorily perform according to the terms of the agreements between us and them or if unforeseen events in the manufacturing process arise;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possible termination or nonrenewal of agreements by our third-party contractors at a time that is costly or inconvenient for us; </w:t>
            </w:r>
          </w:p>
        </w:tc>
      </w:tr>
    </w:tbl>
    <w:tbl>
      <w:tblPr>
        <w:tblW w:w="6310" w:type="dxa"/>
        <w:jc w:val="left"/>
        <w:tblInd w:w="0" w:type="dxa"/>
        <w:tblCellMar>
          <w:top w:w="0" w:type="dxa"/>
          <w:left w:w="0" w:type="dxa"/>
          <w:bottom w:w="0" w:type="dxa"/>
          <w:right w:w="0" w:type="dxa"/>
        </w:tblCellMar>
      </w:tblPr>
      <w:tblGrid>
        <w:gridCol w:w="60"/>
        <w:gridCol w:w="110"/>
        <w:gridCol w:w="61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1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possible breach by third-party contractors of our agreements with them; </w:t>
            </w:r>
          </w:p>
        </w:tc>
      </w:tr>
    </w:tbl>
    <w:tbl>
      <w:tblPr>
        <w:tblW w:w="7345" w:type="dxa"/>
        <w:jc w:val="left"/>
        <w:tblInd w:w="0" w:type="dxa"/>
        <w:tblCellMar>
          <w:top w:w="0" w:type="dxa"/>
          <w:left w:w="0" w:type="dxa"/>
          <w:bottom w:w="0" w:type="dxa"/>
          <w:right w:w="0" w:type="dxa"/>
        </w:tblCellMar>
      </w:tblPr>
      <w:tblGrid>
        <w:gridCol w:w="60"/>
        <w:gridCol w:w="110"/>
        <w:gridCol w:w="71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1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failure of third-party contractors to comply with applicable regulatory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possible mislabeling of clinical supplies, potentially resulting in the wrong dose amounts being supplied or active drug or placebo not being properly identified;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possibility of clinical supplies not being delivered to clinical sites on time, leading to clinical trial interruptions or of drug supplies not being distributed to commercial vendors in a timely manner, resulting in lost sales; and </w:t>
            </w:r>
          </w:p>
        </w:tc>
      </w:tr>
    </w:tbl>
    <w:tbl>
      <w:tblPr>
        <w:tblW w:w="8650" w:type="dxa"/>
        <w:jc w:val="left"/>
        <w:tblInd w:w="0" w:type="dxa"/>
        <w:tblCellMar>
          <w:top w:w="0" w:type="dxa"/>
          <w:left w:w="0" w:type="dxa"/>
          <w:bottom w:w="0" w:type="dxa"/>
          <w:right w:w="0" w:type="dxa"/>
        </w:tblCellMar>
      </w:tblPr>
      <w:tblGrid>
        <w:gridCol w:w="60"/>
        <w:gridCol w:w="110"/>
        <w:gridCol w:w="84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4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possible misappropriation of our proprietary information, including our trade secrets and know-how.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do not have long-term supply agreements with any of our contract manufacturers. If any of our existing manufacturers should become unavailable to us for any reason or fail to supply us with the ordered quantities, including as a result of the COVID-19 pandemic or government measures taken in response to the pandemic,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is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It is currently uncertain what impact, if any, Mallinckrodt’s bankruptcy filing and the associated reorganization plan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manufacturing facilities. If these facilities are not approved for commercial manufacture, we may need to find alternative manufacturing facilities, which could result in delays in obtaining approval for the applicable product candidate and any future commercialization efforts.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current and anticipated future dependence upon others for the manufacture of Haduvio or any future product candidate may harm our future profit margins and our ability to commercialize any products that receive marketing approval on a timely and competitive basis.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seek to establish collaborations and, if we are not able to establish them on commercially reasonable terms, we may have to alter our development and commercialization plans.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establish one or more collaborations, all the risks relating to product development, regulatory approval and commercialization described in this Quarterly Report on Form 10-Q would also apply to the activities of any such future collaborators.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enter into collaborations with third parties for the development or commercialization of Haduvio or any future product candidate, our prospects with respect to those product candidates will depend in significant part on the success of those collaborations.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Collaborations involving a product candidate would pose a number of risks,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have significant discretion in determining the efforts and resources that they will apply to these collaborations;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0" w:after="0"/>
        <w:rPr/>
      </w:pPr>
      <w:r>
        <w:rPr/>
        <w:t> </w:t>
      </w:r>
    </w:p>
    <w:p>
      <w:pPr>
        <w:pStyle w:val="TextBody"/>
        <w:spacing w:before="0" w:after="0"/>
        <w:rPr/>
      </w:pPr>
      <w:r>
        <w:rPr/>
        <w:t> </w:t>
      </w:r>
    </w:p>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not perform their obligations as expected;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be involved in a business combination and could decide to delay, diminish or terminate the development or commercialization of any product candidate licensed by us;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could independently develop or develop with third parties, products that compete directly or indirectly with the product candidates under the collaboration;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with marketing and distribution rights to one or more products may not commit sufficient resources to the marketing and distribution of such product or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infringe the intellectual property rights of third parties, which may expose us to litigation and potential liability or misappropriate our intellectual property or other proprietary information;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engage in misconduct or other improper activities, including non-compliance with regulatory standards and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disputes may arise between the collaborators and us regarding ownership of or other rights in the intellectual property generated in the course of the collaborations;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collaborations may be terminated and, if terminated, may result in a need for additional capital to pursue further development or commercialization of the applicable product candidates.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Collaboration agreements may not lead to development or commercialization of product candidates in the most efficient manner or at all.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Our Intellectual Property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fail to comply with our obligations under our existing and any future intellectual property licenses with third parties, we could lose license rights that are critical to our business or owe damages to the licensor of such intellectual property.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Disputes may also arise regarding intellectual property subject to a license agreement, including: </w:t>
      </w:r>
    </w:p>
    <w:tbl>
      <w:tblPr>
        <w:tblW w:w="7855" w:type="dxa"/>
        <w:jc w:val="left"/>
        <w:tblInd w:w="0" w:type="dxa"/>
        <w:tblCellMar>
          <w:top w:w="0" w:type="dxa"/>
          <w:left w:w="0" w:type="dxa"/>
          <w:bottom w:w="0" w:type="dxa"/>
          <w:right w:w="0" w:type="dxa"/>
        </w:tblCellMar>
      </w:tblPr>
      <w:tblGrid>
        <w:gridCol w:w="60"/>
        <w:gridCol w:w="110"/>
        <w:gridCol w:w="76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6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scope of rights granted under the license agreement and other interpretation-related issues;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extent to which our activities or product candidates may infringe the intellectual property of the licensor that is not subject to the licensing agreement; </w:t>
            </w:r>
          </w:p>
        </w:tc>
      </w:tr>
    </w:tbl>
    <w:tbl>
      <w:tblPr>
        <w:tblW w:w="7900" w:type="dxa"/>
        <w:jc w:val="left"/>
        <w:tblInd w:w="0" w:type="dxa"/>
        <w:tblCellMar>
          <w:top w:w="0" w:type="dxa"/>
          <w:left w:w="0" w:type="dxa"/>
          <w:bottom w:w="0" w:type="dxa"/>
          <w:right w:w="0" w:type="dxa"/>
        </w:tblCellMar>
      </w:tblPr>
      <w:tblGrid>
        <w:gridCol w:w="60"/>
        <w:gridCol w:w="110"/>
        <w:gridCol w:w="77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7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sublicensing of patent and other rights under any collaborative development relationships; </w:t>
            </w:r>
          </w:p>
        </w:tc>
      </w:tr>
    </w:tbl>
    <w:tbl>
      <w:tblPr>
        <w:tblW w:w="9070" w:type="dxa"/>
        <w:jc w:val="left"/>
        <w:tblInd w:w="0" w:type="dxa"/>
        <w:tblCellMar>
          <w:top w:w="0" w:type="dxa"/>
          <w:left w:w="0" w:type="dxa"/>
          <w:bottom w:w="0" w:type="dxa"/>
          <w:right w:w="0" w:type="dxa"/>
        </w:tblCellMar>
      </w:tblPr>
      <w:tblGrid>
        <w:gridCol w:w="60"/>
        <w:gridCol w:w="110"/>
        <w:gridCol w:w="89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9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diligence obligations under the license agreement and what activities satisfy those diligence obligations;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inventorship or ownership of inventions and know-how resulting from joint creation or use of intellectual property by licensors and us; and </w:t>
            </w:r>
          </w:p>
        </w:tc>
      </w:tr>
    </w:tbl>
    <w:tbl>
      <w:tblPr>
        <w:tblW w:w="4525" w:type="dxa"/>
        <w:jc w:val="left"/>
        <w:tblInd w:w="0" w:type="dxa"/>
        <w:tblCellMar>
          <w:top w:w="0" w:type="dxa"/>
          <w:left w:w="0" w:type="dxa"/>
          <w:bottom w:w="0" w:type="dxa"/>
          <w:right w:w="0" w:type="dxa"/>
        </w:tblCellMar>
      </w:tblPr>
      <w:tblGrid>
        <w:gridCol w:w="60"/>
        <w:gridCol w:w="110"/>
        <w:gridCol w:w="43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priority of invention of any patented technology.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disputes over intellectual property that we license prevent or impair our ability to maintain those license arrangements on acceptable terms or at all, we may be unable to successfully develop and commercialize any affected product candidates. </w:t>
      </w:r>
    </w:p>
    <w:p>
      <w:pPr>
        <w:pStyle w:val="TextBody"/>
        <w:spacing w:before="24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subject matter covered by the patent claims of our applications. If third parties have filed such applications after March 15, 2013, a derivation proceeding in the U.S. can be initiated by such third parties to determine whether our invention was derived from theirs.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unable to protect the confidentiality of our trade secrets, the value of our products could be negatively impacted and our business would be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become involved in lawsuits to protect or enforce our patents or other intellectual property, which could be expensive, time consuming and unsuccessful.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sued for infringing intellectual property rights of third parties, such litigation could be costly and time consuming, its outcome would be uncertain and it could prevent or delay us from developing or commercializing Haduvio or any future product candidate.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Changes to the patent law in the U.S. and other jurisdictions could diminish the value of patents in general, thereby impairing our ability to protect our products.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not be able to enforce our intellectual property rights throughout the world.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be subject to claims by third parties asserting that our employees or we have misappropriated their intellectual property or claiming ownership of what we regard as our own intellectual property.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w:t>
      </w:r>
    </w:p>
    <w:p>
      <w:pPr>
        <w:pStyle w:val="TextBody"/>
        <w:spacing w:before="24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unable to obtain licenses from third parties on commercially reasonable terms, our business could be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Related to Regulatory Approval and Other Legal Compliance Matters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the FDA does not conclude that Haduvio for the treatment of pruritus associated with prurigo nodularis, chronic cough in IPF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commenced our Phase 2b/3 PRISM trial of Haduvio for the treatment of pruritus associated with prurigo nodularis and we believe we will need to conduct an additional Phase 3 clinical trial of Haduvio for the treatment of pruritus associated with prurigo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pruritus associated with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or prevent marketing approval of a product candidate. Any marketing approval we ultimately obtain may be limited or subject to restrictions or post-approval commitments that render the approved product not commercially viable.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the conduct of clinical trials outside the U.S. could have a significant adverse impact on us. Risks inherent in conducting international clinical trials include: </w:t>
      </w:r>
    </w:p>
    <w:tbl>
      <w:tblPr>
        <w:tblW w:w="6790" w:type="dxa"/>
        <w:jc w:val="left"/>
        <w:tblInd w:w="0" w:type="dxa"/>
        <w:tblCellMar>
          <w:top w:w="0" w:type="dxa"/>
          <w:left w:w="0" w:type="dxa"/>
          <w:bottom w:w="0" w:type="dxa"/>
          <w:right w:w="0" w:type="dxa"/>
        </w:tblCellMar>
      </w:tblPr>
      <w:tblGrid>
        <w:gridCol w:w="60"/>
        <w:gridCol w:w="110"/>
        <w:gridCol w:w="66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6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clinical practice patterns and standards of care that vary widely among countries; </w:t>
            </w:r>
          </w:p>
        </w:tc>
      </w:tr>
    </w:tbl>
    <w:tbl>
      <w:tblPr>
        <w:tblW w:w="9130" w:type="dxa"/>
        <w:jc w:val="left"/>
        <w:tblInd w:w="0" w:type="dxa"/>
        <w:tblCellMar>
          <w:top w:w="0" w:type="dxa"/>
          <w:left w:w="0" w:type="dxa"/>
          <w:bottom w:w="0" w:type="dxa"/>
          <w:right w:w="0" w:type="dxa"/>
        </w:tblCellMar>
      </w:tblPr>
      <w:tblGrid>
        <w:gridCol w:w="60"/>
        <w:gridCol w:w="110"/>
        <w:gridCol w:w="89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9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non-U.S. regulatory authority requirements that could restrict or limit our ability to conduct our clinical trials; </w:t>
            </w:r>
          </w:p>
        </w:tc>
      </w:tr>
    </w:tbl>
    <w:tbl>
      <w:tblPr>
        <w:tblW w:w="8770" w:type="dxa"/>
        <w:jc w:val="left"/>
        <w:tblInd w:w="0" w:type="dxa"/>
        <w:tblCellMar>
          <w:top w:w="0" w:type="dxa"/>
          <w:left w:w="0" w:type="dxa"/>
          <w:bottom w:w="0" w:type="dxa"/>
          <w:right w:w="0" w:type="dxa"/>
        </w:tblCellMar>
      </w:tblPr>
      <w:tblGrid>
        <w:gridCol w:w="60"/>
        <w:gridCol w:w="110"/>
        <w:gridCol w:w="86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6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administrative burdens of conducting clinical trials under multiple non-U.S. regulatory authority schema; </w:t>
            </w:r>
          </w:p>
        </w:tc>
      </w:tr>
    </w:tbl>
    <w:tbl>
      <w:tblPr>
        <w:tblW w:w="3415" w:type="dxa"/>
        <w:jc w:val="left"/>
        <w:tblInd w:w="0" w:type="dxa"/>
        <w:tblCellMar>
          <w:top w:w="0" w:type="dxa"/>
          <w:left w:w="0" w:type="dxa"/>
          <w:bottom w:w="0" w:type="dxa"/>
          <w:right w:w="0" w:type="dxa"/>
        </w:tblCellMar>
      </w:tblPr>
      <w:tblGrid>
        <w:gridCol w:w="60"/>
        <w:gridCol w:w="110"/>
        <w:gridCol w:w="32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2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foreign exchange rate fluctuations; and </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diminished protection of intellectual property in some countries. </w:t>
            </w:r>
          </w:p>
        </w:tc>
      </w:tr>
    </w:tbl>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Failure to obtain marketing approval in foreign jurisdictions would prevent Haduvio or any future product candidate from being marketed in other countries. Any marketing approval we are granted in the U.S. would not assure marketing approval in foreign jurisdictions.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 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spacing w:before="24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Haduvio for the proposed indication of reduction of moderate to severe pruritus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may seek PRIME Designation in the EU for Haduvio but we might not receive such designations and, even if we do, such designations may not lead to a faster development or regulatory review or approval process.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we obtain marketing approvals for a product, the terms of approvals and ongoing regulation of such product may limit how we manufacture and market the product, which could impair our ability to generate revenue.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Accordingly, assuming we receive marketing approval for one or more products, we and our contract manufacturers will continue to expend time, money and effort in a number of areas of regulatory compliance, including manufacturing, production, product surveillance and quality control.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our clinical trials are successful, we intend to seek approval to market Haduvio for the treatment of pruritus associated with prurigo nodularis and chronic cough associated with IPF. If we obtain regulatory approval to market Haduvio with an indication statement for the treatment of pruritus associated with prurigo nodularis, we expect to be prohibited from marketing Haduvio using any promotional claims relating to treatment of pruritus generally. If we obtain regulatory approval to market Haduvio with an indication statement for the treatment of chronic cough in adults with IPF, we expect to be prohibited from marketing Haduvio using any promotional claims relating to treatment of cough generally. Marketing of Haduvio may also be limited by regulatory authorities based on use as a monotherapy or adjuvant, concomitant medications, severity of pruritus and other factors.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and may in the future conduct, clinical trials to evaluate the use of Haduvio to treat pruritic conditions other than pruritus associated with prurigo nodularis and cough conditions other than chronic cough associated with IPF,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suit is entitled to a share of any recovery or settlement.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suits, also commonly referred to as “whistleblower suits,” are often brought by current or former employees. In a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suit, the government must decide whether to intervene and prosecute the case. If it declines, the individual may pursue the case alone.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the FDA or any other governmental agency initiates an enforcement action against us or if we are the subject of a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later discovery of previously unknown adverse events or other problems with any product for which we may obtain marketing approval and its manufacturers or manufacturing processes or failure to comply with regulatory requirements, may yield various results, including: </w:t>
      </w:r>
    </w:p>
    <w:tbl>
      <w:tblPr>
        <w:tblW w:w="6025" w:type="dxa"/>
        <w:jc w:val="left"/>
        <w:tblInd w:w="0" w:type="dxa"/>
        <w:tblCellMar>
          <w:top w:w="0" w:type="dxa"/>
          <w:left w:w="0" w:type="dxa"/>
          <w:bottom w:w="0" w:type="dxa"/>
          <w:right w:w="0" w:type="dxa"/>
        </w:tblCellMar>
      </w:tblPr>
      <w:tblGrid>
        <w:gridCol w:w="60"/>
        <w:gridCol w:w="110"/>
        <w:gridCol w:w="58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8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such product, manufacturers or manufacturing processes; </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the labeling or marketing of the product; </w:t>
            </w:r>
          </w:p>
        </w:tc>
      </w:tr>
    </w:tbl>
    <w:tbl>
      <w:tblPr>
        <w:tblW w:w="3655" w:type="dxa"/>
        <w:jc w:val="left"/>
        <w:tblInd w:w="0" w:type="dxa"/>
        <w:tblCellMar>
          <w:top w:w="0" w:type="dxa"/>
          <w:left w:w="0" w:type="dxa"/>
          <w:bottom w:w="0" w:type="dxa"/>
          <w:right w:w="0" w:type="dxa"/>
        </w:tblCellMar>
      </w:tblPr>
      <w:tblGrid>
        <w:gridCol w:w="60"/>
        <w:gridCol w:w="110"/>
        <w:gridCol w:w="34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4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product distribution or use; </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requirements to conduct post-marketing studies or clinical trials; </w:t>
            </w:r>
          </w:p>
        </w:tc>
      </w:tr>
    </w:tbl>
    <w:tbl>
      <w:tblPr>
        <w:tblW w:w="2935" w:type="dxa"/>
        <w:jc w:val="left"/>
        <w:tblInd w:w="0" w:type="dxa"/>
        <w:tblCellMar>
          <w:top w:w="0" w:type="dxa"/>
          <w:left w:w="0" w:type="dxa"/>
          <w:bottom w:w="0" w:type="dxa"/>
          <w:right w:w="0" w:type="dxa"/>
        </w:tblCellMar>
      </w:tblPr>
      <w:tblGrid>
        <w:gridCol w:w="60"/>
        <w:gridCol w:w="110"/>
        <w:gridCol w:w="27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7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warning letters or untitled letters; </w:t>
            </w:r>
          </w:p>
        </w:tc>
      </w:tr>
    </w:tbl>
    <w:tbl>
      <w:tblPr>
        <w:tblW w:w="3700" w:type="dxa"/>
        <w:jc w:val="left"/>
        <w:tblInd w:w="0" w:type="dxa"/>
        <w:tblCellMar>
          <w:top w:w="0" w:type="dxa"/>
          <w:left w:w="0" w:type="dxa"/>
          <w:bottom w:w="0" w:type="dxa"/>
          <w:right w:w="0" w:type="dxa"/>
        </w:tblCellMar>
      </w:tblPr>
      <w:tblGrid>
        <w:gridCol w:w="60"/>
        <w:gridCol w:w="110"/>
        <w:gridCol w:w="35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withdrawal of the product from the market; </w:t>
            </w:r>
          </w:p>
        </w:tc>
      </w:tr>
    </w:tbl>
    <w:tbl>
      <w:tblPr>
        <w:tblW w:w="8095" w:type="dxa"/>
        <w:jc w:val="left"/>
        <w:tblInd w:w="0" w:type="dxa"/>
        <w:tblCellMar>
          <w:top w:w="0" w:type="dxa"/>
          <w:left w:w="0" w:type="dxa"/>
          <w:bottom w:w="0" w:type="dxa"/>
          <w:right w:w="0" w:type="dxa"/>
        </w:tblCellMar>
      </w:tblPr>
      <w:tblGrid>
        <w:gridCol w:w="60"/>
        <w:gridCol w:w="110"/>
        <w:gridCol w:w="79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9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refusal to approve pending applications or supplements to approved applications that we submit; </w:t>
            </w:r>
          </w:p>
        </w:tc>
      </w:tr>
    </w:tbl>
    <w:tbl>
      <w:tblPr>
        <w:tblW w:w="1930" w:type="dxa"/>
        <w:jc w:val="left"/>
        <w:tblInd w:w="0" w:type="dxa"/>
        <w:tblCellMar>
          <w:top w:w="0" w:type="dxa"/>
          <w:left w:w="0" w:type="dxa"/>
          <w:bottom w:w="0" w:type="dxa"/>
          <w:right w:w="0" w:type="dxa"/>
        </w:tblCellMar>
      </w:tblPr>
      <w:tblGrid>
        <w:gridCol w:w="60"/>
        <w:gridCol w:w="110"/>
        <w:gridCol w:w="17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7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recall of the product; </w:t>
            </w:r>
          </w:p>
        </w:tc>
      </w:tr>
    </w:tbl>
    <w:tbl>
      <w:tblPr>
        <w:tblW w:w="3985" w:type="dxa"/>
        <w:jc w:val="left"/>
        <w:tblInd w:w="0" w:type="dxa"/>
        <w:tblCellMar>
          <w:top w:w="0" w:type="dxa"/>
          <w:left w:w="0" w:type="dxa"/>
          <w:bottom w:w="0" w:type="dxa"/>
          <w:right w:w="0" w:type="dxa"/>
        </w:tblCellMar>
      </w:tblPr>
      <w:tblGrid>
        <w:gridCol w:w="60"/>
        <w:gridCol w:w="110"/>
        <w:gridCol w:w="38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coverage by third-party payors; </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fines, restitution or disgorgement of profits or revenues; </w:t>
            </w:r>
          </w:p>
        </w:tc>
      </w:tr>
    </w:tbl>
    <w:tbl>
      <w:tblPr>
        <w:tblW w:w="4270" w:type="dxa"/>
        <w:jc w:val="left"/>
        <w:tblInd w:w="0" w:type="dxa"/>
        <w:tblCellMar>
          <w:top w:w="0" w:type="dxa"/>
          <w:left w:w="0" w:type="dxa"/>
          <w:bottom w:w="0" w:type="dxa"/>
          <w:right w:w="0" w:type="dxa"/>
        </w:tblCellMar>
      </w:tblPr>
      <w:tblGrid>
        <w:gridCol w:w="60"/>
        <w:gridCol w:w="110"/>
        <w:gridCol w:w="41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1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suspension or withdrawal of marketing approvals; </w:t>
            </w:r>
          </w:p>
        </w:tc>
      </w:tr>
    </w:tbl>
    <w:tbl>
      <w:tblPr>
        <w:tblW w:w="4465" w:type="dxa"/>
        <w:jc w:val="left"/>
        <w:tblInd w:w="0" w:type="dxa"/>
        <w:tblCellMar>
          <w:top w:w="0" w:type="dxa"/>
          <w:left w:w="0" w:type="dxa"/>
          <w:bottom w:w="0" w:type="dxa"/>
          <w:right w:w="0" w:type="dxa"/>
        </w:tblCellMar>
      </w:tblPr>
      <w:tblGrid>
        <w:gridCol w:w="60"/>
        <w:gridCol w:w="110"/>
        <w:gridCol w:w="429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29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refusal to permit the import or export of the product; </w:t>
            </w:r>
          </w:p>
        </w:tc>
      </w:tr>
    </w:tbl>
    <w:tbl>
      <w:tblPr>
        <w:tblW w:w="1750" w:type="dxa"/>
        <w:jc w:val="left"/>
        <w:tblInd w:w="0" w:type="dxa"/>
        <w:tblCellMar>
          <w:top w:w="0" w:type="dxa"/>
          <w:left w:w="0" w:type="dxa"/>
          <w:bottom w:w="0" w:type="dxa"/>
          <w:right w:w="0" w:type="dxa"/>
        </w:tblCellMar>
      </w:tblPr>
      <w:tblGrid>
        <w:gridCol w:w="60"/>
        <w:gridCol w:w="110"/>
        <w:gridCol w:w="1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product seizure; or </w:t>
            </w:r>
          </w:p>
        </w:tc>
      </w:tr>
    </w:tbl>
    <w:tbl>
      <w:tblPr>
        <w:tblW w:w="4990" w:type="dxa"/>
        <w:jc w:val="left"/>
        <w:tblInd w:w="0" w:type="dxa"/>
        <w:tblCellMar>
          <w:top w:w="0" w:type="dxa"/>
          <w:left w:w="0" w:type="dxa"/>
          <w:bottom w:w="0" w:type="dxa"/>
          <w:right w:w="0" w:type="dxa"/>
        </w:tblCellMar>
      </w:tblPr>
      <w:tblGrid>
        <w:gridCol w:w="60"/>
        <w:gridCol w:w="110"/>
        <w:gridCol w:w="48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8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injunctions or the imposition of civil or criminal penalties.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Separately, in response to the COVID-19 pandemic, a number of companies announced receipt of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Current and future legislation may increase the difficulty and cost for us to obtain marketing approval of and commercialize Haduvio or any future product candidate and may affect the prices we may obtain.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have been suspended through the end of March 2022. From April 2022 through June 2022 a 1% sequester cut will be in effect,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Current and future legislative efforts may limit the prices for our products, if and when they are licensed for marketing and that could materially impact our ability to generate revenues.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More recently, 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Anti-Kickback Statute</w:t>
      </w:r>
      <w:r>
        <w:rPr>
          <w:rFonts w:ascii="Times New Roman" w:hAnsi="Times New Roman"/>
          <w:b w:val="false"/>
          <w:i w:val="false"/>
          <w:caps w:val="false"/>
          <w:smallCaps w:val="false"/>
          <w:color w:val="000000"/>
          <w:sz w:val="20"/>
        </w:rPr>
        <w:t xml:space="preserve">.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False Claims Laws. </w:t>
      </w:r>
      <w:r>
        <w:rPr>
          <w:rFonts w:ascii="Times New Roman" w:hAnsi="Times New Roman"/>
          <w:b w:val="false"/>
          <w:i w:val="false"/>
          <w:caps w:val="false"/>
          <w:smallCaps w:val="false"/>
          <w:color w:val="000000"/>
          <w:sz w:val="20"/>
        </w:rPr>
        <w:t>The federal false claims and civil monetary penalties laws, including the federal civil False Claims Act, impose criminal and civil penalties, including through civil whistleblower or</w:t>
      </w:r>
      <w:r>
        <w:rPr>
          <w:rFonts w:ascii="Times New Roman" w:hAnsi="Times New Roman"/>
          <w:b w:val="false"/>
          <w:i/>
          <w:caps w:val="false"/>
          <w:smallCaps w:val="false"/>
          <w:color w:val="000000"/>
          <w:sz w:val="20"/>
        </w:rPr>
        <w:t> qui tam </w:t>
      </w:r>
      <w:r>
        <w:rPr>
          <w:rFonts w:ascii="Times New Roman" w:hAnsi="Times New Roman"/>
          <w:b w:val="false"/>
          <w:i w:val="false"/>
          <w:caps w:val="false"/>
          <w:smallCaps w:val="false"/>
          <w:color w:val="000000"/>
          <w:sz w:val="20"/>
        </w:rPr>
        <w:t xml:space="preserve">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HIPAA. </w:t>
      </w:r>
      <w:r>
        <w:rPr>
          <w:rFonts w:ascii="Times New Roman" w:hAnsi="Times New Roman"/>
          <w:b w:val="false"/>
          <w:i w:val="false"/>
          <w:caps w:val="false"/>
          <w:smallCaps w:val="false"/>
          <w:color w:val="000000"/>
          <w:sz w:val="20"/>
        </w:rPr>
        <w:t xml:space="preserve">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Transparency Requirements. </w:t>
      </w:r>
      <w:r>
        <w:rPr>
          <w:rFonts w:ascii="Times New Roman" w:hAnsi="Times New Roman"/>
          <w:b w:val="false"/>
          <w:i w:val="false"/>
          <w:caps w:val="false"/>
          <w:smallCaps w:val="false"/>
          <w:color w:val="000000"/>
          <w:sz w:val="20"/>
        </w:rPr>
        <w:t xml:space="preserve">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other healthcare providers and their immediate family members.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Analogous State and Foreign Laws. </w:t>
      </w:r>
      <w:r>
        <w:rPr>
          <w:rFonts w:ascii="Times New Roman" w:hAnsi="Times New Roman"/>
          <w:b w:val="false"/>
          <w:i w:val="false"/>
          <w:caps w:val="false"/>
          <w:smallCaps w:val="false"/>
          <w:color w:val="000000"/>
          <w:sz w:val="20"/>
        </w:rPr>
        <w:t xml:space="preserve">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hAnsi="Times New Roman"/>
          <w:b w:val="false"/>
          <w:i w:val="false"/>
          <w:caps w:val="false"/>
          <w:smallCaps w:val="false"/>
          <w:color w:val="000000"/>
          <w:sz w:val="20"/>
        </w:rPr>
        <w: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created similar risks and obligations as those created by GDPR, though the CCPA does exempt certain information collected as part of a clinical trial subject to the Federal Policy for the Protection of Human Subjects (the Common Rule). Additionally, effective starting on January 1, 2023, the California Privacy Rights Act, or the CPRA, will significantly modify the CCPA, including by expanding consumers’ rights with respect to certain sensitive personal information. The CPRA also creates a new state agency that will be vested with authority to implement and enforce the CCPA and the CPRA.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Laws and regulations governing any international operations we may have in the future may preclude us from developing, manufacturing and selling certain products outside of the U.S. and require us to develop and implement costly compliance programs.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fail to comply with environmental, health and safety laws and regulations, we could become subject to fines or penalties or incur costs that could harm our business.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business and operations would suffer in the event of system failures.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the FDA, EMA, MHRA or other comparable foreign regulatory authorities approve generic versions of any of our small molecule investigational products that receive marketing approval, or such authorities do not grant our products appropriate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periods of exclusivity before approving generic versions of those products, the sales of our products, if approved,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abbreviated new drug applications, or ANDAs, in the United States. In support of an ANDA, a generic manufacturer need not conduct clinical trials to assess safety and efficacy. Rather, the sponsor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sponsor may submit its application four years following approval of the reference listed drug.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Employee Matters and Managing our Growth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future success depends on our ability to retain our executive team and to attract, retain and motivate qualified personnel.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highly dependent on Jennifer Good, our President and Chief Executive Officer; Thomas Sciascia, M.D., our Chief Medical Officer; and William Forbes, Pharm. 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expect to expand our organization and as a result, we may encounter difficulties in managing our growth, which could disrupt our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March 31, 2022, we had 23 employees. We expect to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be unable to implement our business strategy, including the successful commercialization of any product candidate. </w:t>
      </w:r>
    </w:p>
    <w:p>
      <w:pPr>
        <w:pStyle w:val="TextBody"/>
        <w:spacing w:before="24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employees, independent contractors and consultants may engage in misconduct or other improper activities, including non-compliance with regulatory standards and requirements, which could cause significant liability for us and harm our reputation.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Our Common Stock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An active trading market for our common stock may not be sustainable.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accordance with Nasdaq Listing Rule 5810(c)(3)(A), or the Compliance Period Rule, we were provided a period of 180 calendar days, or until July 11, 2022, or the Compliance Date, to regain compliance with the Bid Price Requirement. If, at any time before the Compliance Date, the bid price for our common stock closed at $1.00 or more for a minimum of 10 consecutive business days as required under the Compliance Period Rule, the Staff would provide written notification to us that we had regained compliance with the Bid Price Requirement, unless the Staff chose to exercise its discretion to extend this ten-day period pursuant to Nasdaq Listing Rule 5810(c)(3)(H).</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March 16, 2022, we received a letter from the Staff indicating that we had regained compliance with the Bid Price Requirement as of such date.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Although we were able to regain compliance with the Bid Price Requirement within the manner and time period prescribed by Nasdaq, 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The trading price of our common stock is highly volatile, which could result in substantial losses for purchasers of our common stock.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 </w:t>
      </w:r>
    </w:p>
    <w:tbl>
      <w:tblPr>
        <w:tblW w:w="7000" w:type="dxa"/>
        <w:jc w:val="left"/>
        <w:tblInd w:w="0" w:type="dxa"/>
        <w:tblCellMar>
          <w:top w:w="0" w:type="dxa"/>
          <w:left w:w="0" w:type="dxa"/>
          <w:bottom w:w="0" w:type="dxa"/>
          <w:right w:w="0" w:type="dxa"/>
        </w:tblCellMar>
      </w:tblPr>
      <w:tblGrid>
        <w:gridCol w:w="60"/>
        <w:gridCol w:w="110"/>
        <w:gridCol w:w="68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8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timing and results of clinical trials of Haduvio or any future product candidates; </w:t>
            </w:r>
          </w:p>
        </w:tc>
      </w:tr>
    </w:tbl>
    <w:tbl>
      <w:tblPr>
        <w:tblW w:w="5770" w:type="dxa"/>
        <w:jc w:val="left"/>
        <w:tblInd w:w="0" w:type="dxa"/>
        <w:tblCellMar>
          <w:top w:w="0" w:type="dxa"/>
          <w:left w:w="0" w:type="dxa"/>
          <w:bottom w:w="0" w:type="dxa"/>
          <w:right w:w="0" w:type="dxa"/>
        </w:tblCellMar>
      </w:tblPr>
      <w:tblGrid>
        <w:gridCol w:w="60"/>
        <w:gridCol w:w="110"/>
        <w:gridCol w:w="56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6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success of existing or new competitive products or technologies;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regulatory actions with respect to Haduvio or any future product candidates or competitors’ products and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announcements by us or our competitors of significant acquisitions, strategic partnerships, joint ventures, collaborations or capital commitments; </w:t>
            </w:r>
          </w:p>
        </w:tc>
      </w:tr>
    </w:tbl>
    <w:tbl>
      <w:tblPr>
        <w:tblW w:w="6685" w:type="dxa"/>
        <w:jc w:val="left"/>
        <w:tblInd w:w="0" w:type="dxa"/>
        <w:tblCellMar>
          <w:top w:w="0" w:type="dxa"/>
          <w:left w:w="0" w:type="dxa"/>
          <w:bottom w:w="0" w:type="dxa"/>
          <w:right w:w="0" w:type="dxa"/>
        </w:tblCellMar>
      </w:tblPr>
      <w:tblGrid>
        <w:gridCol w:w="60"/>
        <w:gridCol w:w="110"/>
        <w:gridCol w:w="65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5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commencement or termination of collaborations for our development programs; </w:t>
            </w:r>
          </w:p>
        </w:tc>
      </w:tr>
    </w:tbl>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1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failure or discontinuation of any of our development programs; </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results of clinical trials of product candidates of our competitors; </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regulatory or legal developments in the U.S. and other countries; </w:t>
            </w:r>
          </w:p>
        </w:tc>
      </w:tr>
    </w:tbl>
    <w:tbl>
      <w:tblPr>
        <w:tblW w:w="9055" w:type="dxa"/>
        <w:jc w:val="left"/>
        <w:tblInd w:w="0" w:type="dxa"/>
        <w:tblCellMar>
          <w:top w:w="0" w:type="dxa"/>
          <w:left w:w="0" w:type="dxa"/>
          <w:bottom w:w="0" w:type="dxa"/>
          <w:right w:w="0" w:type="dxa"/>
        </w:tblCellMar>
      </w:tblPr>
      <w:tblGrid>
        <w:gridCol w:w="60"/>
        <w:gridCol w:w="110"/>
        <w:gridCol w:w="88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8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developments or disputes concerning patent applications, issued patents or other intellectual property rights; </w:t>
            </w:r>
          </w:p>
        </w:tc>
      </w:tr>
    </w:tbl>
    <w:tbl>
      <w:tblPr>
        <w:tblW w:w="3640" w:type="dxa"/>
        <w:jc w:val="left"/>
        <w:tblInd w:w="0" w:type="dxa"/>
        <w:tblCellMar>
          <w:top w:w="0" w:type="dxa"/>
          <w:left w:w="0" w:type="dxa"/>
          <w:bottom w:w="0" w:type="dxa"/>
          <w:right w:w="0" w:type="dxa"/>
        </w:tblCellMar>
      </w:tblPr>
      <w:tblGrid>
        <w:gridCol w:w="60"/>
        <w:gridCol w:w="110"/>
        <w:gridCol w:w="34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4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recruitment or departure of key personnel; </w:t>
            </w:r>
          </w:p>
        </w:tc>
      </w:tr>
    </w:tbl>
    <w:tbl>
      <w:tblPr>
        <w:tblW w:w="4615" w:type="dxa"/>
        <w:jc w:val="left"/>
        <w:tblInd w:w="0" w:type="dxa"/>
        <w:tblCellMar>
          <w:top w:w="0" w:type="dxa"/>
          <w:left w:w="0" w:type="dxa"/>
          <w:bottom w:w="0" w:type="dxa"/>
          <w:right w:w="0" w:type="dxa"/>
        </w:tblCellMar>
      </w:tblPr>
      <w:tblGrid>
        <w:gridCol w:w="60"/>
        <w:gridCol w:w="110"/>
        <w:gridCol w:w="44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4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expenses related to any of our development programs; </w:t>
            </w:r>
          </w:p>
        </w:tc>
      </w:tr>
    </w:tbl>
    <w:tbl>
      <w:tblPr>
        <w:tblW w:w="7810" w:type="dxa"/>
        <w:jc w:val="left"/>
        <w:tblInd w:w="0" w:type="dxa"/>
        <w:tblCellMar>
          <w:top w:w="0" w:type="dxa"/>
          <w:left w:w="0" w:type="dxa"/>
          <w:bottom w:w="0" w:type="dxa"/>
          <w:right w:w="0" w:type="dxa"/>
        </w:tblCellMar>
      </w:tblPr>
      <w:tblGrid>
        <w:gridCol w:w="60"/>
        <w:gridCol w:w="110"/>
        <w:gridCol w:w="76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6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results of our efforts to discover, develop, acquire or in-license additional product candidates; </w:t>
            </w:r>
          </w:p>
        </w:tc>
      </w:tr>
    </w:tbl>
    <w:tbl>
      <w:tblPr>
        <w:tblW w:w="7150" w:type="dxa"/>
        <w:jc w:val="left"/>
        <w:tblInd w:w="0" w:type="dxa"/>
        <w:tblCellMar>
          <w:top w:w="0" w:type="dxa"/>
          <w:left w:w="0" w:type="dxa"/>
          <w:bottom w:w="0" w:type="dxa"/>
          <w:right w:w="0" w:type="dxa"/>
        </w:tblCellMar>
      </w:tblPr>
      <w:tblGrid>
        <w:gridCol w:w="60"/>
        <w:gridCol w:w="110"/>
        <w:gridCol w:w="69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9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actual or anticipated changes in estimated financial results or development timelines; </w:t>
            </w:r>
          </w:p>
        </w:tc>
      </w:tr>
    </w:tbl>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1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announcements or expectations of additional financing efforts;</w:t>
            </w:r>
          </w:p>
        </w:tc>
      </w:tr>
    </w:tbl>
    <w:tbl>
      <w:tblPr>
        <w:tblW w:w="5710" w:type="dxa"/>
        <w:jc w:val="left"/>
        <w:tblInd w:w="0" w:type="dxa"/>
        <w:tblCellMar>
          <w:top w:w="0" w:type="dxa"/>
          <w:left w:w="0" w:type="dxa"/>
          <w:bottom w:w="0" w:type="dxa"/>
          <w:right w:w="0" w:type="dxa"/>
        </w:tblCellMar>
      </w:tblPr>
      <w:tblGrid>
        <w:gridCol w:w="60"/>
        <w:gridCol w:w="110"/>
        <w:gridCol w:w="55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5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sales of our common stock by us, our insiders or other stockholders; </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expiration of market stand-off or lock-up agreements; </w:t>
            </w:r>
          </w:p>
        </w:tc>
      </w:tr>
    </w:tbl>
    <w:tbl>
      <w:tblPr>
        <w:tblW w:w="7750" w:type="dxa"/>
        <w:jc w:val="left"/>
        <w:tblInd w:w="0" w:type="dxa"/>
        <w:tblCellMar>
          <w:top w:w="0" w:type="dxa"/>
          <w:left w:w="0" w:type="dxa"/>
          <w:bottom w:w="0" w:type="dxa"/>
          <w:right w:w="0" w:type="dxa"/>
        </w:tblCellMar>
      </w:tblPr>
      <w:tblGrid>
        <w:gridCol w:w="60"/>
        <w:gridCol w:w="110"/>
        <w:gridCol w:w="7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variations in our financial results or those of companies that are perceived to be similar to us; </w:t>
            </w:r>
          </w:p>
        </w:tc>
      </w:tr>
    </w:tbl>
    <w:tbl>
      <w:tblPr>
        <w:tblW w:w="9505" w:type="dxa"/>
        <w:jc w:val="left"/>
        <w:tblInd w:w="0" w:type="dxa"/>
        <w:tblCellMar>
          <w:top w:w="0" w:type="dxa"/>
          <w:left w:w="0" w:type="dxa"/>
          <w:bottom w:w="0" w:type="dxa"/>
          <w:right w:w="0" w:type="dxa"/>
        </w:tblCellMar>
      </w:tblPr>
      <w:tblGrid>
        <w:gridCol w:w="60"/>
        <w:gridCol w:w="110"/>
        <w:gridCol w:w="93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3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recommendations and changes in estimates or recommendations by securities analysts, if any, that cover our stock; </w:t>
            </w:r>
          </w:p>
        </w:tc>
      </w:tr>
    </w:tbl>
    <w:tbl>
      <w:tblPr>
        <w:tblW w:w="7225" w:type="dxa"/>
        <w:jc w:val="left"/>
        <w:tblInd w:w="0" w:type="dxa"/>
        <w:tblCellMar>
          <w:top w:w="0" w:type="dxa"/>
          <w:left w:w="0" w:type="dxa"/>
          <w:bottom w:w="0" w:type="dxa"/>
          <w:right w:w="0" w:type="dxa"/>
        </w:tblCellMar>
      </w:tblPr>
      <w:tblGrid>
        <w:gridCol w:w="60"/>
        <w:gridCol w:w="110"/>
        <w:gridCol w:w="70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changes in the structure of healthcare payment systems in the U.S. and other countries; </w:t>
            </w:r>
          </w:p>
        </w:tc>
      </w:tr>
    </w:tbl>
    <w:tbl>
      <w:tblPr>
        <w:tblW w:w="5755" w:type="dxa"/>
        <w:jc w:val="left"/>
        <w:tblInd w:w="0" w:type="dxa"/>
        <w:tblCellMar>
          <w:top w:w="0" w:type="dxa"/>
          <w:left w:w="0" w:type="dxa"/>
          <w:bottom w:w="0" w:type="dxa"/>
          <w:right w:w="0" w:type="dxa"/>
        </w:tblCellMar>
      </w:tblPr>
      <w:tblGrid>
        <w:gridCol w:w="60"/>
        <w:gridCol w:w="110"/>
        <w:gridCol w:w="55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5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market conditions in the pharmaceutical and biotechnology sectors;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general economic, industry and market conditions, including recent adverse changes in the domestic and international financial markets and the impacts of the COVID-19 pandemic; </w:t>
            </w:r>
          </w:p>
        </w:tc>
      </w:tr>
    </w:tbl>
    <w:tbl>
      <w:tblPr>
        <w:tblW w:w="4720" w:type="dxa"/>
        <w:jc w:val="left"/>
        <w:tblInd w:w="0" w:type="dxa"/>
        <w:tblCellMar>
          <w:top w:w="0" w:type="dxa"/>
          <w:left w:w="0" w:type="dxa"/>
          <w:bottom w:w="0" w:type="dxa"/>
          <w:right w:w="0" w:type="dxa"/>
        </w:tblCellMar>
      </w:tblPr>
      <w:tblGrid>
        <w:gridCol w:w="60"/>
        <w:gridCol w:w="110"/>
        <w:gridCol w:w="45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obligations in connection with the SVB Term Loan;</w:t>
            </w:r>
          </w:p>
        </w:tc>
      </w:tr>
    </w:tbl>
    <w:tbl>
      <w:tblPr>
        <w:tblW w:w="5395" w:type="dxa"/>
        <w:jc w:val="left"/>
        <w:tblInd w:w="0" w:type="dxa"/>
        <w:tblCellMar>
          <w:top w:w="0" w:type="dxa"/>
          <w:left w:w="0" w:type="dxa"/>
          <w:bottom w:w="0" w:type="dxa"/>
          <w:right w:w="0" w:type="dxa"/>
        </w:tblCellMar>
      </w:tblPr>
      <w:tblGrid>
        <w:gridCol w:w="60"/>
        <w:gridCol w:w="110"/>
        <w:gridCol w:w="52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2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maintain our listing on the Nasdaq Global Market;</w:t>
            </w:r>
          </w:p>
        </w:tc>
      </w:tr>
    </w:tbl>
    <w:tbl>
      <w:tblPr>
        <w:tblW w:w="3985" w:type="dxa"/>
        <w:jc w:val="left"/>
        <w:tblInd w:w="0" w:type="dxa"/>
        <w:tblCellMar>
          <w:top w:w="0" w:type="dxa"/>
          <w:left w:w="0" w:type="dxa"/>
          <w:bottom w:w="0" w:type="dxa"/>
          <w:right w:w="0" w:type="dxa"/>
        </w:tblCellMar>
      </w:tblPr>
      <w:tblGrid>
        <w:gridCol w:w="60"/>
        <w:gridCol w:w="110"/>
        <w:gridCol w:w="38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continue as a going concern; and</w:t>
            </w:r>
          </w:p>
        </w:tc>
      </w:tr>
    </w:tbl>
    <w:tbl>
      <w:tblPr>
        <w:tblW w:w="6055" w:type="dxa"/>
        <w:jc w:val="left"/>
        <w:tblInd w:w="0" w:type="dxa"/>
        <w:tblCellMar>
          <w:top w:w="0" w:type="dxa"/>
          <w:left w:w="0" w:type="dxa"/>
          <w:bottom w:w="0" w:type="dxa"/>
          <w:right w:w="0" w:type="dxa"/>
        </w:tblCellMar>
      </w:tblPr>
      <w:tblGrid>
        <w:gridCol w:w="60"/>
        <w:gridCol w:w="110"/>
        <w:gridCol w:w="58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8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factors and considerations described in this “Risk Factors” section.</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the COVID-19 pandemic has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could be subject to securities class action litigation.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securities or industry analysts do not publish research or publish inaccurate or unfavorable research about our business, the trading price and volume of our shares could decline.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Future sales of shares of our common stock, including by us, employees and significant stockholders, could negatively affect our stock price.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“at-the-market” offerings. As of March 31, 2022, we had sold 3,583,394 shares of common stock for an aggregate purchase price of $11.0 million, before deducting estimated commissions and allocated fees of $0.8 million,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May 12, 2022, all of the pre-funded warrants and 3,299,270 of the common stock warrants have been exercised.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Similarly, on April 11, 2022, we issued to several purchasers in a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of substantial amounts of shares of our common stock or other securities by our stockholders, by us under the Shelf Registration Statement, whether pursuant to the ATM Sales Agreement or otherwise, by Lincoln Park pursuant to the Form S-1, by the private placement investors pursuant to the Initial Private Placement Form S-3 or the Second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pStyle w:val="TextBody"/>
        <w:spacing w:before="24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have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Finally, we issued pre-funded warrants to purchase up to an aggregate of 24,379,673 shares of our common stock to the purchasers in the April 2022 Private Placement at an exercise price of $0.001 per share.</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As discussed above, the common stock warrants issued to the Initial Private Placement Investor are subject to the Initial Investor Beneficial Ownership Limitations and the pre-funded warrants issued to the purchasers in the April 2022 Private Placement are subject to the 2022 Private Placement Beneficial Ownership Limitations. As of May 12, 2022, (i) none of the pre-funded warrants issued to the Initial Private Placement Investor were outstanding, (ii) 11,299,270 of the common stock warrants issued to the Initial Private Placement Investor and all of the common stock warrants issued to NEA in the October 2021 Private Placements remained outstanding, and (iii) all of the pre-funded warrants issued to the purchasers in the April 2022 Private Placement remained outstanding. Although the Initial Private Placement Investor’s warrants are subject to the Initial Investor Beneficial Ownership Limitations and the pre-funded warrants issued to the purchasers in the April 2022 Private Placement are subject to the 2022 Private Placement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and/or the purchasers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the April 2022 Private Placement on the other hand, concerning potential competitive business activities, business opportunities, the issuance of additional securities and other matters. In addition, sales of these shares could cause the market price of our common stock to decline significantly.</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Furthermore, in the event of a sale of our company, whether by merger, sale of all or substantially all of our assets or otherwise, the Initial Private Placement Investor and NEA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Given the amount and terms of these warrants, we may find it more difficult to raise additional equity capital on favorable terms or at all while these warrants are outstanding.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Ownership of our common stock is concentrated among our executive officers and directors and their affiliates and our significant stockholders, who have significant influence over our business, which may prevent new investors from influencing significant corporate decisions.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Our executive officers and directors, their respective affiliates, and other holders of 10% or more of our common stock beneficially own, in the aggregate, shares representing approximately 50.8% of our common stock as of May 12, 2022.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 </w:t>
      </w:r>
    </w:p>
    <w:tbl>
      <w:tblPr>
        <w:tblW w:w="3715" w:type="dxa"/>
        <w:jc w:val="left"/>
        <w:tblInd w:w="0" w:type="dxa"/>
        <w:tblCellMar>
          <w:top w:w="0" w:type="dxa"/>
          <w:left w:w="0" w:type="dxa"/>
          <w:bottom w:w="0" w:type="dxa"/>
          <w:right w:w="0" w:type="dxa"/>
        </w:tblCellMar>
      </w:tblPr>
      <w:tblGrid>
        <w:gridCol w:w="60"/>
        <w:gridCol w:w="110"/>
        <w:gridCol w:w="35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delay, defer or prevent a change in control; </w:t>
            </w:r>
          </w:p>
        </w:tc>
      </w:tr>
    </w:tbl>
    <w:tbl>
      <w:tblPr>
        <w:tblW w:w="4585" w:type="dxa"/>
        <w:jc w:val="left"/>
        <w:tblInd w:w="0" w:type="dxa"/>
        <w:tblCellMar>
          <w:top w:w="0" w:type="dxa"/>
          <w:left w:w="0" w:type="dxa"/>
          <w:bottom w:w="0" w:type="dxa"/>
          <w:right w:w="0" w:type="dxa"/>
        </w:tblCellMar>
      </w:tblPr>
      <w:tblGrid>
        <w:gridCol w:w="60"/>
        <w:gridCol w:w="110"/>
        <w:gridCol w:w="44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4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entrench our management or the board of directors; 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impede a merger, consolidation, takeover, sale, other business combination or other significant corporate transaction involving us that other stockholders may desire.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do not anticipate paying any cash dividends on our capital stock in the foreseeable future. Accordingly, stockholders must rely on appreciation in the price of our common stock, if any, for any return on their investment. </w:t>
      </w:r>
    </w:p>
    <w:p>
      <w:pPr>
        <w:pStyle w:val="TextBody"/>
        <w:spacing w:before="120" w:after="0"/>
        <w:rPr>
          <w:rFonts w:ascii="Times New Roman" w:hAnsi="Times New Roman"/>
          <w:b w:val="false"/>
          <w:i w:val="false"/>
          <w:caps w:val="false"/>
          <w:smallCaps w:val="false"/>
          <w:color w:val="000000"/>
          <w:spacing w:val="-4"/>
          <w:sz w:val="20"/>
        </w:rPr>
      </w:pPr>
      <w:r>
        <w:rPr>
          <w:rFonts w:ascii="Times New Roman" w:hAnsi="Times New Roman"/>
          <w:b w:val="false"/>
          <w:i w:val="false"/>
          <w:caps w:val="false"/>
          <w:smallCaps w:val="false"/>
          <w:color w:val="000000"/>
          <w:spacing w:val="-4"/>
          <w:sz w:val="20"/>
        </w:rPr>
        <w:t xml:space="preserve">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are an “emerging growth company” and a “smaller reporting company” and the reduced disclosure requirements applicable to us may make our common stock less attractive to investors.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incur increased costs as a result of operating as a public company and our management is required to devote substantial time to compliance initiatives and corporate governance practices.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fail to maintain proper and effective internal controls, our ability to produce accurate financial statements on a timely basis could be impaired.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might not be able to utilize a significant portion of our net operating loss carryforwards and research and development tax credit carryforwards.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December 31, 2021, we had federal and state net operating loss carryforwards of $169.7 million and federal research and development tax credit carryforwards of $4.6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0" w:after="0"/>
        <w:rPr/>
      </w:pPr>
      <w:r>
        <w:rPr/>
        <w:t> </w:t>
      </w:r>
    </w:p>
    <w:p>
      <w:pPr>
        <w:pStyle w:val="TextBody"/>
        <w:spacing w:before="120" w:after="0"/>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rPr>
        <w:t xml:space="preserve">ownership change” under Section 382 of the IRC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Changes in tax laws or in their implementation or interpretation may adversely affect our business and financial condition.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us. In addition, it is uncertain if and to what extent various states will conform to the Tax Act, the FFCR Act or the CARES Act.</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Provisions in our organizational documents and under Delaware law may prevent or frustrate attempts by our stockholders to change our management or hinder efforts to acquire a controlling interest in us.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tbl>
      <w:tblPr>
        <w:tblW w:w="8425" w:type="dxa"/>
        <w:jc w:val="left"/>
        <w:tblInd w:w="0" w:type="dxa"/>
        <w:tblCellMar>
          <w:top w:w="0" w:type="dxa"/>
          <w:left w:w="0" w:type="dxa"/>
          <w:bottom w:w="0" w:type="dxa"/>
          <w:right w:w="0" w:type="dxa"/>
        </w:tblCellMar>
      </w:tblPr>
      <w:tblGrid>
        <w:gridCol w:w="60"/>
        <w:gridCol w:w="110"/>
        <w:gridCol w:w="82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2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 a classified board of directors such that all members of the board are not elected at one time; </w:t>
            </w:r>
          </w:p>
        </w:tc>
      </w:tr>
    </w:tbl>
    <w:tbl>
      <w:tblPr>
        <w:tblW w:w="8620" w:type="dxa"/>
        <w:jc w:val="left"/>
        <w:tblInd w:w="0" w:type="dxa"/>
        <w:tblCellMar>
          <w:top w:w="0" w:type="dxa"/>
          <w:left w:w="0" w:type="dxa"/>
          <w:bottom w:w="0" w:type="dxa"/>
          <w:right w:w="0" w:type="dxa"/>
        </w:tblCellMar>
      </w:tblPr>
      <w:tblGrid>
        <w:gridCol w:w="60"/>
        <w:gridCol w:w="110"/>
        <w:gridCol w:w="84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4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allow the authorized number of our directors to be changed only by resolution of our board of directors; </w:t>
            </w:r>
          </w:p>
        </w:tc>
      </w:tr>
    </w:tbl>
    <w:tbl>
      <w:tblPr>
        <w:tblW w:w="6415" w:type="dxa"/>
        <w:jc w:val="left"/>
        <w:tblInd w:w="0" w:type="dxa"/>
        <w:tblCellMar>
          <w:top w:w="0" w:type="dxa"/>
          <w:left w:w="0" w:type="dxa"/>
          <w:bottom w:w="0" w:type="dxa"/>
          <w:right w:w="0" w:type="dxa"/>
        </w:tblCellMar>
      </w:tblPr>
      <w:tblGrid>
        <w:gridCol w:w="60"/>
        <w:gridCol w:w="110"/>
        <w:gridCol w:w="62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2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limit the manner in which stockholders can remove directors from the board;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 advance notice requirements for nominations for election to the board of directors or for proposing matters that can be acted on at stockholder meetings;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require that stockholder actions must be effected at a duly called stockholder meeting and prohibit actions by our stockholders by written consent; </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limit who may call a special meeting of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require the approval of the holders of at least 75% of the votes that all our stockholders would be entitled to cast to amend or repeal certain provisions of our certificate of incorporation or by-laws.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Related to Our Business Operations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face risks related to health epidemics and other widespread outbreaks of contagious disease, including the COVID-19 pandemic,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Significant outbreaks of contagious diseases, such as COVID-19, and other adverse public health developments, could have a material impact on our business operations and operating results.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PRISM trial, new subject screening and most enrollment was temporarily halted in March 2020 due to the COVID-19 pandemic. After resuming screening and enrollment, multiple sites in the Phase 2b/3 PRISM trial required some remote monitoring of subject data, although all sites are now allowing in-person monitoring visits. We also experienced slower recruitment activities in the Phase 2b/3 PRISM trial worldwide through the latter part of 2020 and the beginning of 2021 due to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resurgence of COVID-19. In addition, the clinical sites in our ongoing Phase 2 CANAL trial for chronic cough in adults with IPF experienced delays in the enrollment and treatment of subjects in the trial due to the vulnerability of IPF patients to COVID-19 and as a result, we amended the protocol for the trial to reduce the number of in-person subject visits and procedures. Although both the Phase 2 CANAL and Phase 2b/3 PRISM trials have now ended enrollment, the COVID-19 pandemic could still adversely affect our ability to retain subjects,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or potential inability of subjects to comply with clinical trial protocols if quarantines or travel restrictions impede subject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part of the week, which could negatively affect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cannot presently predict the scope and severity of the disruptions we may experience or continue to experience as a result of the COVID-19 pandemic.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pStyle w:val="TextBody"/>
        <w:spacing w:before="120" w:after="0"/>
        <w:rPr>
          <w:rFonts w:ascii="Times New Roman" w:hAnsi="Times New Roman"/>
          <w:b/>
          <w:i w:val="false"/>
          <w:caps w:val="false"/>
          <w:smallCaps w:val="false"/>
          <w:sz w:val="20"/>
        </w:rPr>
      </w:pPr>
      <w:bookmarkStart w:id="16" w:name="ITEM_2_UNREGISTERED_SALES_EQUITY_SECURIT"/>
      <w:bookmarkEnd w:id="16"/>
      <w:r>
        <w:rPr>
          <w:rFonts w:ascii="Times New Roman" w:hAnsi="Times New Roman"/>
          <w:b/>
          <w:i w:val="false"/>
          <w:caps w:val="false"/>
          <w:smallCaps w:val="false"/>
          <w:sz w:val="20"/>
        </w:rPr>
        <w:t>Item 2. Unregistered Sales of Equity Securities and Use of Proceeds.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Unregistered Sales of Equity Securities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did not sell or issue any equity securities during the three months ended March 31, 2022 that were not registered under the Securities Act of 1933, as amended, or the Securities Act.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7" w:name="ITEM_6_EXHIBITS"/>
      <w:bookmarkEnd w:id="17"/>
      <w:r>
        <w:rPr>
          <w:rFonts w:ascii="Times New Roman" w:hAnsi="Times New Roman"/>
          <w:b/>
          <w:i w:val="false"/>
          <w:caps w:val="false"/>
          <w:smallCaps w:val="false"/>
          <w:sz w:val="20"/>
        </w:rPr>
        <w:t>Item 6. Exhibits.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605"/>
        <w:gridCol w:w="60"/>
        <w:gridCol w:w="9540"/>
      </w:tblGrid>
      <w:tr>
        <w:trPr/>
        <w:tc>
          <w:tcPr>
            <w:tcW w:w="60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4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Description</w:t>
            </w:r>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2">
              <w:r>
                <w:rPr>
                  <w:rStyle w:val="InternetLink"/>
                  <w:rFonts w:ascii="Times New Roman" w:hAnsi="Times New Roman"/>
                  <w:b w:val="false"/>
                  <w:i w:val="false"/>
                  <w:caps w:val="false"/>
                  <w:smallCaps w:val="false"/>
                  <w:sz w:val="20"/>
                  <w:u w:val="single"/>
                </w:rPr>
                <w:t>Form of Pre-Funded Warrant (incorporated by reference to Exhibit 4.1 to the Registrant’s Current Report on Form 8-K (File no. 001-38886) filed with the SEC on April 7, 2022)</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w:anchor="trvi-ex101_66.htm">
              <w:r>
                <w:rPr>
                  <w:rStyle w:val="InternetLink"/>
                  <w:rFonts w:ascii="Times New Roman" w:hAnsi="Times New Roman"/>
                  <w:b w:val="false"/>
                  <w:i w:val="false"/>
                  <w:caps w:val="false"/>
                  <w:smallCaps w:val="false"/>
                  <w:sz w:val="20"/>
                  <w:u w:val="single"/>
                </w:rPr>
                <w:t>Offer Letter, dated January 8, 2021, by and between the Registrant and William B. Forbes</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3">
              <w:r>
                <w:rPr>
                  <w:rStyle w:val="InternetLink"/>
                  <w:rFonts w:ascii="Times New Roman" w:hAnsi="Times New Roman"/>
                  <w:b w:val="false"/>
                  <w:i w:val="false"/>
                  <w:caps w:val="false"/>
                  <w:smallCaps w:val="false"/>
                  <w:sz w:val="20"/>
                  <w:u w:val="single"/>
                </w:rPr>
                <w:t>Securities Purchase Agreement, dated April 6, 2022, by and among the Registrant and the Purchasers named therein (incorporated by reference to Exhibit 99.1 to the Registrant’s Current Report on Form 8-K (File no. 001-38886) filed with the SEC on April 7, 2022)</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4">
              <w:r>
                <w:rPr>
                  <w:rStyle w:val="InternetLink"/>
                  <w:rFonts w:ascii="Times New Roman" w:hAnsi="Times New Roman"/>
                  <w:b w:val="false"/>
                  <w:i w:val="false"/>
                  <w:caps w:val="false"/>
                  <w:smallCaps w:val="false"/>
                  <w:sz w:val="20"/>
                  <w:u w:val="single"/>
                </w:rPr>
                <w:t>Registration Rights Agreement, dated April 6, 2022, by and among the Registrant and the Purchasers named therein (incorporated by reference to Exhibit 99.2 to the Registrant’s Current Report on Form 8-K (File no. 001-38886) filed with the SEC on April 7, 2022)</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5">
              <w:r>
                <w:rPr>
                  <w:rStyle w:val="InternetLink"/>
                  <w:rFonts w:ascii="Times New Roman" w:hAnsi="Times New Roman"/>
                  <w:b w:val="false"/>
                  <w:i w:val="false"/>
                  <w:caps w:val="false"/>
                  <w:smallCaps w:val="false"/>
                  <w:sz w:val="20"/>
                  <w:u w:val="single"/>
                </w:rPr>
                <w:t>Third Amendment to Loan and Security Agreement, dated April 6, 2022, by and between Silicon Valley Bank and the Registrant (incorporated by reference to Exhibit 99.3 to the Registrant’s Current Report on Form 8-K (File no. 001-38886) filed with the SEC on April 7, 2022)</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w:anchor="trvi-ex311_10.htm">
              <w:r>
                <w:rPr>
                  <w:rStyle w:val="InternetLink"/>
                  <w:rFonts w:ascii="Times New Roman" w:hAnsi="Times New Roman"/>
                  <w:b w:val="false"/>
                  <w:i w:val="false"/>
                  <w:caps w:val="false"/>
                  <w:smallCaps w:val="false"/>
                  <w:sz w:val="20"/>
                  <w:u w:val="single"/>
                </w:rPr>
                <w:t>Certification of Principal Executive Officer Pursuant to Rules 13a-14(a) or 15d-14(a) under the Securities Exchange Act of 1934, as Adopted Pursuant to Section 302 of the Sarbanes-Oxley Act of 2002</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w:anchor="trvi-ex312_9.htm">
              <w:r>
                <w:rPr>
                  <w:rStyle w:val="InternetLink"/>
                  <w:rFonts w:ascii="Times New Roman" w:hAnsi="Times New Roman"/>
                  <w:b w:val="false"/>
                  <w:i w:val="false"/>
                  <w:caps w:val="false"/>
                  <w:smallCaps w:val="false"/>
                  <w:sz w:val="20"/>
                  <w:u w:val="single"/>
                </w:rPr>
                <w:t>Certification of Principal Financial Officer Pursuant to Rules 13a-14(a) or 15d-14(a) under the Securities Exchange Act of 1934, as Adopted Pursuant to Section 302 of the Sarbanes-Oxley Act of 2002</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32.1*</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w:anchor="trvi-ex321_7.htm">
              <w:r>
                <w:rPr>
                  <w:rStyle w:val="InternetLink"/>
                  <w:rFonts w:ascii="Times New Roman" w:hAnsi="Times New Roman"/>
                  <w:b w:val="false"/>
                  <w:i w:val="false"/>
                  <w:caps w:val="false"/>
                  <w:smallCaps w:val="false"/>
                  <w:sz w:val="20"/>
                  <w:u w:val="single"/>
                </w:rPr>
                <w:t>Certification of Principal Executive Officer Pursuant to 18 U.S.C. Section 1350, as Adopted Pursuant to Section 906 of the Sarbanes-Oxley Act of 2002</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32.2*</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w:anchor="trvi-ex322_8.htm">
              <w:r>
                <w:rPr>
                  <w:rStyle w:val="InternetLink"/>
                  <w:rFonts w:ascii="Times New Roman" w:hAnsi="Times New Roman"/>
                  <w:b w:val="false"/>
                  <w:i w:val="false"/>
                  <w:caps w:val="false"/>
                  <w:smallCaps w:val="false"/>
                  <w:sz w:val="20"/>
                  <w:u w:val="single"/>
                </w:rPr>
                <w:t>Certification of Principal Financial Officer Pursuant to 18 U.S.C. Section 1350, as Adopted Pursuant to Section 906 of the Sarbanes-Oxley Act of 2002</w:t>
              </w:r>
            </w:hyperlink>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p>
    <w:p>
      <w:pPr>
        <w:pStyle w:val="HorizontalLine"/>
        <w:rPr/>
      </w:pPr>
      <w:r>
        <w:rPr/>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08"/>
        <w:gridCol w:w="60"/>
        <w:gridCol w:w="9437"/>
      </w:tblGrid>
      <w:tr>
        <w:trPr/>
        <w:tc>
          <w:tcPr>
            <w:tcW w:w="70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101.INS*</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Instance Document – the instance document does not appear in the Interactive Data File because its XBRL tags are embedded within the Inline XBRL document.</w:t>
            </w:r>
          </w:p>
        </w:tc>
      </w:tr>
      <w:tr>
        <w:trPr/>
        <w:tc>
          <w:tcPr>
            <w:tcW w:w="708"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pPr>
            <w:r>
              <w:rPr/>
              <w:t> </w:t>
            </w:r>
          </w:p>
        </w:tc>
      </w:tr>
      <w:tr>
        <w:trPr/>
        <w:tc>
          <w:tcPr>
            <w:tcW w:w="70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101.SCH*</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Schema Document</w:t>
            </w:r>
          </w:p>
        </w:tc>
      </w:tr>
      <w:tr>
        <w:trPr/>
        <w:tc>
          <w:tcPr>
            <w:tcW w:w="708"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pPr>
            <w:r>
              <w:rPr/>
              <w:t> </w:t>
            </w:r>
          </w:p>
        </w:tc>
      </w:tr>
      <w:tr>
        <w:trPr/>
        <w:tc>
          <w:tcPr>
            <w:tcW w:w="70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101.CAL*</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Calculation Linkbase Document</w:t>
            </w:r>
          </w:p>
        </w:tc>
      </w:tr>
      <w:tr>
        <w:trPr/>
        <w:tc>
          <w:tcPr>
            <w:tcW w:w="708"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pPr>
            <w:r>
              <w:rPr/>
              <w:t> </w:t>
            </w:r>
          </w:p>
        </w:tc>
      </w:tr>
      <w:tr>
        <w:trPr/>
        <w:tc>
          <w:tcPr>
            <w:tcW w:w="70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101.DEF*</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Definition Linkbase Document</w:t>
            </w:r>
          </w:p>
        </w:tc>
      </w:tr>
      <w:tr>
        <w:trPr/>
        <w:tc>
          <w:tcPr>
            <w:tcW w:w="708"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pPr>
            <w:r>
              <w:rPr/>
              <w:t> </w:t>
            </w:r>
          </w:p>
        </w:tc>
      </w:tr>
      <w:tr>
        <w:trPr/>
        <w:tc>
          <w:tcPr>
            <w:tcW w:w="70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101.LAB*</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Label Linkbase Document</w:t>
            </w:r>
          </w:p>
        </w:tc>
      </w:tr>
      <w:tr>
        <w:trPr/>
        <w:tc>
          <w:tcPr>
            <w:tcW w:w="708"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pPr>
            <w:r>
              <w:rPr/>
              <w:t> </w:t>
            </w:r>
          </w:p>
        </w:tc>
      </w:tr>
      <w:tr>
        <w:trPr/>
        <w:tc>
          <w:tcPr>
            <w:tcW w:w="70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101.PRE*</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Presentation Linkbase Document</w:t>
            </w:r>
          </w:p>
        </w:tc>
      </w:tr>
      <w:tr>
        <w:trPr/>
        <w:tc>
          <w:tcPr>
            <w:tcW w:w="708"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pPr>
            <w:r>
              <w:rPr/>
              <w:t> </w:t>
            </w:r>
          </w:p>
        </w:tc>
      </w:tr>
      <w:tr>
        <w:trPr/>
        <w:tc>
          <w:tcPr>
            <w:tcW w:w="70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tcPr>
          <w:p>
            <w:pPr>
              <w:pStyle w:val="TableContents"/>
              <w:spacing w:before="0" w:after="0"/>
              <w:ind w:left="0" w:right="0" w:hanging="0"/>
              <w:rPr/>
            </w:pPr>
            <w:r>
              <w:rPr/>
              <w:t> </w:t>
            </w:r>
          </w:p>
        </w:tc>
        <w:tc>
          <w:tcPr>
            <w:tcW w:w="943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Cover Page Interactive Data File (formatted as Inline XBRL and contained in Exhibit 101).</w:t>
            </w:r>
          </w:p>
        </w:tc>
      </w:tr>
    </w:tbl>
    <w:p>
      <w:pPr>
        <w:pStyle w:val="TextBody"/>
        <w:pBdr>
          <w:bottom w:val="single" w:sz="6" w:space="1" w:color="000000"/>
        </w:pBdr>
        <w:spacing w:before="0" w:after="0"/>
        <w:rPr/>
      </w:pPr>
      <w:r>
        <w:rPr/>
        <w:t> </w:t>
      </w:r>
    </w:p>
    <w:tbl>
      <w:tblPr>
        <w:tblW w:w="1360" w:type="dxa"/>
        <w:jc w:val="left"/>
        <w:tblInd w:w="0" w:type="dxa"/>
        <w:tblCellMar>
          <w:top w:w="0" w:type="dxa"/>
          <w:left w:w="0" w:type="dxa"/>
          <w:bottom w:w="0" w:type="dxa"/>
          <w:right w:w="0" w:type="dxa"/>
        </w:tblCellMar>
      </w:tblPr>
      <w:tblGrid>
        <w:gridCol w:w="125"/>
        <w:gridCol w:w="1235"/>
      </w:tblGrid>
      <w:tr>
        <w:trPr/>
        <w:tc>
          <w:tcPr>
            <w:tcW w:w="12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23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Filed herewith.</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18" w:name="SIGNATURES"/>
      <w:bookmarkEnd w:id="18"/>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5220" w:type="dxa"/>
        <w:jc w:val="left"/>
        <w:tblInd w:w="0" w:type="dxa"/>
        <w:tblCellMar>
          <w:top w:w="0" w:type="dxa"/>
          <w:left w:w="0" w:type="dxa"/>
          <w:bottom w:w="0" w:type="dxa"/>
          <w:right w:w="0" w:type="dxa"/>
        </w:tblCellMar>
      </w:tblPr>
      <w:tblGrid>
        <w:gridCol w:w="1640"/>
        <w:gridCol w:w="60"/>
        <w:gridCol w:w="320"/>
        <w:gridCol w:w="3200"/>
      </w:tblGrid>
      <w:tr>
        <w:trPr/>
        <w:tc>
          <w:tcPr>
            <w:tcW w:w="164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20" w:type="dxa"/>
            <w:gridSpan w:val="2"/>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TREVI THERAPEUTICS, INC.</w:t>
            </w:r>
          </w:p>
        </w:tc>
      </w:tr>
      <w:tr>
        <w:trPr/>
        <w:tc>
          <w:tcPr>
            <w:tcW w:w="164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200"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Jennifer L. Good</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Jennifer L. Good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President and Chief Executive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r>
        <w:trPr/>
        <w:tc>
          <w:tcPr>
            <w:tcW w:w="164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40" w:type="dxa"/>
            <w:tcBorders>
              <w:bottom w:val="single" w:sz="6" w:space="0" w:color="000000"/>
            </w:tcBorders>
            <w:shd w:fill="FFFFFF" w:val="clear"/>
            <w:tcMar>
              <w:bottom w:w="28" w:type="dxa"/>
            </w:tcMar>
            <w:vAlign w:val="center"/>
          </w:tcPr>
          <w:p>
            <w:pPr>
              <w:pStyle w:val="TableContents"/>
              <w:spacing w:before="0" w:after="0"/>
              <w:ind w:left="0" w:right="0" w:hanging="0"/>
              <w:rPr/>
            </w:pPr>
            <w:r>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pPr>
            <w:r>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200"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Lisa Delfini</w:t>
            </w:r>
          </w:p>
        </w:tc>
      </w:tr>
      <w:tr>
        <w:trPr/>
        <w:tc>
          <w:tcPr>
            <w:tcW w:w="164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Lisa Delfini</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Officer)</w:t>
            </w:r>
          </w:p>
        </w:tc>
      </w:tr>
      <w:tr>
        <w:trPr/>
        <w:tc>
          <w:tcPr>
            <w:tcW w:w="164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bottom"/>
          </w:tcPr>
          <w:p>
            <w:pPr>
              <w:pStyle w:val="TableContents"/>
              <w:spacing w:before="0" w:after="0"/>
              <w:ind w:left="0" w:right="0" w:hanging="0"/>
              <w:rPr/>
            </w:pPr>
            <w:r>
              <w:rPr/>
              <w:t> </w:t>
            </w:r>
          </w:p>
        </w:tc>
        <w:tc>
          <w:tcPr>
            <w:tcW w:w="3200" w:type="dxa"/>
            <w:tcBorders/>
            <w:shd w:fill="FFFFFF" w:val="clear"/>
            <w:vAlign w:val="bottom"/>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73</w:t>
      </w:r>
      <w:r>
        <w:br w:type="page"/>
      </w:r>
    </w:p>
    <w:p>
      <w:pPr>
        <w:pStyle w:val="TextBody"/>
        <w:spacing w:before="0" w:after="0"/>
        <w:jc w:val="right"/>
        <w:rPr>
          <w:rFonts w:ascii="Times New Roman" w:hAnsi="Times New Roman"/>
          <w:b/>
          <w:i w:val="false"/>
          <w:caps w:val="false"/>
          <w:smallCaps w:val="false"/>
          <w:sz w:val="22"/>
        </w:rPr>
      </w:pPr>
      <w:bookmarkStart w:id="19" w:name="trvi-ex101_66.htm"/>
      <w:bookmarkStart w:id="20" w:name="kstrviex101_66"/>
      <w:bookmarkEnd w:id="19"/>
      <w:bookmarkEnd w:id="20"/>
      <w:r>
        <w:rPr>
          <w:rFonts w:ascii="Times New Roman" w:hAnsi="Times New Roman"/>
          <w:b/>
          <w:i w:val="false"/>
          <w:caps w:val="false"/>
          <w:smallCaps w:val="false"/>
          <w:sz w:val="22"/>
        </w:rPr>
        <w:t>Exhibit 10.1</w:t>
      </w:r>
    </w:p>
    <w:p>
      <w:pPr>
        <w:pStyle w:val="TextBody"/>
        <w:spacing w:before="0" w:after="0"/>
        <w:jc w:val="right"/>
        <w:rPr>
          <w:caps w:val="false"/>
          <w:smallCaps w:val="false"/>
        </w:rPr>
      </w:pPr>
      <w:r>
        <w:rPr>
          <w:caps w:val="false"/>
          <w:smallCaps w:val="false"/>
        </w:rPr>
        <w:drawing>
          <wp:inline distT="0" distB="0" distL="0" distR="0">
            <wp:extent cx="15430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543050" cy="733425"/>
                    </a:xfrm>
                    <a:prstGeom prst="rect">
                      <a:avLst/>
                    </a:prstGeom>
                  </pic:spPr>
                </pic:pic>
              </a:graphicData>
            </a:graphic>
          </wp:inline>
        </w:drawing>
      </w:r>
    </w:p>
    <w:p>
      <w:pPr>
        <w:pStyle w:val="TextBody"/>
        <w:spacing w:before="0" w:after="20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January 8, 2021</w:t>
      </w:r>
    </w:p>
    <w:p>
      <w:pPr>
        <w:pStyle w:val="TextBody"/>
        <w:spacing w:before="0" w:after="0"/>
        <w:rPr/>
      </w:pPr>
      <w:r>
        <w:rPr/>
        <w:t> </w:t>
      </w:r>
    </w:p>
    <w:p>
      <w:pPr>
        <w:pStyle w:val="TextBody"/>
        <w:spacing w:before="0" w:after="20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Dear Bill,</w:t>
      </w:r>
    </w:p>
    <w:p>
      <w:pPr>
        <w:pStyle w:val="TextBody"/>
        <w:spacing w:before="0" w:after="20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On behalf of Trevi Therapeutics, Inc. (the “Company” or “Trevi”), I am pleased to offer you employment with the Company on the following terms. </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Employment</w:t>
      </w:r>
      <w:r>
        <w:rPr>
          <w:rFonts w:ascii="Times New Roman" w:hAnsi="Times New Roman"/>
          <w:b w:val="false"/>
          <w:i w:val="false"/>
          <w:caps w:val="false"/>
          <w:smallCaps w:val="false"/>
          <w:sz w:val="22"/>
        </w:rPr>
        <w:t>.  I am pleased to offer you the position of Chief Development Officer, beginning on a mutually agreed upon date anticipated to be by the end of January (the “</w:t>
      </w:r>
      <w:r>
        <w:rPr>
          <w:rFonts w:ascii="Times New Roman" w:hAnsi="Times New Roman"/>
          <w:b w:val="false"/>
          <w:i w:val="false"/>
          <w:caps w:val="false"/>
          <w:smallCaps w:val="false"/>
          <w:sz w:val="22"/>
          <w:u w:val="single"/>
        </w:rPr>
        <w:t>Start Date</w:t>
      </w:r>
      <w:r>
        <w:rPr>
          <w:rFonts w:ascii="Times New Roman" w:hAnsi="Times New Roman"/>
          <w:b/>
          <w:i w:val="false"/>
          <w:caps w:val="false"/>
          <w:smallCaps w:val="false"/>
          <w:sz w:val="22"/>
        </w:rPr>
        <w:t>”</w:t>
      </w:r>
      <w:r>
        <w:rPr>
          <w:rFonts w:ascii="Times New Roman" w:hAnsi="Times New Roman"/>
          <w:b w:val="false"/>
          <w:i w:val="false"/>
          <w:caps w:val="false"/>
          <w:smallCaps w:val="false"/>
          <w:sz w:val="22"/>
        </w:rPr>
        <w:t>), reporting to the Chief Executive Officer of the Company.  You will be responsible for performing the duties and responsibilities as are customarily associated with the position or as the Company may otherwise assign to you. Your primary place of employment will be in the Company's offices located in New Haven, Connecticut</w:t>
      </w:r>
      <w:r>
        <w:rPr>
          <w:rFonts w:ascii="Times New Roman" w:hAnsi="Times New Roman"/>
          <w:b/>
          <w:i w:val="false"/>
          <w:caps w:val="false"/>
          <w:smallCaps w:val="false"/>
          <w:sz w:val="22"/>
        </w:rPr>
        <w:t xml:space="preserve"> </w:t>
      </w:r>
      <w:r>
        <w:rPr>
          <w:rFonts w:ascii="Times New Roman" w:hAnsi="Times New Roman"/>
          <w:b w:val="false"/>
          <w:i w:val="false"/>
          <w:caps w:val="false"/>
          <w:smallCaps w:val="false"/>
          <w:sz w:val="22"/>
        </w:rPr>
        <w:t>and you will generally be expected to be in the office at least 2-3 days per week, taking into account current activities and other travel commitments.  You agree to devote your full business time, best efforts, skill, knowledge, attention and energies to the advancement of the Company’s business and interests and to the performance of your duties and responsibilities as an employee of the Company, and shall not engage in any other employment, consulting or other business activity without the prior written consent of the Board. In the course of your employment with the Company, you will be subject to, and required to comply with, all Company policies and procedures and all applicable laws and regulations.</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Base Salary</w:t>
      </w:r>
      <w:r>
        <w:rPr>
          <w:rFonts w:ascii="Times New Roman" w:hAnsi="Times New Roman"/>
          <w:b w:val="false"/>
          <w:i w:val="false"/>
          <w:caps w:val="false"/>
          <w:smallCaps w:val="false"/>
          <w:sz w:val="22"/>
        </w:rPr>
        <w:t xml:space="preserve">.  During your employment, the Company will pay you a salary at the bi-weekly rate of $17,308, which is equivalent to $450,000 on an annualized basis, payable in accordance with the regular payroll practices of the Company and subject to applicable deductions and withholdings.  Your salary may be adjusted from time to time in accordance with normal business practice and in the sole discretion of the Company. </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Annual Incentive Bonus</w:t>
      </w:r>
      <w:r>
        <w:rPr>
          <w:rFonts w:ascii="Times New Roman" w:hAnsi="Times New Roman"/>
          <w:b w:val="false"/>
          <w:i w:val="false"/>
          <w:caps w:val="false"/>
          <w:smallCaps w:val="false"/>
          <w:sz w:val="22"/>
        </w:rPr>
        <w:t>.  Following the end of each fiscal year and subject to the approval by the Company’s Board of Directors in its sole discretion, you will be eligible to earn an incentive bonus, based on your performance and the Company’s performance, each during the applicable fiscal year, and subject to your continued employment in good standing on the date of payment of such incentive bonus.  Your target annual incentive bonus opportunity shall be up to 40% of your annualized base salary.  Your target annual incentive bonus opportunity for your first fiscal year will be pro-rated in accordance with the Company’s policy.</w:t>
      </w:r>
    </w:p>
    <w:p>
      <w:pPr>
        <w:pStyle w:val="TextBody"/>
        <w:spacing w:before="0" w:after="200"/>
        <w:jc w:val="both"/>
        <w:rPr>
          <w:rFonts w:ascii="Times New Roman" w:hAnsi="Times New Roman"/>
          <w:b/>
          <w:i w:val="false"/>
          <w:caps w:val="false"/>
          <w:smallCaps w:val="false"/>
          <w:sz w:val="22"/>
        </w:rPr>
      </w:pPr>
      <w:bookmarkStart w:id="21" w:name="_Hlk609488461"/>
      <w:bookmarkEnd w:id="21"/>
      <w:r>
        <w:rPr>
          <w:rFonts w:ascii="Times New Roman" w:hAnsi="Times New Roman"/>
          <w:b/>
          <w:i w:val="false"/>
          <w:caps w:val="false"/>
          <w:smallCaps w:val="false"/>
          <w:sz w:val="22"/>
        </w:rPr>
        <w:t>Benefits</w:t>
      </w:r>
      <w:r>
        <w:rPr>
          <w:rFonts w:ascii="Times New Roman" w:hAnsi="Times New Roman"/>
          <w:b w:val="false"/>
          <w:i w:val="false"/>
          <w:caps w:val="false"/>
          <w:smallCaps w:val="false"/>
          <w:sz w:val="22"/>
        </w:rPr>
        <w:t>.  You may participate in any and all benefit programs that the Company establishes and makes available to its similarly situated executive employees from time to time, subject to the terms and conditions of those programs</w:t>
      </w:r>
      <w:bookmarkStart w:id="22" w:name="_Hlk60948846"/>
      <w:bookmarkEnd w:id="22"/>
      <w:r>
        <w:rPr>
          <w:rFonts w:ascii="Times New Roman" w:hAnsi="Times New Roman"/>
          <w:b w:val="false"/>
          <w:i w:val="false"/>
          <w:caps w:val="false"/>
          <w:smallCaps w:val="false"/>
          <w:sz w:val="22"/>
        </w:rPr>
        <w:t>. The Company’s benefits programs are subject to change at any time in the Company’s sole discretion.  </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Vacation</w:t>
      </w:r>
      <w:r>
        <w:rPr>
          <w:rFonts w:ascii="Times New Roman" w:hAnsi="Times New Roman"/>
          <w:b w:val="false"/>
          <w:i w:val="false"/>
          <w:caps w:val="false"/>
          <w:smallCaps w:val="false"/>
          <w:sz w:val="22"/>
        </w:rPr>
        <w:t xml:space="preserve">.  You will be eligible for annual paid vacation of 20 days. Your accrual and use of vacation time will be pursuant and subject to any vacation or time off policy the Company may establish or modify from </w:t>
      </w:r>
    </w:p>
    <w:p>
      <w:pPr>
        <w:pStyle w:val="TextBody"/>
        <w:spacing w:before="240" w:after="0"/>
        <w:jc w:val="right"/>
        <w:rPr>
          <w:rFonts w:ascii="Calibri" w:hAnsi="Calibri"/>
          <w:b w:val="false"/>
          <w:i w:val="false"/>
          <w:caps w:val="false"/>
          <w:smallCaps w:val="false"/>
          <w:sz w:val="22"/>
        </w:rPr>
      </w:pPr>
      <w:r>
        <w:rPr>
          <w:rFonts w:ascii="Calibri" w:hAnsi="Calibri"/>
          <w:b w:val="false"/>
          <w:i w:val="false"/>
          <w:caps w:val="false"/>
          <w:smallCaps w:val="false"/>
          <w:sz w:val="22"/>
        </w:rPr>
        <w:t>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20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time to time.  The Company’s vacation policy is subject to change at any time in the Company’s sole discretion.</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Equity Grants</w:t>
      </w:r>
      <w:r>
        <w:rPr>
          <w:rFonts w:ascii="Times New Roman" w:hAnsi="Times New Roman"/>
          <w:b w:val="false"/>
          <w:i w:val="false"/>
          <w:caps w:val="false"/>
          <w:smallCaps w:val="false"/>
          <w:sz w:val="22"/>
        </w:rPr>
        <w:t>.  Subject to and upon the approval of the Board of Directors of the Company after your Start Date, the Company shall grant to you a stock option (the “</w:t>
      </w:r>
      <w:r>
        <w:rPr>
          <w:rFonts w:ascii="Times New Roman" w:hAnsi="Times New Roman"/>
          <w:b w:val="false"/>
          <w:i w:val="false"/>
          <w:caps w:val="false"/>
          <w:smallCaps w:val="false"/>
          <w:sz w:val="22"/>
          <w:u w:val="single"/>
        </w:rPr>
        <w:t>Option</w:t>
      </w:r>
      <w:r>
        <w:rPr>
          <w:rFonts w:ascii="Times New Roman" w:hAnsi="Times New Roman"/>
          <w:b/>
          <w:i w:val="false"/>
          <w:caps w:val="false"/>
          <w:smallCaps w:val="false"/>
          <w:sz w:val="22"/>
        </w:rPr>
        <w:t>”</w:t>
      </w:r>
      <w:r>
        <w:rPr>
          <w:rFonts w:ascii="Times New Roman" w:hAnsi="Times New Roman"/>
          <w:b w:val="false"/>
          <w:i w:val="false"/>
          <w:caps w:val="false"/>
          <w:smallCaps w:val="false"/>
          <w:sz w:val="22"/>
        </w:rPr>
        <w:t>) under the Company’s 2019 Equity Incentive Plan, as it may be amended from time to time (the “</w:t>
      </w:r>
      <w:r>
        <w:rPr>
          <w:rFonts w:ascii="Times New Roman" w:hAnsi="Times New Roman"/>
          <w:b w:val="false"/>
          <w:i w:val="false"/>
          <w:caps w:val="false"/>
          <w:smallCaps w:val="false"/>
          <w:sz w:val="22"/>
          <w:u w:val="single"/>
        </w:rPr>
        <w:t>Plan</w:t>
      </w:r>
      <w:r>
        <w:rPr>
          <w:rFonts w:ascii="Times New Roman" w:hAnsi="Times New Roman"/>
          <w:b/>
          <w:i w:val="false"/>
          <w:caps w:val="false"/>
          <w:smallCaps w:val="false"/>
          <w:sz w:val="22"/>
        </w:rPr>
        <w:t>”</w:t>
      </w:r>
      <w:r>
        <w:rPr>
          <w:rFonts w:ascii="Times New Roman" w:hAnsi="Times New Roman"/>
          <w:b w:val="false"/>
          <w:i w:val="false"/>
          <w:caps w:val="false"/>
          <w:smallCaps w:val="false"/>
          <w:sz w:val="22"/>
        </w:rPr>
        <w:t>), to purchase 200,000 shares (subject to any adjustments for any stock splits, stock dividends, reverse stock splits or recapitalizations that are effected at any time during the period commencing after the date of this letter and ending on the grant date of the Option, the “</w:t>
      </w:r>
      <w:r>
        <w:rPr>
          <w:rFonts w:ascii="Times New Roman" w:hAnsi="Times New Roman"/>
          <w:b w:val="false"/>
          <w:i w:val="false"/>
          <w:caps w:val="false"/>
          <w:smallCaps w:val="false"/>
          <w:sz w:val="22"/>
          <w:u w:val="single"/>
        </w:rPr>
        <w:t>Option Shares”</w:t>
      </w:r>
      <w:r>
        <w:rPr>
          <w:rFonts w:ascii="Times New Roman" w:hAnsi="Times New Roman"/>
          <w:b w:val="false"/>
          <w:i w:val="false"/>
          <w:caps w:val="false"/>
          <w:smallCaps w:val="false"/>
          <w:sz w:val="22"/>
        </w:rPr>
        <w:t>) of the Company’s common stock, $0.001 par value per share (the “</w:t>
      </w:r>
      <w:r>
        <w:rPr>
          <w:rFonts w:ascii="Times New Roman" w:hAnsi="Times New Roman"/>
          <w:b w:val="false"/>
          <w:i w:val="false"/>
          <w:caps w:val="false"/>
          <w:smallCaps w:val="false"/>
          <w:sz w:val="22"/>
          <w:u w:val="single"/>
        </w:rPr>
        <w:t>Common Stock</w:t>
      </w:r>
      <w:r>
        <w:rPr>
          <w:rFonts w:ascii="Times New Roman" w:hAnsi="Times New Roman"/>
          <w:b/>
          <w:i w:val="false"/>
          <w:caps w:val="false"/>
          <w:smallCaps w:val="false"/>
          <w:sz w:val="22"/>
        </w:rPr>
        <w:t>”</w:t>
      </w:r>
      <w:r>
        <w:rPr>
          <w:rFonts w:ascii="Times New Roman" w:hAnsi="Times New Roman"/>
          <w:b w:val="false"/>
          <w:i w:val="false"/>
          <w:caps w:val="false"/>
          <w:smallCaps w:val="false"/>
          <w:sz w:val="22"/>
        </w:rPr>
        <w:t>), at an exercise price equal to fair market value of the Common Stock, as determined by the Board of Directors of the Company, on the date of the grant of the Option (the “</w:t>
      </w:r>
      <w:r>
        <w:rPr>
          <w:rFonts w:ascii="Times New Roman" w:hAnsi="Times New Roman"/>
          <w:b w:val="false"/>
          <w:i w:val="false"/>
          <w:caps w:val="false"/>
          <w:smallCaps w:val="false"/>
          <w:sz w:val="22"/>
          <w:u w:val="single"/>
        </w:rPr>
        <w:t>Grant Date</w:t>
      </w:r>
      <w:r>
        <w:rPr>
          <w:rFonts w:ascii="Times New Roman" w:hAnsi="Times New Roman"/>
          <w:b/>
          <w:i w:val="false"/>
          <w:caps w:val="false"/>
          <w:smallCaps w:val="false"/>
          <w:sz w:val="22"/>
        </w:rPr>
        <w:t>”</w:t>
      </w:r>
      <w:r>
        <w:rPr>
          <w:rFonts w:ascii="Times New Roman" w:hAnsi="Times New Roman"/>
          <w:b w:val="false"/>
          <w:i w:val="false"/>
          <w:caps w:val="false"/>
          <w:smallCaps w:val="false"/>
          <w:sz w:val="22"/>
        </w:rPr>
        <w:t>).</w:t>
      </w:r>
    </w:p>
    <w:p>
      <w:pPr>
        <w:pStyle w:val="TextBody"/>
        <w:spacing w:lineRule="auto" w:line="288" w:before="0" w:after="20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Promptly after the Grant Date, the Company and you shall execute and deliver to each other the Company’s then standard form of stock option agreement, evidencing the Option and the terms thereof. The Option shall be subject to, and governed by, the terms, provisions, and restrictions on transfer of the Plan, your stock option agreement, any other agreement to which you shall become, or are required to become, a party pursuant to the terms of the Plan. </w:t>
      </w:r>
    </w:p>
    <w:p>
      <w:pPr>
        <w:pStyle w:val="TextBody"/>
        <w:spacing w:before="0" w:after="20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You may be awarded additional equity grants from time to time in accordance with normal business practice and in the sole discretion of the Company’s Board of Directors. The terms of any future equity grant will be consistent with any plan under which they are granted and the terms of the applicable agreement under which the award(s) are granted.</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Temporary Living and Relocation. </w:t>
      </w:r>
      <w:r>
        <w:rPr>
          <w:rFonts w:ascii="Times New Roman" w:hAnsi="Times New Roman"/>
          <w:b w:val="false"/>
          <w:i w:val="false"/>
          <w:caps w:val="false"/>
          <w:smallCaps w:val="false"/>
          <w:sz w:val="22"/>
        </w:rPr>
        <w:t>The Company will reimburse temporary living expenses with a cap of $7,500 per month. The Company will also reimburse your reasonable and documented relocation expenses in accordance with the Company's relocation program if you relocate prior to the second anniversary of the Start Date. There will be an aggregate cap on the relocation expenses of $25,000. If you leave the Company within a year of moving, then 50% will be returned to Trevi.</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Severance. </w:t>
      </w:r>
      <w:r>
        <w:rPr>
          <w:rFonts w:ascii="Times New Roman" w:hAnsi="Times New Roman"/>
          <w:b w:val="false"/>
          <w:i w:val="false"/>
          <w:caps w:val="false"/>
          <w:smallCaps w:val="false"/>
          <w:sz w:val="22"/>
        </w:rPr>
        <w:t>The Company has a Separation Benefits Plan for executive officers, which you are eligible to participate in under the terms thereof.</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Invention, Non-Disclosure, Non-Competition and Non-Solicitation Obligations</w:t>
      </w:r>
      <w:r>
        <w:rPr>
          <w:rFonts w:ascii="Times New Roman" w:hAnsi="Times New Roman"/>
          <w:b w:val="false"/>
          <w:i w:val="false"/>
          <w:caps w:val="false"/>
          <w:smallCaps w:val="false"/>
          <w:sz w:val="22"/>
        </w:rPr>
        <w:t>.  At or prior to the Start Date, you shall execute and deliver for the benefit of the Company the Invention and Non-Disclosure Agreement and, Non-Competition and Non-Solicitation Agreement in the forms attached to this letter.</w:t>
      </w:r>
      <w:r>
        <w:rPr>
          <w:rFonts w:ascii="Times New Roman" w:hAnsi="Times New Roman"/>
          <w:b/>
          <w:i w:val="false"/>
          <w:caps w:val="false"/>
          <w:smallCaps w:val="false"/>
          <w:sz w:val="22"/>
        </w:rPr>
        <w:t xml:space="preserve"> </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At-Will Employment</w:t>
      </w:r>
      <w:r>
        <w:rPr>
          <w:rFonts w:ascii="Times New Roman" w:hAnsi="Times New Roman"/>
          <w:b w:val="false"/>
          <w:i w:val="false"/>
          <w:caps w:val="false"/>
          <w:smallCaps w:val="false"/>
          <w:sz w:val="22"/>
        </w:rPr>
        <w:t>.  This letter shall not be construed as an agreement, either express or implied, to employ you for any stated term, and shall in no way alter the Company’s policy of employment at-will.  Similarly, nothing in this letter shall be construed as an agreement, either express or implied, to pay you any compensation or grant you any benefit beyond the end of your employment with the Company, except as otherwise explicitly set forth in this letter.  This letter supersedes all prior understandings, whether written or oral, with respect to the subject matter of this letter.</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Cooperation</w:t>
      </w:r>
      <w:r>
        <w:rPr>
          <w:rFonts w:ascii="Times New Roman" w:hAnsi="Times New Roman"/>
          <w:b w:val="false"/>
          <w:i w:val="false"/>
          <w:caps w:val="false"/>
          <w:smallCaps w:val="false"/>
          <w:sz w:val="22"/>
        </w:rPr>
        <w:t xml:space="preserve">.  During your employment with the Company and thereafter, you shall cooperate with the Company and be reasonably available to the Company with respect to continuing and/or future matters relating to your employment period with the Company and/or its affiliates, whether such matters are business-related, legal, regulatory or otherwise (including, without limitation, your appearing at the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20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Company’s request to give testimony without requiring service of a subpoena or other legal process, volunteering to the Company all pertinent information and turning over to the Company all relevant documents which are or may come into your possession).  Following your employment term with the Company, the Company shall reimburse you for all reasonable out of pocket travel expenses incurred by you in rendering such services that are approved by the Company. </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Representations</w:t>
      </w:r>
      <w:r>
        <w:rPr>
          <w:rFonts w:ascii="Times New Roman" w:hAnsi="Times New Roman"/>
          <w:b w:val="false"/>
          <w:i w:val="false"/>
          <w:caps w:val="false"/>
          <w:smallCaps w:val="false"/>
          <w:sz w:val="22"/>
        </w:rPr>
        <w:t xml:space="preserve">.  You hereby represent and warrant to the Company that the execution, delivery and performance of this offer letter by you do not and shall not conflict with, breach, violate or cause a default under any contract, agreement, instrument, order, judgment or decree to which you are a party or by which you are bound. </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Entire Agreement</w:t>
      </w:r>
      <w:r>
        <w:rPr>
          <w:rFonts w:ascii="Times New Roman" w:hAnsi="Times New Roman"/>
          <w:b w:val="false"/>
          <w:i w:val="false"/>
          <w:caps w:val="false"/>
          <w:smallCaps w:val="false"/>
          <w:sz w:val="22"/>
        </w:rPr>
        <w:t xml:space="preserve">.  This letter constitutes the entire agreement and understanding between you and the Company with respect to the subject matter hereof and terminates and supersedes any and all prior agreements, understandings and representations, whether written or oral, by or between you and the Company which may have related to the subject matter hereof in any way, any of which are hereby terminated and cancelled and of no further force or effect without the payment of any consideration by or to either you or the Company. </w:t>
      </w:r>
    </w:p>
    <w:p>
      <w:pPr>
        <w:pStyle w:val="TextBody"/>
        <w:spacing w:before="0" w:after="200"/>
        <w:jc w:val="both"/>
        <w:rPr>
          <w:rFonts w:ascii="Times New Roman" w:hAnsi="Times New Roman"/>
          <w:b/>
          <w:i w:val="false"/>
          <w:caps w:val="false"/>
          <w:smallCaps w:val="false"/>
          <w:sz w:val="22"/>
        </w:rPr>
      </w:pPr>
      <w:r>
        <w:rPr>
          <w:rFonts w:ascii="Times New Roman" w:hAnsi="Times New Roman"/>
          <w:b/>
          <w:i w:val="false"/>
          <w:caps w:val="false"/>
          <w:smallCaps w:val="false"/>
          <w:sz w:val="22"/>
        </w:rPr>
        <w:t>Amendment</w:t>
      </w:r>
      <w:r>
        <w:rPr>
          <w:rFonts w:ascii="Times New Roman" w:hAnsi="Times New Roman"/>
          <w:b w:val="false"/>
          <w:i w:val="false"/>
          <w:caps w:val="false"/>
          <w:smallCaps w:val="false"/>
          <w:sz w:val="22"/>
        </w:rPr>
        <w:t xml:space="preserve">.  The provisions of this letter may be amended or waived only with the prior written consent of the Company and you, and no course of conduct or course of dealing or failure or delay by you or the Company in enforcing or exercising any of the provisions of this letter shall affect the validity, binding effect or enforceability of the letter or be deemed to be an implied waiver of any similar or dissimilar requirement, provision or condition of this letter at the same or any prior or subsequent time. </w:t>
      </w:r>
    </w:p>
    <w:p>
      <w:pPr>
        <w:pStyle w:val="TextBody"/>
        <w:spacing w:before="0" w:after="20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Bill, I look forward to working with you and believe you could make a significant impact as part of the Trevi team.  Please indicate your acceptance of this letter of employment by signing a copy of this offer letter and returning it to us by January 15, 2021.  As always, I'm happy to discuss any of the terms or share any of the compensation data behind our offer.</w:t>
      </w:r>
    </w:p>
    <w:p>
      <w:pPr>
        <w:pStyle w:val="TextBody"/>
        <w:spacing w:before="0" w:after="20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Sincerely,</w:t>
      </w:r>
    </w:p>
    <w:p>
      <w:pPr>
        <w:pStyle w:val="TextBody"/>
        <w:spacing w:before="0" w:after="20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Jennifer L. Good</w:t>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Jennifer L. Good </w:t>
      </w:r>
    </w:p>
    <w:p>
      <w:pPr>
        <w:pStyle w:val="TextBody"/>
        <w:spacing w:before="0" w:after="20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President &amp; CEO</w:t>
      </w:r>
    </w:p>
    <w:p>
      <w:pPr>
        <w:pStyle w:val="TextBody"/>
        <w:spacing w:before="0" w:after="0"/>
        <w:rPr/>
      </w:pPr>
      <w:r>
        <w:rPr/>
        <w:t> </w:t>
      </w:r>
    </w:p>
    <w:p>
      <w:pPr>
        <w:pStyle w:val="TextBody"/>
        <w:spacing w:before="0" w:after="20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foregoing correctly sets forth the terms of my at-will employment with Trevi.  I am not relying on any representations other than those set forth above.</w:t>
      </w:r>
    </w:p>
    <w:p>
      <w:pPr>
        <w:pStyle w:val="TextBody"/>
        <w:spacing w:before="0" w:after="0"/>
        <w:rPr/>
      </w:pPr>
      <w:r>
        <w:rPr/>
        <w:t> </w:t>
      </w:r>
    </w:p>
    <w:p>
      <w:pPr>
        <w:pStyle w:val="TextBody"/>
        <w:spacing w:before="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u w:val="single"/>
        </w:rPr>
        <w:t>/s/ William Forbes</w:t>
      </w:r>
      <w:r>
        <w:rPr>
          <w:rFonts w:ascii="Times New Roman" w:hAnsi="Times New Roman"/>
          <w:b w:val="false"/>
          <w:i w:val="false"/>
          <w:caps w:val="false"/>
          <w:smallCaps w:val="false"/>
          <w:sz w:val="22"/>
        </w:rPr>
        <w:t xml:space="preserve"> </w:t>
      </w:r>
      <w:r>
        <w:rPr>
          <w:rFonts w:ascii="Times New Roman" w:hAnsi="Times New Roman"/>
          <w:b w:val="false"/>
          <w:i w:val="false"/>
          <w:caps w:val="false"/>
          <w:smallCaps w:val="false"/>
          <w:sz w:val="22"/>
          <w:u w:val="single"/>
        </w:rPr>
        <w:t>January 11, 2021</w:t>
      </w:r>
    </w:p>
    <w:p>
      <w:pPr>
        <w:pStyle w:val="TextBody"/>
        <w:spacing w:before="0" w:after="0"/>
        <w:ind w:left="72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William ForbesDate</w:t>
      </w:r>
    </w:p>
    <w:p>
      <w:pPr>
        <w:pStyle w:val="TextBody"/>
        <w:spacing w:before="0" w:after="0"/>
        <w:rPr/>
      </w:pPr>
      <w:r>
        <w:rPr/>
        <w:t> </w:t>
      </w:r>
    </w:p>
    <w:p>
      <w:pPr>
        <w:pStyle w:val="TextBody"/>
        <w:spacing w:before="240" w:after="0"/>
        <w:rPr/>
      </w:pPr>
      <w:r>
        <w:rPr/>
        <w:t> </w:t>
      </w:r>
      <w:r>
        <w:br w:type="page"/>
      </w:r>
    </w:p>
    <w:p>
      <w:pPr>
        <w:pStyle w:val="TextBody"/>
        <w:spacing w:before="0" w:after="0"/>
        <w:rPr/>
      </w:pPr>
      <w:bookmarkStart w:id="23" w:name="trvi-ex311_10.htm"/>
      <w:bookmarkStart w:id="24" w:name="kstrviex311_10"/>
      <w:bookmarkEnd w:id="23"/>
      <w:bookmarkEnd w:id="24"/>
      <w:r>
        <w:rPr/>
        <w:t> </w:t>
      </w:r>
    </w:p>
    <w:p>
      <w:pPr>
        <w:pStyle w:val="TextBody"/>
        <w:shd w:fill="FFFFFF" w:val="clear"/>
        <w:spacing w:before="0" w:after="0"/>
        <w:jc w:val="right"/>
        <w:rPr>
          <w:rFonts w:ascii="Times New Roman" w:hAnsi="Times New Roman"/>
          <w:b/>
          <w:i w:val="false"/>
          <w:caps w:val="false"/>
          <w:smallCaps w:val="false"/>
          <w:color w:val="000000"/>
          <w:sz w:val="20"/>
        </w:rPr>
      </w:pPr>
      <w:bookmarkStart w:id="25" w:name="_Hlk16069835"/>
      <w:bookmarkEnd w:id="25"/>
      <w:r>
        <w:rPr>
          <w:rFonts w:ascii="Times New Roman" w:hAnsi="Times New Roman"/>
          <w:b/>
          <w:i w:val="false"/>
          <w:caps w:val="false"/>
          <w:smallCaps w:val="false"/>
          <w:color w:val="000000"/>
          <w:sz w:val="20"/>
        </w:rPr>
        <w:t>Exhibit 31.1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 RULES 13a-14(a) OR 15d-14(a) UNDER THE SECURITIES EXCHANGE ACT OF 1934, AS ADOPTED PURSUANT TO SECTION 302 OF THE SARBANES-OXLEY ACT OF 2002</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Jennifer L. Good, certify that: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I have reviewed this Quarterly Report on Form 10-Q of Trevi Therapeutics, Inc.;</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Any fraud, whether or not material, that involves management or other employees who have a significant role in the registrant’s internal control over financial reporting.</w:t>
      </w:r>
    </w:p>
    <w:p>
      <w:pPr>
        <w:pStyle w:val="TextBody"/>
        <w:shd w:fill="FFFFFF" w:val="clear"/>
        <w:spacing w:before="0" w:after="0"/>
        <w:rPr>
          <w:caps w:val="false"/>
          <w:smallCaps w:val="false"/>
          <w:color w:val="000000"/>
        </w:rPr>
      </w:pPr>
      <w:r>
        <w:rPr>
          <w:caps w:val="false"/>
          <w:smallCaps w:val="false"/>
          <w:color w:val="000000"/>
        </w:rPr>
        <w:t> </w:t>
      </w:r>
    </w:p>
    <w:tbl>
      <w:tblPr>
        <w:tblW w:w="5220" w:type="dxa"/>
        <w:jc w:val="center"/>
        <w:tblInd w:w="0" w:type="dxa"/>
        <w:tblCellMar>
          <w:top w:w="0" w:type="dxa"/>
          <w:left w:w="0" w:type="dxa"/>
          <w:bottom w:w="0" w:type="dxa"/>
          <w:right w:w="0" w:type="dxa"/>
        </w:tblCellMar>
      </w:tblPr>
      <w:tblGrid>
        <w:gridCol w:w="1640"/>
        <w:gridCol w:w="60"/>
        <w:gridCol w:w="60"/>
        <w:gridCol w:w="320"/>
        <w:gridCol w:w="60"/>
        <w:gridCol w:w="3080"/>
      </w:tblGrid>
      <w:tr>
        <w:trPr/>
        <w:tc>
          <w:tcPr>
            <w:tcW w:w="164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080" w:type="dxa"/>
            <w:tcBorders/>
            <w:shd w:fill="FFFFFF" w:val="clear"/>
            <w:vAlign w:val="center"/>
          </w:tcPr>
          <w:p>
            <w:pPr>
              <w:pStyle w:val="TableContents"/>
              <w:spacing w:before="0" w:after="0"/>
              <w:ind w:left="0" w:right="0" w:hanging="0"/>
              <w:rPr/>
            </w:pPr>
            <w:r>
              <w:rPr/>
              <w:t> </w:t>
            </w:r>
          </w:p>
        </w:tc>
      </w:tr>
      <w:tr>
        <w:trPr/>
        <w:tc>
          <w:tcPr>
            <w:tcW w:w="164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pBdr>
                <w:bottom w:val="single" w:sz="6" w:space="1" w:color="000000"/>
              </w:pBd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Jennifer L. Good</w:t>
            </w:r>
          </w:p>
        </w:tc>
      </w:tr>
      <w:tr>
        <w:trPr/>
        <w:tc>
          <w:tcPr>
            <w:tcW w:w="164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Jennifer L. Good</w:t>
            </w:r>
          </w:p>
        </w:tc>
      </w:tr>
      <w:tr>
        <w:trPr/>
        <w:tc>
          <w:tcPr>
            <w:tcW w:w="164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w:t>
            </w:r>
          </w:p>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6" w:name="trvi-ex312_9.htm"/>
      <w:bookmarkStart w:id="27" w:name="kstrviex312_9"/>
      <w:bookmarkEnd w:id="26"/>
      <w:bookmarkEnd w:id="27"/>
      <w:r>
        <w:rPr/>
        <w:t> </w:t>
      </w:r>
    </w:p>
    <w:p>
      <w:pPr>
        <w:pStyle w:val="TextBody"/>
        <w:shd w:fill="FFFFFF" w:val="clear"/>
        <w:spacing w:before="0" w:after="0"/>
        <w:jc w:val="right"/>
        <w:rPr>
          <w:rFonts w:ascii="Times New Roman" w:hAnsi="Times New Roman"/>
          <w:b/>
          <w:i w:val="false"/>
          <w:caps w:val="false"/>
          <w:smallCaps w:val="false"/>
          <w:color w:val="000000"/>
          <w:sz w:val="20"/>
        </w:rPr>
      </w:pPr>
      <w:bookmarkStart w:id="28" w:name="_Hlk160698351"/>
      <w:bookmarkEnd w:id="28"/>
      <w:r>
        <w:rPr>
          <w:rFonts w:ascii="Times New Roman" w:hAnsi="Times New Roman"/>
          <w:b/>
          <w:i w:val="false"/>
          <w:caps w:val="false"/>
          <w:smallCaps w:val="false"/>
          <w:color w:val="000000"/>
          <w:sz w:val="20"/>
        </w:rPr>
        <w:t>Exhibit 31.2</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 RULES 13a-14(a) OR 15d-14(a) UNDER THE SECURITIES EXCHANGE ACT OF 1934, AS ADOPTED PURSUANT TO SECTION 302 OF THE SARBANES-OXLEY ACT OF 2002</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Lisa Delfini, certify that: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I have reviewed this Quarterly Report on Form 10-Q of Trevi Therapeutics, Inc.;</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Any fraud, whether or not material, that involves management or other employees who have a significant role in the registrant’s internal control over financial reporting.</w:t>
      </w:r>
    </w:p>
    <w:p>
      <w:pPr>
        <w:pStyle w:val="TextBody"/>
        <w:shd w:fill="FFFFFF" w:val="clear"/>
        <w:spacing w:before="0" w:after="0"/>
        <w:rPr>
          <w:caps w:val="false"/>
          <w:smallCaps w:val="false"/>
          <w:color w:val="000000"/>
        </w:rPr>
      </w:pPr>
      <w:r>
        <w:rPr>
          <w:caps w:val="false"/>
          <w:smallCaps w:val="false"/>
          <w:color w:val="000000"/>
        </w:rPr>
        <w:t> </w:t>
      </w:r>
    </w:p>
    <w:tbl>
      <w:tblPr>
        <w:tblW w:w="4425" w:type="dxa"/>
        <w:jc w:val="center"/>
        <w:tblInd w:w="0" w:type="dxa"/>
        <w:tblCellMar>
          <w:top w:w="0" w:type="dxa"/>
          <w:left w:w="0" w:type="dxa"/>
          <w:bottom w:w="0" w:type="dxa"/>
          <w:right w:w="0" w:type="dxa"/>
        </w:tblCellMar>
      </w:tblPr>
      <w:tblGrid>
        <w:gridCol w:w="1640"/>
        <w:gridCol w:w="60"/>
        <w:gridCol w:w="60"/>
        <w:gridCol w:w="320"/>
        <w:gridCol w:w="60"/>
        <w:gridCol w:w="2285"/>
      </w:tblGrid>
      <w:tr>
        <w:trPr/>
        <w:tc>
          <w:tcPr>
            <w:tcW w:w="164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2285" w:type="dxa"/>
            <w:tcBorders/>
            <w:shd w:fill="FFFFFF" w:val="clear"/>
            <w:vAlign w:val="center"/>
          </w:tcPr>
          <w:p>
            <w:pPr>
              <w:pStyle w:val="TableContents"/>
              <w:spacing w:before="0" w:after="0"/>
              <w:ind w:left="0" w:right="0" w:hanging="0"/>
              <w:rPr/>
            </w:pPr>
            <w:r>
              <w:rPr/>
              <w:t> </w:t>
            </w:r>
          </w:p>
        </w:tc>
      </w:tr>
      <w:tr>
        <w:trPr/>
        <w:tc>
          <w:tcPr>
            <w:tcW w:w="164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pBdr>
                <w:bottom w:val="single" w:sz="6" w:space="1" w:color="000000"/>
              </w:pBd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Lisa Delfini</w:t>
            </w:r>
          </w:p>
        </w:tc>
      </w:tr>
      <w:tr>
        <w:trPr/>
        <w:tc>
          <w:tcPr>
            <w:tcW w:w="164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Lisa Delfini</w:t>
            </w:r>
          </w:p>
        </w:tc>
      </w:tr>
      <w:tr>
        <w:trPr/>
        <w:tc>
          <w:tcPr>
            <w:tcW w:w="164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Officer</w:t>
            </w:r>
          </w:p>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bl>
    <w:p>
      <w:pPr>
        <w:pStyle w:val="TextBody"/>
        <w:spacing w:before="0" w:after="0"/>
        <w:rPr/>
      </w:pPr>
      <w:r>
        <w:rPr/>
        <w:t> </w:t>
      </w:r>
    </w:p>
    <w:p>
      <w:pPr>
        <w:pStyle w:val="TextBody"/>
        <w:spacing w:before="24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29" w:name="trvi-ex321_7.htm"/>
      <w:bookmarkStart w:id="30" w:name="kstrviex321_7"/>
      <w:bookmarkEnd w:id="29"/>
      <w:bookmarkEnd w:id="30"/>
      <w:r>
        <w:rPr>
          <w:rFonts w:ascii="Times New Roman" w:hAnsi="Times New Roman"/>
          <w:b/>
          <w:i w:val="false"/>
          <w:caps w:val="false"/>
          <w:smallCaps w:val="false"/>
          <w:color w:val="000000"/>
          <w:sz w:val="20"/>
        </w:rPr>
        <w:t>Exhibit 32.1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 18 U.S.C. SECTION 1350,</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connection with the Quarterly Report on Form 10-Q of Trevi Therapeutics, Inc. (the “Company”) for the period ended March 31, 2022,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tbl>
      <w:tblPr>
        <w:tblW w:w="9835" w:type="dxa"/>
        <w:jc w:val="left"/>
        <w:tblInd w:w="0" w:type="dxa"/>
        <w:tblCellMar>
          <w:top w:w="0" w:type="dxa"/>
          <w:left w:w="0" w:type="dxa"/>
          <w:bottom w:w="0" w:type="dxa"/>
          <w:right w:w="0" w:type="dxa"/>
        </w:tblCellMar>
      </w:tblPr>
      <w:tblGrid>
        <w:gridCol w:w="60"/>
        <w:gridCol w:w="245"/>
        <w:gridCol w:w="9530"/>
      </w:tblGrid>
      <w:tr>
        <w:trPr/>
        <w:tc>
          <w:tcPr>
            <w:tcW w:w="60" w:type="dxa"/>
            <w:tcBorders/>
            <w:shd w:fill="auto" w:val="clear"/>
          </w:tcPr>
          <w:p>
            <w:pPr>
              <w:pStyle w:val="TableContents"/>
              <w:shd w:fill="FFFFFF" w:val="clear"/>
              <w:spacing w:before="240" w:after="0"/>
              <w:rPr>
                <w:caps w:val="false"/>
                <w:smallCaps w:val="false"/>
                <w:color w:val="000000"/>
              </w:rPr>
            </w:pPr>
            <w:r>
              <w:rPr>
                <w:caps w:val="false"/>
                <w:smallCaps w:val="false"/>
                <w:color w:val="000000"/>
              </w:rPr>
              <w:t> </w:t>
            </w:r>
          </w:p>
        </w:tc>
        <w:tc>
          <w:tcPr>
            <w:tcW w:w="245" w:type="dxa"/>
            <w:tcBorders/>
            <w:shd w:fill="auto" w:val="clear"/>
          </w:tcPr>
          <w:p>
            <w:pPr>
              <w:pStyle w:val="TableContents"/>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9530" w:type="dxa"/>
            <w:tcBorders/>
            <w:shd w:fill="auto" w:val="clear"/>
          </w:tcPr>
          <w:p>
            <w:pPr>
              <w:pStyle w:val="TableContents"/>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tcPr>
          <w:p>
            <w:pPr>
              <w:pStyle w:val="TableContents"/>
              <w:shd w:fill="FFFFFF" w:val="clear"/>
              <w:spacing w:before="240" w:after="0"/>
              <w:rPr>
                <w:caps w:val="false"/>
                <w:smallCaps w:val="false"/>
                <w:color w:val="000000"/>
              </w:rPr>
            </w:pPr>
            <w:r>
              <w:rPr>
                <w:caps w:val="false"/>
                <w:smallCaps w:val="false"/>
                <w:color w:val="000000"/>
              </w:rPr>
              <w:t> </w:t>
            </w:r>
          </w:p>
        </w:tc>
        <w:tc>
          <w:tcPr>
            <w:tcW w:w="234" w:type="dxa"/>
            <w:tcBorders/>
            <w:shd w:fill="auto" w:val="clear"/>
          </w:tcPr>
          <w:p>
            <w:pPr>
              <w:pStyle w:val="TableContents"/>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9911" w:type="dxa"/>
            <w:tcBorders/>
            <w:shd w:fill="auto" w:val="clear"/>
          </w:tcPr>
          <w:p>
            <w:pPr>
              <w:pStyle w:val="TableContents"/>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contained in the Report fairly presents, in all material respects, the financial condition and results of operations of the Company.</w:t>
            </w:r>
          </w:p>
        </w:tc>
      </w:tr>
    </w:tbl>
    <w:p>
      <w:pPr>
        <w:pStyle w:val="TextBody"/>
        <w:shd w:fill="FFFFFF" w:val="clear"/>
        <w:spacing w:before="0" w:after="0"/>
        <w:rPr/>
      </w:pPr>
      <w:r>
        <w:rPr/>
        <w:t> </w:t>
      </w:r>
    </w:p>
    <w:tbl>
      <w:tblPr>
        <w:tblW w:w="5160" w:type="dxa"/>
        <w:jc w:val="center"/>
        <w:tblInd w:w="0" w:type="dxa"/>
        <w:tblCellMar>
          <w:top w:w="0" w:type="dxa"/>
          <w:left w:w="0" w:type="dxa"/>
          <w:bottom w:w="0" w:type="dxa"/>
          <w:right w:w="0" w:type="dxa"/>
        </w:tblCellMar>
      </w:tblPr>
      <w:tblGrid>
        <w:gridCol w:w="1640"/>
        <w:gridCol w:w="60"/>
        <w:gridCol w:w="320"/>
        <w:gridCol w:w="60"/>
        <w:gridCol w:w="3080"/>
      </w:tblGrid>
      <w:tr>
        <w:trPr/>
        <w:tc>
          <w:tcPr>
            <w:tcW w:w="164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080" w:type="dxa"/>
            <w:tcBorders/>
            <w:shd w:fill="FFFFFF" w:val="clear"/>
            <w:vAlign w:val="center"/>
          </w:tcPr>
          <w:p>
            <w:pPr>
              <w:pStyle w:val="TableContents"/>
              <w:spacing w:before="0" w:after="0"/>
              <w:ind w:left="0" w:right="0" w:hanging="0"/>
              <w:rPr/>
            </w:pPr>
            <w:r>
              <w:rPr/>
              <w:t> </w:t>
            </w:r>
          </w:p>
        </w:tc>
      </w:tr>
      <w:tr>
        <w:trPr/>
        <w:tc>
          <w:tcPr>
            <w:tcW w:w="164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pBdr>
                <w:bottom w:val="single" w:sz="6" w:space="1" w:color="000000"/>
              </w:pBd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Jennifer L. Good</w:t>
            </w:r>
          </w:p>
        </w:tc>
      </w:tr>
      <w:tr>
        <w:trPr/>
        <w:tc>
          <w:tcPr>
            <w:tcW w:w="164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Jennifer L. Good</w:t>
            </w:r>
          </w:p>
        </w:tc>
      </w:tr>
      <w:tr>
        <w:trPr/>
        <w:tc>
          <w:tcPr>
            <w:tcW w:w="164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w:t>
            </w:r>
          </w:p>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31" w:name="trvi-ex322_8.htm"/>
      <w:bookmarkStart w:id="32" w:name="kstrviex322_8"/>
      <w:bookmarkEnd w:id="31"/>
      <w:bookmarkEnd w:id="32"/>
      <w:r>
        <w:rPr>
          <w:rFonts w:ascii="Times New Roman" w:hAnsi="Times New Roman"/>
          <w:b/>
          <w:i w:val="false"/>
          <w:caps w:val="false"/>
          <w:smallCaps w:val="false"/>
          <w:color w:val="000000"/>
          <w:sz w:val="20"/>
        </w:rPr>
        <w:t>Exhibit 32.2</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 18 U.S.C. SECTION 1350,</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connection with the Quarterly Report on Form 10-Q of Trevi Therapeutics, Inc. (the “Company”) for the period ended March 31, 2022,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tbl>
      <w:tblPr>
        <w:tblW w:w="9835" w:type="dxa"/>
        <w:jc w:val="left"/>
        <w:tblInd w:w="0" w:type="dxa"/>
        <w:tblCellMar>
          <w:top w:w="0" w:type="dxa"/>
          <w:left w:w="0" w:type="dxa"/>
          <w:bottom w:w="0" w:type="dxa"/>
          <w:right w:w="0" w:type="dxa"/>
        </w:tblCellMar>
      </w:tblPr>
      <w:tblGrid>
        <w:gridCol w:w="60"/>
        <w:gridCol w:w="245"/>
        <w:gridCol w:w="9530"/>
      </w:tblGrid>
      <w:tr>
        <w:trPr/>
        <w:tc>
          <w:tcPr>
            <w:tcW w:w="60" w:type="dxa"/>
            <w:tcBorders/>
            <w:shd w:fill="auto" w:val="clear"/>
          </w:tcPr>
          <w:p>
            <w:pPr>
              <w:pStyle w:val="TableContents"/>
              <w:shd w:fill="FFFFFF" w:val="clear"/>
              <w:spacing w:before="240" w:after="0"/>
              <w:rPr>
                <w:caps w:val="false"/>
                <w:smallCaps w:val="false"/>
                <w:color w:val="000000"/>
              </w:rPr>
            </w:pPr>
            <w:r>
              <w:rPr>
                <w:caps w:val="false"/>
                <w:smallCaps w:val="false"/>
                <w:color w:val="000000"/>
              </w:rPr>
              <w:t> </w:t>
            </w:r>
          </w:p>
        </w:tc>
        <w:tc>
          <w:tcPr>
            <w:tcW w:w="245" w:type="dxa"/>
            <w:tcBorders/>
            <w:shd w:fill="auto" w:val="clear"/>
          </w:tcPr>
          <w:p>
            <w:pPr>
              <w:pStyle w:val="TableContents"/>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9530" w:type="dxa"/>
            <w:tcBorders/>
            <w:shd w:fill="auto" w:val="clear"/>
          </w:tcPr>
          <w:p>
            <w:pPr>
              <w:pStyle w:val="TableContents"/>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tcPr>
          <w:p>
            <w:pPr>
              <w:pStyle w:val="TableContents"/>
              <w:shd w:fill="FFFFFF" w:val="clear"/>
              <w:spacing w:before="240" w:after="0"/>
              <w:rPr>
                <w:caps w:val="false"/>
                <w:smallCaps w:val="false"/>
                <w:color w:val="000000"/>
              </w:rPr>
            </w:pPr>
            <w:r>
              <w:rPr>
                <w:caps w:val="false"/>
                <w:smallCaps w:val="false"/>
                <w:color w:val="000000"/>
              </w:rPr>
              <w:t> </w:t>
            </w:r>
          </w:p>
        </w:tc>
        <w:tc>
          <w:tcPr>
            <w:tcW w:w="234" w:type="dxa"/>
            <w:tcBorders/>
            <w:shd w:fill="auto" w:val="clear"/>
          </w:tcPr>
          <w:p>
            <w:pPr>
              <w:pStyle w:val="TableContents"/>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9911" w:type="dxa"/>
            <w:tcBorders/>
            <w:shd w:fill="auto" w:val="clear"/>
          </w:tcPr>
          <w:p>
            <w:pPr>
              <w:pStyle w:val="TableContents"/>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contained in the Report fairly presents, in all material respects, the financial condition and results of operations of the Company.</w:t>
            </w:r>
          </w:p>
        </w:tc>
      </w:tr>
    </w:tbl>
    <w:p>
      <w:pPr>
        <w:pStyle w:val="TextBody"/>
        <w:shd w:fill="FFFFFF" w:val="clear"/>
        <w:spacing w:before="0" w:after="0"/>
        <w:rPr/>
      </w:pPr>
      <w:r>
        <w:rPr/>
        <w:t> </w:t>
      </w:r>
    </w:p>
    <w:tbl>
      <w:tblPr>
        <w:tblW w:w="4365" w:type="dxa"/>
        <w:jc w:val="center"/>
        <w:tblInd w:w="0" w:type="dxa"/>
        <w:tblCellMar>
          <w:top w:w="0" w:type="dxa"/>
          <w:left w:w="0" w:type="dxa"/>
          <w:bottom w:w="0" w:type="dxa"/>
          <w:right w:w="0" w:type="dxa"/>
        </w:tblCellMar>
      </w:tblPr>
      <w:tblGrid>
        <w:gridCol w:w="1640"/>
        <w:gridCol w:w="60"/>
        <w:gridCol w:w="320"/>
        <w:gridCol w:w="60"/>
        <w:gridCol w:w="2285"/>
      </w:tblGrid>
      <w:tr>
        <w:trPr/>
        <w:tc>
          <w:tcPr>
            <w:tcW w:w="164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2285" w:type="dxa"/>
            <w:tcBorders/>
            <w:shd w:fill="FFFFFF" w:val="clear"/>
            <w:vAlign w:val="center"/>
          </w:tcPr>
          <w:p>
            <w:pPr>
              <w:pStyle w:val="TableContents"/>
              <w:spacing w:before="0" w:after="0"/>
              <w:ind w:left="0" w:right="0" w:hanging="0"/>
              <w:rPr/>
            </w:pPr>
            <w:r>
              <w:rPr/>
              <w:t> </w:t>
            </w:r>
          </w:p>
        </w:tc>
      </w:tr>
      <w:tr>
        <w:trPr/>
        <w:tc>
          <w:tcPr>
            <w:tcW w:w="164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pBdr>
                <w:bottom w:val="single" w:sz="6" w:space="1" w:color="000000"/>
              </w:pBd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Lisa Delfini</w:t>
            </w:r>
          </w:p>
        </w:tc>
      </w:tr>
      <w:tr>
        <w:trPr/>
        <w:tc>
          <w:tcPr>
            <w:tcW w:w="164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Lisa Delfini</w:t>
            </w:r>
          </w:p>
        </w:tc>
      </w:tr>
      <w:tr>
        <w:trPr/>
        <w:tc>
          <w:tcPr>
            <w:tcW w:w="164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Officer</w:t>
            </w:r>
          </w:p>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bl>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egoe UI">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563880/000119312522098229/d324144dex41.htm" TargetMode="External"/><Relationship Id="rId3" Type="http://schemas.openxmlformats.org/officeDocument/2006/relationships/hyperlink" Target="http://www.sec.gov/Archives/edgar/data/0001563880/000119312522098229/d324144dex991.htm" TargetMode="External"/><Relationship Id="rId4" Type="http://schemas.openxmlformats.org/officeDocument/2006/relationships/hyperlink" Target="http://www.sec.gov/Archives/edgar/data/0001563880/000119312522098229/d324144dex992.htm" TargetMode="External"/><Relationship Id="rId5" Type="http://schemas.openxmlformats.org/officeDocument/2006/relationships/hyperlink" Target="http://www.sec.gov/Archives/edgar/data/0001563880/000119312522098229/d324144dex993.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66362</Words>
  <CharactersWithSpaces>428887</CharactersWithSpaces>
  <Paragraphs>4108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