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660" w:right="1680" w:hanging="3652"/>
        <w:spacing w:after="0" w:line="391" w:lineRule="auto"/>
        <w:tabs>
          <w:tab w:leader="none" w:pos="424"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280" w:lineRule="exact"/>
        <w:rPr>
          <w:sz w:val="24"/>
          <w:szCs w:val="24"/>
          <w:color w:val="auto"/>
        </w:rPr>
      </w:pPr>
    </w:p>
    <w:p>
      <w:pPr>
        <w:ind w:left="420" w:hanging="412"/>
        <w:spacing w:after="0"/>
        <w:tabs>
          <w:tab w:leader="none" w:pos="4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72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3833495</wp:posOffset>
            </wp:positionH>
            <wp:positionV relativeFrom="paragraph">
              <wp:posOffset>-5080</wp:posOffset>
            </wp:positionV>
            <wp:extent cx="4286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color w:val="222222"/>
        </w:rPr>
        <w:t>001-38886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TREVI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00" w:type="dxa"/>
            <w:vAlign w:val="bottom"/>
            <w:gridSpan w:val="3"/>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80" w:type="dxa"/>
            <w:vAlign w:val="bottom"/>
          </w:tcPr>
          <w:p>
            <w:pPr>
              <w:jc w:val="right"/>
              <w:ind w:right="2300"/>
              <w:spacing w:after="0"/>
              <w:rPr>
                <w:sz w:val="20"/>
                <w:szCs w:val="20"/>
                <w:color w:val="auto"/>
              </w:rPr>
            </w:pPr>
            <w:r>
              <w:rPr>
                <w:rFonts w:ascii="Times New Roman" w:cs="Times New Roman" w:eastAsia="Times New Roman" w:hAnsi="Times New Roman"/>
                <w:sz w:val="18"/>
                <w:szCs w:val="18"/>
                <w:b w:val="1"/>
                <w:bCs w:val="1"/>
                <w:color w:val="auto"/>
              </w:rPr>
              <w:t>45-0834299</w:t>
            </w:r>
          </w:p>
        </w:tc>
        <w:tc>
          <w:tcPr>
            <w:tcW w:w="0" w:type="dxa"/>
            <w:vAlign w:val="bottom"/>
          </w:tcPr>
          <w:p>
            <w:pPr>
              <w:spacing w:after="0"/>
              <w:rPr>
                <w:sz w:val="1"/>
                <w:szCs w:val="1"/>
                <w:color w:val="auto"/>
              </w:rPr>
            </w:pPr>
          </w:p>
        </w:tc>
      </w:tr>
      <w:tr>
        <w:trPr>
          <w:trHeight w:val="162"/>
        </w:trPr>
        <w:tc>
          <w:tcPr>
            <w:tcW w:w="4500" w:type="dxa"/>
            <w:vAlign w:val="bottom"/>
            <w:gridSpan w:val="3"/>
          </w:tcPr>
          <w:p>
            <w:pPr>
              <w:jc w:val="center"/>
              <w:ind w:left="1058"/>
              <w:spacing w:after="0"/>
              <w:rPr>
                <w:sz w:val="20"/>
                <w:szCs w:val="20"/>
                <w:color w:val="auto"/>
              </w:rPr>
            </w:pPr>
            <w:r>
              <w:rPr>
                <w:rFonts w:ascii="Times New Roman" w:cs="Times New Roman" w:eastAsia="Times New Roman" w:hAnsi="Times New Roman"/>
                <w:sz w:val="14"/>
                <w:szCs w:val="14"/>
                <w:b w:val="1"/>
                <w:bCs w:val="1"/>
                <w:color w:val="auto"/>
              </w:rPr>
              <w:t>( State or other jurisdiction of</w:t>
            </w:r>
          </w:p>
        </w:tc>
        <w:tc>
          <w:tcPr>
            <w:tcW w:w="2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80" w:type="dxa"/>
            <w:vAlign w:val="bottom"/>
          </w:tcPr>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3"/>
        </w:trPr>
        <w:tc>
          <w:tcPr>
            <w:tcW w:w="4500" w:type="dxa"/>
            <w:vAlign w:val="bottom"/>
            <w:gridSpan w:val="3"/>
          </w:tcPr>
          <w:p>
            <w:pPr>
              <w:jc w:val="center"/>
              <w:ind w:left="105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12"/>
        </w:trPr>
        <w:tc>
          <w:tcPr>
            <w:tcW w:w="4500" w:type="dxa"/>
            <w:vAlign w:val="bottom"/>
            <w:gridSpan w:val="3"/>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w w:val="97"/>
              </w:rPr>
              <w:t>195 Church Street, 16</w:t>
            </w:r>
            <w:r>
              <w:rPr>
                <w:rFonts w:ascii="Times New Roman" w:cs="Times New Roman" w:eastAsia="Times New Roman" w:hAnsi="Times New Roman"/>
                <w:sz w:val="24"/>
                <w:szCs w:val="24"/>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Floor</w:t>
            </w: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500" w:type="dxa"/>
            <w:vAlign w:val="bottom"/>
            <w:gridSpan w:val="3"/>
          </w:tcPr>
          <w:p>
            <w:pPr>
              <w:jc w:val="center"/>
              <w:ind w:left="998"/>
              <w:spacing w:after="0"/>
              <w:rPr>
                <w:sz w:val="20"/>
                <w:szCs w:val="20"/>
                <w:color w:val="auto"/>
              </w:rPr>
            </w:pPr>
            <w:r>
              <w:rPr>
                <w:rFonts w:ascii="Times New Roman" w:cs="Times New Roman" w:eastAsia="Times New Roman" w:hAnsi="Times New Roman"/>
                <w:sz w:val="18"/>
                <w:szCs w:val="18"/>
                <w:b w:val="1"/>
                <w:bCs w:val="1"/>
                <w:color w:val="auto"/>
                <w:w w:val="99"/>
              </w:rPr>
              <w:t>New Haven, Connecticut</w:t>
            </w: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80" w:type="dxa"/>
            <w:vAlign w:val="bottom"/>
          </w:tcPr>
          <w:p>
            <w:pPr>
              <w:jc w:val="right"/>
              <w:ind w:right="2500"/>
              <w:spacing w:after="0"/>
              <w:rPr>
                <w:sz w:val="20"/>
                <w:szCs w:val="20"/>
                <w:color w:val="auto"/>
              </w:rPr>
            </w:pPr>
            <w:r>
              <w:rPr>
                <w:rFonts w:ascii="Times New Roman" w:cs="Times New Roman" w:eastAsia="Times New Roman" w:hAnsi="Times New Roman"/>
                <w:sz w:val="18"/>
                <w:szCs w:val="18"/>
                <w:b w:val="1"/>
                <w:bCs w:val="1"/>
                <w:color w:val="auto"/>
              </w:rPr>
              <w:t>06510</w:t>
            </w:r>
          </w:p>
        </w:tc>
        <w:tc>
          <w:tcPr>
            <w:tcW w:w="0" w:type="dxa"/>
            <w:vAlign w:val="bottom"/>
          </w:tcPr>
          <w:p>
            <w:pPr>
              <w:spacing w:after="0"/>
              <w:rPr>
                <w:sz w:val="1"/>
                <w:szCs w:val="1"/>
                <w:color w:val="auto"/>
              </w:rPr>
            </w:pPr>
          </w:p>
        </w:tc>
      </w:tr>
      <w:tr>
        <w:trPr>
          <w:trHeight w:val="193"/>
        </w:trPr>
        <w:tc>
          <w:tcPr>
            <w:tcW w:w="4500" w:type="dxa"/>
            <w:vAlign w:val="bottom"/>
            <w:gridSpan w:val="3"/>
          </w:tcPr>
          <w:p>
            <w:pPr>
              <w:jc w:val="center"/>
              <w:ind w:left="10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312"/>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(203) 304-2499</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760" w:type="dxa"/>
            <w:vAlign w:val="bottom"/>
            <w:gridSpan w:val="7"/>
          </w:tcPr>
          <w:p>
            <w:pPr>
              <w:jc w:val="center"/>
              <w:ind w:left="341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500" w:type="dxa"/>
            <w:vAlign w:val="bottom"/>
            <w:gridSpan w:val="3"/>
            <w:vMerge w:val="restart"/>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2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4500" w:type="dxa"/>
            <w:vAlign w:val="bottom"/>
            <w:gridSpan w:val="3"/>
            <w:vMerge w:val="continue"/>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500" w:type="dxa"/>
            <w:vAlign w:val="bottom"/>
            <w:gridSpan w:val="3"/>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60" w:type="dxa"/>
            <w:vAlign w:val="bottom"/>
            <w:gridSpan w:val="4"/>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480" w:type="dxa"/>
            <w:vAlign w:val="bottom"/>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gridSpan w:val="3"/>
            <w:vMerge w:val="continue"/>
          </w:tcPr>
          <w:p>
            <w:pPr>
              <w:spacing w:after="0"/>
              <w:rPr>
                <w:sz w:val="16"/>
                <w:szCs w:val="16"/>
                <w:color w:val="auto"/>
              </w:rPr>
            </w:pPr>
          </w:p>
        </w:tc>
        <w:tc>
          <w:tcPr>
            <w:tcW w:w="3260" w:type="dxa"/>
            <w:vAlign w:val="bottom"/>
            <w:gridSpan w:val="4"/>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tc>
        <w:tc>
          <w:tcPr>
            <w:tcW w:w="1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700" w:type="dxa"/>
            <w:vAlign w:val="bottom"/>
            <w:tcBorders>
              <w:top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TRVI</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480" w:type="dxa"/>
            <w:vAlign w:val="bottom"/>
            <w:tcBorders>
              <w:top w:val="single" w:sz="8" w:color="auto"/>
            </w:tcBorders>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99"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right="24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1" w:lineRule="exact"/>
        <w:rPr>
          <w:sz w:val="24"/>
          <w:szCs w:val="24"/>
          <w:color w:val="auto"/>
        </w:rPr>
      </w:pPr>
    </w:p>
    <w:p>
      <w:pPr>
        <w:jc w:val="both"/>
        <w:ind w:right="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520" w:right="216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31, 2024, the registrant had 76,865,711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AND INDUSTRY DATA</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All statements, other than statements of historical fact, contained in this Quarterly Report on Form 10-Q, including statements regarding our strategy, future operations, future financial position, future revenues and profitability, projected costs, prospects, plans and objectives of management,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forward-looking statements in this Quarterly Report on Form 10-Q include, among other things, statements about:</w:t>
      </w:r>
    </w:p>
    <w:p>
      <w:pPr>
        <w:spacing w:after="0" w:line="117" w:lineRule="exact"/>
        <w:rPr>
          <w:sz w:val="20"/>
          <w:szCs w:val="20"/>
          <w:color w:val="auto"/>
        </w:rPr>
      </w:pPr>
    </w:p>
    <w:p>
      <w:pPr>
        <w:jc w:val="both"/>
        <w:ind w:left="900" w:right="20" w:hanging="383"/>
        <w:spacing w:after="0" w:line="26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including our Phase 2b CORAL clinical trial of Haduvio for the treatment of chronic cough in idiopathic pulmonary fibrosis, or IPF, our Phase 2a RIVER clinical trial of Haduvio for the treatment of refractory chronic cough, or RCC, and our Phase 1b TIDAL study to evaluate the effect of Haduvio on respiratory physiology in patients with IPF of varying disease severity as well as our human abuse potential, or HAP, study to compare the abuse potential of oral nalbuphine to intravenous, or IV, butorphanol;</w:t>
      </w:r>
    </w:p>
    <w:p>
      <w:pPr>
        <w:spacing w:after="0" w:line="71"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if approved, subsequently commercialize Haduvio for the treatment of chronic cough in IPF and RCC and for the treatment of prurigo nodularis;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for the initiation of clinical trials and the reporting of data from such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submit applications for and to obtain and maintain regulatory approvals for Haduvio;</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fund our operating expenses, including our ongoing and planned clinical trials, with our cash, cash equivalents and marketable securities;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timing of any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section 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7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have filed as exhibits to this Quarterly Report on Form 10-Q completely and with the understanding that our actual future results may differ materially from what we expect. The forward-looking statements contained in this Quarterly Report on Form 10-Q are made as of the date of this Quarterly Report on Form 10-Q, and we do not assume any obligation to update any forward-looking statements except as required by applicable law.</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This report includes statistical and other industry and market data that we obtained from industry publications and research, surveys, and studies conducted by third parties as well as our own estimates. All of the market data used in this report involve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Haduvio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81" w:lineRule="exact"/>
        <w:rPr>
          <w:sz w:val="20"/>
          <w:szCs w:val="20"/>
          <w:color w:val="auto"/>
        </w:rPr>
      </w:pPr>
    </w:p>
    <w:p>
      <w:pPr>
        <w:ind w:right="140" w:firstLine="509"/>
        <w:spacing w:after="0" w:line="233" w:lineRule="auto"/>
        <w:rPr>
          <w:sz w:val="20"/>
          <w:szCs w:val="20"/>
          <w:color w:val="auto"/>
        </w:rPr>
      </w:pPr>
      <w:r>
        <w:rPr>
          <w:rFonts w:ascii="Times New Roman" w:cs="Times New Roman" w:eastAsia="Times New Roman" w:hAnsi="Times New Roman"/>
          <w:sz w:val="18"/>
          <w:szCs w:val="18"/>
          <w:color w:val="auto"/>
        </w:rPr>
        <w:t>We own or have rights to trademarks, service marks and trade names that we use in connection with the operation of our business, including our corporate name, logos and website names. We own the trademarks Trevi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Haduvio™. Other trademarks, service marks and trade names appearing in this Quarterly Report on Form 10-Q are the property of their respective owners. Solely for convenience, some of the trademarks, service marks and trade names referred to in this Quarterly Report on Form 10-Q are listed without the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 symbols, but we will assert, to the fullest extent under applicable law, our rights to our trademarks, service marks and trade names. We intend to propose Haduvio as the trade name for our oral nalbuphine ER investigational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605790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 w:name="page3"/>
    <w:bookmarkEnd w:id="2"/>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4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principal factors that make an investment in our company speculative or risky. This summary does not address all of the risks and uncertainties that we face. Additional risks and uncertainties not presently known to us or that we presently deem less significant may also impair our business operations. Additional discussion of the risks summarized in this summary and other risks that we face, can be found in the “Risk Factors” section of this Quarterly Report on Form 10-Q and should be carefully considered, together with other information in this Quarterly Report on Form 10-Q and our other filings with the Securities and Exchange Commission, before making an investment decision regarding our common stock. The forward-looking statements discussed above are qualified by these risk factors. If any of the following risks occur, our business, financial condition, results of operations and future growth prospects could be materially and adversely affected.</w:t>
      </w:r>
    </w:p>
    <w:p>
      <w:pPr>
        <w:spacing w:after="0" w:line="81" w:lineRule="exact"/>
        <w:rPr>
          <w:sz w:val="20"/>
          <w:szCs w:val="20"/>
          <w:color w:val="auto"/>
        </w:rPr>
      </w:pPr>
    </w:p>
    <w:p>
      <w:pPr>
        <w:ind w:left="760" w:right="28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expect to continue to incur significant and increasing losses for the foreseeable future. We may never achieve or maintain profitability.</w:t>
      </w:r>
    </w:p>
    <w:p>
      <w:pPr>
        <w:spacing w:after="0" w:line="53"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sufficient capital when needed on acceptable terms or at all, we could be forced to delay, reduce or abandon our product development programs or commercialization efforts.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p>
      <w:pPr>
        <w:spacing w:after="0" w:line="67" w:lineRule="exact"/>
        <w:rPr>
          <w:rFonts w:ascii="Times New Roman" w:cs="Times New Roman" w:eastAsia="Times New Roman" w:hAnsi="Times New Roman"/>
          <w:sz w:val="18"/>
          <w:szCs w:val="18"/>
          <w:color w:val="auto"/>
        </w:rPr>
      </w:pPr>
    </w:p>
    <w:p>
      <w:pPr>
        <w:ind w:left="760" w:right="38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delays may affect the timing and costs of our planned or ongoing clinical trials and may affect our ability to complete planned or ongoing trials with our existing cash resources.</w:t>
      </w:r>
    </w:p>
    <w:p>
      <w:pPr>
        <w:spacing w:after="0" w:line="53" w:lineRule="exact"/>
        <w:rPr>
          <w:rFonts w:ascii="Times New Roman" w:cs="Times New Roman" w:eastAsia="Times New Roman" w:hAnsi="Times New Roman"/>
          <w:sz w:val="18"/>
          <w:szCs w:val="18"/>
          <w:color w:val="auto"/>
        </w:rPr>
      </w:pPr>
    </w:p>
    <w:p>
      <w:pPr>
        <w:ind w:left="760" w:right="10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clinical trials may not be predictive of the success of later clinical trials. For instance, Haduvio may fail to show the desired safety and efficacy in clinical development despite demonstrating positive results in earlier clinical trials. The results of our Phase 2 clinical trial of Haduvio for the treatment of chronic cough in IPF, which we refer to as the Phase 2 CANAL trial, may not be predictive of the results of future trials of Haduvio for the treatment of chronic cough in IPF or other chronic cough indications such as RCC.</w:t>
      </w:r>
    </w:p>
    <w:p>
      <w:pPr>
        <w:spacing w:after="0" w:line="71" w:lineRule="exact"/>
        <w:rPr>
          <w:rFonts w:ascii="Times New Roman" w:cs="Times New Roman" w:eastAsia="Times New Roman" w:hAnsi="Times New Roman"/>
          <w:sz w:val="18"/>
          <w:szCs w:val="18"/>
          <w:color w:val="auto"/>
        </w:rPr>
      </w:pPr>
    </w:p>
    <w:p>
      <w:pPr>
        <w:ind w:left="760" w:right="60" w:hanging="378"/>
        <w:spacing w:after="0" w:line="255"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delays and difficulties in the enrollment of patients in our clinical trials in the past, including in our Phase 2 CANAL trial. If we experience delays or difficulties in the enrollment of patients in current or future clinical trials, our receipt of necessary regulatory approvals could be delayed or prevented. Other companies are conducting clinical trials or have announced plans for future clinical trials that are seeking or are likely to seek to enroll patients with chronic cough with IPF, IPF, and RCC, and patients are generally only able to enroll in a single trial at a time. In addition, many patients use various treatments off-label to treat chronic cough associated with IPF and RCC, and these patients and their physicians may be reluctant to forgo, discontinue or otherwise alter their use of such off-label therapeutic approaches to participate in our clinical trials.</w:t>
      </w:r>
    </w:p>
    <w:p>
      <w:pPr>
        <w:spacing w:after="0" w:line="80"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an uncertain outcome. Even if we complete the necessary preclinical studies and clinical trials, the regulatory approval process is uncertain, which may prevent us from obtaining approvals for the commercialization of Haduvio or any future product candidate.</w:t>
      </w:r>
    </w:p>
    <w:p>
      <w:pPr>
        <w:spacing w:after="0" w:line="67" w:lineRule="exact"/>
        <w:rPr>
          <w:rFonts w:ascii="Times New Roman" w:cs="Times New Roman" w:eastAsia="Times New Roman" w:hAnsi="Times New Roman"/>
          <w:sz w:val="18"/>
          <w:szCs w:val="18"/>
          <w:color w:val="auto"/>
        </w:rPr>
      </w:pPr>
    </w:p>
    <w:p>
      <w:pPr>
        <w:ind w:left="760" w:right="200" w:hanging="378"/>
        <w:spacing w:after="0" w:line="25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or undesirable side effects caused by, or other unexpected properties of, Haduvio or any future project candidate may be identified during development and could delay or prevent the marketing approval or limit the use of Haduvio or any future product candidate. Haduvio, as a mixed kappa-opioid receptor agonist and mu-opioid receptor antagonist, may be susceptible to side effects associated with drugs having either of those mechanisms of action, including psychiatric side effects, withdrawal effects, respiratory depression and potential cardiac risk, as well as endocrine side effects associated with opioids generally.</w:t>
      </w:r>
    </w:p>
    <w:p>
      <w:pPr>
        <w:spacing w:after="0" w:line="75" w:lineRule="exact"/>
        <w:rPr>
          <w:rFonts w:ascii="Times New Roman" w:cs="Times New Roman" w:eastAsia="Times New Roman" w:hAnsi="Times New Roman"/>
          <w:sz w:val="18"/>
          <w:szCs w:val="18"/>
          <w:color w:val="auto"/>
        </w:rPr>
      </w:pPr>
    </w:p>
    <w:p>
      <w:pPr>
        <w:ind w:left="760" w:right="80" w:hanging="378"/>
        <w:spacing w:after="0" w:line="25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label for nalbuphine, the active ingredient in Haduvio, carries an opioid class label warning for serious, life-threatening or fatal respiratory depression and Haduvio, if approved for marketing in any indication, will likely carry a similar opioid class label. We are conducting our Phase 1b TIDAL study to evaluate the effect of Haduvio on respiratory physiology in patients with IPF of varying disease severity. We cannot be certain that respiratory depression will not be observed or that the U.S. Food and Drug Administration, or FDA, will not require additional trials or impose more severe labeling restrictions related to respiratory depression. If there is a safety signal in the Phase 1b study, it could affect our ability to conduct a trial in this patient population.</w:t>
      </w:r>
    </w:p>
    <w:p>
      <w:pPr>
        <w:spacing w:after="0" w:line="79" w:lineRule="exact"/>
        <w:rPr>
          <w:rFonts w:ascii="Times New Roman" w:cs="Times New Roman" w:eastAsia="Times New Roman" w:hAnsi="Times New Roman"/>
          <w:sz w:val="18"/>
          <w:szCs w:val="18"/>
          <w:color w:val="auto"/>
        </w:rPr>
      </w:pPr>
    </w:p>
    <w:p>
      <w:pPr>
        <w:ind w:left="760" w:right="20" w:hanging="378"/>
        <w:spacing w:after="0" w:line="25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currently approved mu-opioid products are subject to restrictive marketing and distribution regulations which, if applied to Haduvio, could potentially restrict its use and harm our ability to generate profits. We are conducting a HAP study to compare the abuse potential of oral nalbuphine to IV butorphanol. We expect to report topline data from this study in December 2024. If the results of the HAP study suggest that Haduvio may carry risks of misuse, abuse or addiction or even if the study indicates that Haduvio does not carry such risks, the FDA may require us to implement a Risk Evaluation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378" w:right="20"/>
        <w:spacing w:after="0" w:line="282" w:lineRule="auto"/>
        <w:rPr>
          <w:sz w:val="20"/>
          <w:szCs w:val="20"/>
          <w:color w:val="auto"/>
        </w:rPr>
      </w:pPr>
      <w:r>
        <w:rPr>
          <w:rFonts w:ascii="Times New Roman" w:cs="Times New Roman" w:eastAsia="Times New Roman" w:hAnsi="Times New Roman"/>
          <w:sz w:val="18"/>
          <w:szCs w:val="18"/>
          <w:color w:val="auto"/>
        </w:rPr>
        <w:t>Mitigation Strategy in connection with any commercialization of Haduvio and the U.S. Drug Enforcement Agency could determine that Haduvio should be classified as a controlled substance.</w:t>
      </w:r>
    </w:p>
    <w:p>
      <w:pPr>
        <w:spacing w:after="0" w:line="54" w:lineRule="exact"/>
        <w:rPr>
          <w:sz w:val="20"/>
          <w:szCs w:val="20"/>
          <w:color w:val="auto"/>
        </w:rPr>
      </w:pPr>
    </w:p>
    <w:p>
      <w:pPr>
        <w:ind w:left="378" w:right="100" w:hanging="378"/>
        <w:spacing w:after="0" w:line="282" w:lineRule="auto"/>
        <w:tabs>
          <w:tab w:leader="none" w:pos="3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spacing w:after="0" w:line="53"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developing or commercializing products before or more successfully than we do.</w:t>
      </w:r>
    </w:p>
    <w:p>
      <w:pPr>
        <w:spacing w:after="0" w:line="117" w:lineRule="exact"/>
        <w:rPr>
          <w:rFonts w:ascii="Times New Roman" w:cs="Times New Roman" w:eastAsia="Times New Roman" w:hAnsi="Times New Roman"/>
          <w:sz w:val="18"/>
          <w:szCs w:val="18"/>
          <w:color w:val="auto"/>
        </w:rPr>
      </w:pPr>
    </w:p>
    <w:p>
      <w:pPr>
        <w:ind w:left="378" w:right="160" w:hanging="378"/>
        <w:spacing w:after="0" w:line="261" w:lineRule="auto"/>
        <w:tabs>
          <w:tab w:leader="none" w:pos="3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to conduct our clinical trials and for the manufacture, storage, packaging and distribution of Haduvio for clinical trials, including a single supplier for the active ingredient in Haduvio. We expect to continue to rely on third parties for these services in connection with our future development and commercialization efforts for Haduvio. If they do not perform satisfactorily, our business could be harmed.</w:t>
      </w:r>
    </w:p>
    <w:p>
      <w:pPr>
        <w:spacing w:after="0" w:line="71" w:lineRule="exact"/>
        <w:rPr>
          <w:rFonts w:ascii="Times New Roman" w:cs="Times New Roman" w:eastAsia="Times New Roman" w:hAnsi="Times New Roman"/>
          <w:sz w:val="18"/>
          <w:szCs w:val="18"/>
          <w:color w:val="auto"/>
        </w:rPr>
      </w:pPr>
    </w:p>
    <w:p>
      <w:pPr>
        <w:jc w:val="both"/>
        <w:ind w:left="378" w:right="120" w:hanging="378"/>
        <w:spacing w:after="0" w:line="266" w:lineRule="auto"/>
        <w:tabs>
          <w:tab w:leader="none" w:pos="3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under our existing and any future intellectual property licenses with third parties, including our license with Endo Pharmaceuticals Inc., we could lose license rights that are critical to our business or owe damages to the licensor of such intellectual property.</w:t>
      </w:r>
    </w:p>
    <w:p>
      <w:pPr>
        <w:spacing w:after="0" w:line="67" w:lineRule="exact"/>
        <w:rPr>
          <w:rFonts w:ascii="Times New Roman" w:cs="Times New Roman" w:eastAsia="Times New Roman" w:hAnsi="Times New Roman"/>
          <w:sz w:val="18"/>
          <w:szCs w:val="18"/>
          <w:color w:val="auto"/>
        </w:rPr>
      </w:pPr>
    </w:p>
    <w:p>
      <w:pPr>
        <w:ind w:left="378" w:right="220" w:hanging="378"/>
        <w:spacing w:after="0" w:line="261" w:lineRule="auto"/>
        <w:tabs>
          <w:tab w:leader="none" w:pos="3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patent protection for Haduvio or any future product candidate and the disease indications for which we are developing or may in the future develop Haduvio or any other product candidate,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spacing w:after="0" w:line="71" w:lineRule="exact"/>
        <w:rPr>
          <w:rFonts w:ascii="Times New Roman" w:cs="Times New Roman" w:eastAsia="Times New Roman" w:hAnsi="Times New Roman"/>
          <w:sz w:val="18"/>
          <w:szCs w:val="18"/>
          <w:color w:val="auto"/>
        </w:rPr>
      </w:pPr>
    </w:p>
    <w:p>
      <w:pPr>
        <w:ind w:left="378" w:hanging="378"/>
        <w:spacing w:after="0" w:line="266" w:lineRule="auto"/>
        <w:tabs>
          <w:tab w:leader="none" w:pos="3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financings.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864870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38"/>
          </w:cols>
          <w:pgMar w:left="702" w:top="1093" w:right="35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66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900" w:type="dxa"/>
            <w:vAlign w:val="bottom"/>
            <w:gridSpan w:val="2"/>
            <w:vMerge w:val="continue"/>
          </w:tcPr>
          <w:p>
            <w:pPr>
              <w:spacing w:after="0"/>
              <w:rPr>
                <w:sz w:val="14"/>
                <w:szCs w:val="14"/>
                <w:color w:val="auto"/>
              </w:rPr>
            </w:pPr>
          </w:p>
        </w:tc>
        <w:tc>
          <w:tcPr>
            <w:tcW w:w="9660" w:type="dxa"/>
            <w:vAlign w:val="bottom"/>
            <w:gridSpan w:val="20"/>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6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20" w:type="dxa"/>
            <w:vAlign w:val="bottom"/>
            <w:tcBorders>
              <w:top w:val="single" w:sz="8" w:color="0000FF"/>
              <w:bottom w:val="single" w:sz="8" w:color="0000EE"/>
            </w:tcBorders>
          </w:tcPr>
          <w:p>
            <w:pPr>
              <w:spacing w:after="0"/>
              <w:rPr>
                <w:sz w:val="18"/>
                <w:szCs w:val="18"/>
                <w:color w:val="auto"/>
              </w:rPr>
            </w:pPr>
          </w:p>
        </w:tc>
        <w:tc>
          <w:tcPr>
            <w:tcW w:w="1300" w:type="dxa"/>
            <w:vAlign w:val="bottom"/>
            <w:tcBorders>
              <w:top w:val="single" w:sz="8" w:color="0000FF"/>
            </w:tcBorders>
            <w:gridSpan w:val="3"/>
          </w:tcPr>
          <w:p>
            <w:pPr>
              <w:spacing w:after="0"/>
              <w:rPr>
                <w:sz w:val="18"/>
                <w:szCs w:val="18"/>
                <w:color w:val="auto"/>
              </w:rPr>
            </w:pPr>
          </w:p>
        </w:tc>
        <w:tc>
          <w:tcPr>
            <w:tcW w:w="5400" w:type="dxa"/>
            <w:vAlign w:val="bottom"/>
            <w:gridSpan w:val="6"/>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5260" w:type="dxa"/>
            <w:vAlign w:val="bottom"/>
            <w:gridSpan w:val="4"/>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0" w:type="dxa"/>
            <w:vAlign w:val="bottom"/>
            <w:tcBorders>
              <w:bottom w:val="single" w:sz="8" w:color="0000EE"/>
            </w:tcBorders>
          </w:tcPr>
          <w:p>
            <w:pPr>
              <w:spacing w:after="0"/>
              <w:rPr>
                <w:sz w:val="18"/>
                <w:szCs w:val="18"/>
                <w:color w:val="auto"/>
              </w:rPr>
            </w:pPr>
          </w:p>
        </w:tc>
        <w:tc>
          <w:tcPr>
            <w:tcW w:w="5920" w:type="dxa"/>
            <w:vAlign w:val="bottom"/>
            <w:gridSpan w:val="7"/>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8"/>
                <w:szCs w:val="18"/>
                <w:color w:val="auto"/>
              </w:rPr>
            </w:pPr>
          </w:p>
        </w:tc>
        <w:tc>
          <w:tcPr>
            <w:tcW w:w="484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6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top w:val="single" w:sz="8" w:color="0000FF"/>
              <w:bottom w:val="single" w:sz="8" w:color="0000EE"/>
            </w:tcBorders>
          </w:tcPr>
          <w:p>
            <w:pPr>
              <w:spacing w:after="0"/>
              <w:rPr>
                <w:sz w:val="18"/>
                <w:szCs w:val="18"/>
                <w:color w:val="auto"/>
              </w:rPr>
            </w:pPr>
          </w:p>
        </w:tc>
        <w:tc>
          <w:tcPr>
            <w:tcW w:w="2580" w:type="dxa"/>
            <w:vAlign w:val="bottom"/>
            <w:tcBorders>
              <w:top w:val="single" w:sz="8" w:color="0000FF"/>
            </w:tcBorders>
            <w:gridSpan w:val="8"/>
          </w:tcPr>
          <w:p>
            <w:pPr>
              <w:spacing w:after="0"/>
              <w:rPr>
                <w:sz w:val="18"/>
                <w:szCs w:val="18"/>
                <w:color w:val="auto"/>
              </w:rPr>
            </w:pPr>
          </w:p>
        </w:tc>
        <w:tc>
          <w:tcPr>
            <w:tcW w:w="5280" w:type="dxa"/>
            <w:vAlign w:val="bottom"/>
            <w:gridSpan w:val="5"/>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760" w:type="dxa"/>
            <w:vAlign w:val="bottom"/>
            <w:gridSpan w:val="12"/>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320" w:type="dxa"/>
            <w:vAlign w:val="bottom"/>
            <w:gridSpan w:val="15"/>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8"/>
                <w:szCs w:val="18"/>
                <w:color w:val="auto"/>
              </w:rPr>
            </w:pPr>
          </w:p>
        </w:tc>
        <w:tc>
          <w:tcPr>
            <w:tcW w:w="8720" w:type="dxa"/>
            <w:vAlign w:val="bottom"/>
            <w:gridSpan w:val="17"/>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340" w:type="dxa"/>
            <w:vAlign w:val="bottom"/>
            <w:gridSpan w:val="16"/>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6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5" w:name="page6"/>
    <w:bookmarkEnd w:id="5"/>
    <w:p>
      <w:pPr>
        <w:ind w:left="40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16,052</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32,397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Marketable securities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49,441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Prepaid expenses</w:t>
            </w: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1,176</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current assets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667</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Total current assets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67,336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87,547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Finance lease right-of-use assets</w:t>
            </w: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equipment and leasehold improvements, net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68,908</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89,403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1,614</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Accrued expenses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7,212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8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7"/>
                <w:szCs w:val="17"/>
                <w:color w:val="auto"/>
              </w:rPr>
              <w:t>Finance lease liabilities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9,123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Finance lease liabilities</w:t>
            </w:r>
          </w:p>
        </w:tc>
        <w:tc>
          <w:tcPr>
            <w:tcW w:w="2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6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Total liabilities</w:t>
            </w: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9,939</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12)</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Preferred stock: $0.001 par value; 5,000,000 shares authorized at September 30, 2024 and December 31,</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2023; no shares issued or outstanding at September 30, 2024 and December 31, 2023.</w:t>
            </w:r>
          </w:p>
        </w:tc>
        <w:tc>
          <w:tcPr>
            <w:tcW w:w="2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7680" w:type="dxa"/>
            <w:vAlign w:val="bottom"/>
          </w:tcPr>
          <w:p>
            <w:pPr>
              <w:ind w:left="200"/>
              <w:spacing w:after="0" w:line="194" w:lineRule="exact"/>
              <w:rPr>
                <w:sz w:val="20"/>
                <w:szCs w:val="20"/>
                <w:color w:val="auto"/>
              </w:rPr>
            </w:pPr>
            <w:r>
              <w:rPr>
                <w:rFonts w:ascii="Times New Roman" w:cs="Times New Roman" w:eastAsia="Times New Roman" w:hAnsi="Times New Roman"/>
                <w:sz w:val="17"/>
                <w:szCs w:val="17"/>
                <w:color w:val="auto"/>
              </w:rPr>
              <w:t>Common stock: $0.001 par value; 200,000,000 shares authorized at September 30, 2024 and December</w:t>
            </w: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31, 2023; and 75,454,375 and 68,283,699 shares issued and outstanding at September 30, 2024 and</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December 31, 2023, respectively.</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334,385</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321,642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(29 )</w:t>
            </w: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Accumulated deficit</w:t>
            </w: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(275,630 )</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(239,134 )</w:t>
            </w:r>
          </w:p>
        </w:tc>
        <w:tc>
          <w:tcPr>
            <w:tcW w:w="0" w:type="dxa"/>
            <w:vAlign w:val="bottom"/>
          </w:tcPr>
          <w:p>
            <w:pPr>
              <w:spacing w:after="0"/>
              <w:rPr>
                <w:sz w:val="1"/>
                <w:szCs w:val="1"/>
                <w:color w:val="auto"/>
              </w:rPr>
            </w:pPr>
          </w:p>
        </w:tc>
      </w:tr>
      <w:tr>
        <w:trPr>
          <w:trHeight w:val="223"/>
        </w:trPr>
        <w:tc>
          <w:tcPr>
            <w:tcW w:w="76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58,969</w:t>
            </w:r>
          </w:p>
        </w:tc>
        <w:tc>
          <w:tcPr>
            <w:tcW w:w="28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82,547</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68,908</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89,403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-3402330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-3402330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-2348230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-1915160</wp:posOffset>
            </wp:positionV>
            <wp:extent cx="9398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-1915160</wp:posOffset>
            </wp:positionV>
            <wp:extent cx="9398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-333375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2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4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9"/>
        </w:trPr>
        <w:tc>
          <w:tcPr>
            <w:tcW w:w="58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5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11,224</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30,049</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17,165</w:t>
            </w:r>
          </w:p>
        </w:tc>
        <w:tc>
          <w:tcPr>
            <w:tcW w:w="100" w:type="dxa"/>
            <w:vAlign w:val="bottom"/>
            <w:shd w:val="clear" w:color="auto" w:fill="CFF0FC"/>
          </w:tcPr>
          <w:p>
            <w:pPr>
              <w:spacing w:after="0"/>
              <w:rPr>
                <w:sz w:val="21"/>
                <w:szCs w:val="21"/>
                <w:color w:val="auto"/>
              </w:rPr>
            </w:pPr>
          </w:p>
        </w:tc>
      </w:tr>
      <w:tr>
        <w:trPr>
          <w:trHeight w:val="239"/>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9,232</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100" w:type="dxa"/>
            <w:vAlign w:val="bottom"/>
          </w:tcPr>
          <w:p>
            <w:pPr>
              <w:spacing w:after="0"/>
              <w:rPr>
                <w:sz w:val="20"/>
                <w:szCs w:val="20"/>
                <w:color w:val="auto"/>
              </w:rPr>
            </w:pPr>
          </w:p>
        </w:tc>
      </w:tr>
      <w:tr>
        <w:trPr>
          <w:trHeight w:val="237"/>
        </w:trPr>
        <w:tc>
          <w:tcPr>
            <w:tcW w:w="58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14,087</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9,045</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39,281</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(14,087 )</w:t>
            </w:r>
          </w:p>
        </w:tc>
        <w:tc>
          <w:tcPr>
            <w:tcW w:w="3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(9,045 )</w:t>
            </w:r>
          </w:p>
        </w:tc>
        <w:tc>
          <w:tcPr>
            <w:tcW w:w="1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(39,281 )</w:t>
            </w: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(24,990 )</w:t>
            </w:r>
          </w:p>
        </w:tc>
      </w:tr>
      <w:tr>
        <w:trPr>
          <w:trHeight w:val="247"/>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tcPr>
          <w:p>
            <w:pPr>
              <w:spacing w:after="0"/>
              <w:rPr>
                <w:sz w:val="20"/>
                <w:szCs w:val="20"/>
                <w:color w:val="auto"/>
              </w:rPr>
            </w:pPr>
          </w:p>
        </w:tc>
      </w:tr>
      <w:tr>
        <w:trPr>
          <w:trHeight w:val="247"/>
        </w:trPr>
        <w:tc>
          <w:tcPr>
            <w:tcW w:w="5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(11 )</w:t>
            </w: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(17 )</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FF0FC"/>
          </w:tcPr>
          <w:p>
            <w:pPr>
              <w:spacing w:after="0"/>
              <w:rPr>
                <w:sz w:val="21"/>
                <w:szCs w:val="21"/>
                <w:color w:val="auto"/>
              </w:rPr>
            </w:pPr>
          </w:p>
        </w:tc>
      </w:tr>
      <w:tr>
        <w:trPr>
          <w:trHeight w:val="239"/>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3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(3 )</w:t>
            </w: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(387 )</w:t>
            </w:r>
          </w:p>
        </w:tc>
      </w:tr>
      <w:tr>
        <w:trPr>
          <w:trHeight w:val="237"/>
        </w:trPr>
        <w:tc>
          <w:tcPr>
            <w:tcW w:w="584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3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(13,273 )</w:t>
            </w:r>
          </w:p>
        </w:tc>
        <w:tc>
          <w:tcPr>
            <w:tcW w:w="3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(7,711 )</w:t>
            </w:r>
          </w:p>
        </w:tc>
        <w:tc>
          <w:tcPr>
            <w:tcW w:w="1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(36,542 )</w:t>
            </w: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(21,294 )</w:t>
            </w:r>
          </w:p>
        </w:tc>
      </w:tr>
      <w:tr>
        <w:trPr>
          <w:trHeight w:val="243"/>
        </w:trPr>
        <w:tc>
          <w:tcPr>
            <w:tcW w:w="58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(13,242 )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(7,698 )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(36,496 )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(21,244 )</w:t>
            </w:r>
          </w:p>
        </w:tc>
      </w:tr>
      <w:tr>
        <w:trPr>
          <w:trHeight w:val="20"/>
        </w:trPr>
        <w:tc>
          <w:tcPr>
            <w:tcW w:w="5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 outstanding</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(0.13 )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(0.36 )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(0.21 )</w:t>
            </w:r>
          </w:p>
        </w:tc>
      </w:tr>
      <w:tr>
        <w:trPr>
          <w:trHeight w:val="211"/>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used in net loss per share</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101,282,228</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99,325,540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100,616,111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98,880,882</w:t>
            </w:r>
          </w:p>
        </w:tc>
        <w:tc>
          <w:tcPr>
            <w:tcW w:w="100" w:type="dxa"/>
            <w:vAlign w:val="bottom"/>
          </w:tcPr>
          <w:p>
            <w:pPr>
              <w:spacing w:after="0"/>
              <w:rPr>
                <w:sz w:val="20"/>
                <w:szCs w:val="20"/>
                <w:color w:val="auto"/>
              </w:rPr>
            </w:pPr>
          </w:p>
        </w:tc>
      </w:tr>
      <w:tr>
        <w:trPr>
          <w:trHeight w:val="250"/>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(13,242 )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(7,698 )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(36,496 )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(21,244 )</w:t>
            </w:r>
          </w:p>
        </w:tc>
      </w:tr>
      <w:tr>
        <w:trPr>
          <w:trHeight w:val="23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unrealized gains (losses) on available-for-sale marketable securities</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(95 )</w:t>
            </w:r>
          </w:p>
        </w:tc>
      </w:tr>
      <w:tr>
        <w:trPr>
          <w:trHeight w:val="20"/>
        </w:trPr>
        <w:tc>
          <w:tcPr>
            <w:tcW w:w="58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(13,019 )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(7,667 )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(36,328 )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(21,339 )</w:t>
            </w:r>
          </w:p>
        </w:tc>
      </w:tr>
      <w:tr>
        <w:trPr>
          <w:trHeight w:val="20"/>
        </w:trPr>
        <w:tc>
          <w:tcPr>
            <w:tcW w:w="5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-2545080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-2545080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-2545080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4432935</wp:posOffset>
            </wp:positionH>
            <wp:positionV relativeFrom="paragraph">
              <wp:posOffset>-1778000</wp:posOffset>
            </wp:positionV>
            <wp:extent cx="102870" cy="196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196850"/>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-1778000</wp:posOffset>
            </wp:positionV>
            <wp:extent cx="93980" cy="196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6189980</wp:posOffset>
            </wp:positionH>
            <wp:positionV relativeFrom="paragraph">
              <wp:posOffset>-1778000</wp:posOffset>
            </wp:positionV>
            <wp:extent cx="93980" cy="196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-1778000</wp:posOffset>
            </wp:positionV>
            <wp:extent cx="93980" cy="196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-1285240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-1285240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-1285240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-187960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-187960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-187960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Addition</w:t>
            </w: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al</w:t>
            </w:r>
          </w:p>
        </w:tc>
        <w:tc>
          <w:tcPr>
            <w:tcW w:w="24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20"/>
        </w:trPr>
        <w:tc>
          <w:tcPr>
            <w:tcW w:w="5440" w:type="dxa"/>
            <w:vAlign w:val="bottom"/>
          </w:tcPr>
          <w:p>
            <w:pPr>
              <w:spacing w:after="0"/>
              <w:rPr>
                <w:sz w:val="19"/>
                <w:szCs w:val="19"/>
                <w:color w:val="auto"/>
              </w:rPr>
            </w:pPr>
          </w:p>
        </w:tc>
        <w:tc>
          <w:tcPr>
            <w:tcW w:w="1480" w:type="dxa"/>
            <w:vAlign w:val="bottom"/>
            <w:gridSpan w:val="4"/>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w:t>
            </w:r>
          </w:p>
        </w:tc>
        <w:tc>
          <w:tcPr>
            <w:tcW w:w="0" w:type="dxa"/>
            <w:vAlign w:val="bottom"/>
          </w:tcPr>
          <w:p>
            <w:pPr>
              <w:spacing w:after="0"/>
              <w:rPr>
                <w:sz w:val="1"/>
                <w:szCs w:val="1"/>
                <w:color w:val="auto"/>
              </w:rPr>
            </w:pPr>
          </w:p>
        </w:tc>
      </w:tr>
      <w:tr>
        <w:trPr>
          <w:trHeight w:val="217"/>
        </w:trPr>
        <w:tc>
          <w:tcPr>
            <w:tcW w:w="5440" w:type="dxa"/>
            <w:vAlign w:val="bottom"/>
          </w:tcPr>
          <w:p>
            <w:pPr>
              <w:spacing w:after="0"/>
              <w:rPr>
                <w:sz w:val="18"/>
                <w:szCs w:val="18"/>
                <w:color w:val="auto"/>
              </w:rPr>
            </w:pPr>
          </w:p>
        </w:tc>
        <w:tc>
          <w:tcPr>
            <w:tcW w:w="1480" w:type="dxa"/>
            <w:vAlign w:val="bottom"/>
            <w:tcBorders>
              <w:bottom w:val="single" w:sz="8" w:color="auto"/>
            </w:tcBorders>
            <w:gridSpan w:val="4"/>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Paid-</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3"/>
              </w:rPr>
              <w:t>ted</w:t>
            </w:r>
          </w:p>
        </w:tc>
        <w:tc>
          <w:tcPr>
            <w:tcW w:w="120" w:type="dxa"/>
            <w:vAlign w:val="bottom"/>
          </w:tcPr>
          <w:p>
            <w:pPr>
              <w:spacing w:after="0"/>
              <w:rPr>
                <w:sz w:val="18"/>
                <w:szCs w:val="18"/>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rs’</w:t>
            </w:r>
          </w:p>
        </w:tc>
        <w:tc>
          <w:tcPr>
            <w:tcW w:w="0" w:type="dxa"/>
            <w:vAlign w:val="bottom"/>
          </w:tcPr>
          <w:p>
            <w:pPr>
              <w:spacing w:after="0"/>
              <w:rPr>
                <w:sz w:val="1"/>
                <w:szCs w:val="1"/>
                <w:color w:val="auto"/>
              </w:rPr>
            </w:pPr>
          </w:p>
        </w:tc>
      </w:tr>
      <w:tr>
        <w:trPr>
          <w:trHeight w:val="200"/>
        </w:trPr>
        <w:tc>
          <w:tcPr>
            <w:tcW w:w="5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in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44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nt</w:t>
            </w:r>
          </w:p>
        </w:tc>
        <w:tc>
          <w:tcPr>
            <w:tcW w:w="240" w:type="dxa"/>
            <w:vAlign w:val="bottom"/>
          </w:tcPr>
          <w:p>
            <w:pPr>
              <w:spacing w:after="0"/>
              <w:rPr>
                <w:sz w:val="19"/>
                <w:szCs w:val="19"/>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9"/>
                <w:szCs w:val="19"/>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2"/>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72,591,9</w:t>
            </w: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328,57</w:t>
            </w:r>
          </w:p>
        </w:tc>
        <w:tc>
          <w:tcPr>
            <w:tcW w:w="2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3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(84 )</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 (262,388 )</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66,174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from exercise of stock options</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113,736</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the at-the-market sales agreement, net of</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1,611,80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commissions and allocated fees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from pre-funded warrant exercise</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1,136,91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(1 )</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gains on available-for-sale marketable securities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2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(13,242 )</w:t>
            </w:r>
          </w:p>
        </w:tc>
        <w:tc>
          <w:tcPr>
            <w:tcW w:w="1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(13,242 )</w:t>
            </w:r>
          </w:p>
        </w:tc>
        <w:tc>
          <w:tcPr>
            <w:tcW w:w="0" w:type="dxa"/>
            <w:vAlign w:val="bottom"/>
          </w:tcPr>
          <w:p>
            <w:pPr>
              <w:spacing w:after="0"/>
              <w:rPr>
                <w:sz w:val="1"/>
                <w:szCs w:val="1"/>
                <w:color w:val="auto"/>
              </w:rPr>
            </w:pPr>
          </w:p>
        </w:tc>
      </w:tr>
      <w:tr>
        <w:trPr>
          <w:trHeight w:val="202"/>
        </w:trPr>
        <w:tc>
          <w:tcPr>
            <w:tcW w:w="54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75,454,3</w:t>
            </w: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334,38</w:t>
            </w:r>
          </w:p>
        </w:tc>
        <w:tc>
          <w:tcPr>
            <w:tcW w:w="2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(275,630 )</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63,098,4</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318,87</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3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(248 )</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 (223,615 )</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95,073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from exercise of stock options</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6,875</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the at-the-market sales agreement, net of</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commissions and allocated fees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Unrealized gains on available-for-sale marketable securities</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(7,698 )</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(7,698 )</w:t>
            </w:r>
          </w:p>
        </w:tc>
        <w:tc>
          <w:tcPr>
            <w:tcW w:w="0" w:type="dxa"/>
            <w:vAlign w:val="bottom"/>
          </w:tcPr>
          <w:p>
            <w:pPr>
              <w:spacing w:after="0"/>
              <w:rPr>
                <w:sz w:val="1"/>
                <w:szCs w:val="1"/>
                <w:color w:val="auto"/>
              </w:rPr>
            </w:pPr>
          </w:p>
        </w:tc>
      </w:tr>
      <w:tr>
        <w:trPr>
          <w:trHeight w:val="202"/>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2023</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63,855,3</w:t>
            </w: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321,07</w:t>
            </w:r>
          </w:p>
        </w:tc>
        <w:tc>
          <w:tcPr>
            <w:tcW w:w="2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(217 )</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 (231,313 )</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89,610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-1893570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-1893570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-1893570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-1893570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-1893570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-24765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w:t>
            </w:r>
          </w:p>
        </w:tc>
        <w:tc>
          <w:tcPr>
            <w:tcW w:w="120" w:type="dxa"/>
            <w:vAlign w:val="bottom"/>
          </w:tcPr>
          <w:p>
            <w:pPr>
              <w:spacing w:after="0"/>
              <w:rPr>
                <w:sz w:val="17"/>
                <w:szCs w:val="17"/>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al</w:t>
            </w:r>
          </w:p>
        </w:tc>
        <w:tc>
          <w:tcPr>
            <w:tcW w:w="12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20"/>
        </w:trPr>
        <w:tc>
          <w:tcPr>
            <w:tcW w:w="4500" w:type="dxa"/>
            <w:vAlign w:val="bottom"/>
          </w:tcPr>
          <w:p>
            <w:pPr>
              <w:spacing w:after="0"/>
              <w:rPr>
                <w:sz w:val="19"/>
                <w:szCs w:val="19"/>
                <w:color w:val="auto"/>
              </w:rPr>
            </w:pPr>
          </w:p>
        </w:tc>
        <w:tc>
          <w:tcPr>
            <w:tcW w:w="14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2"/>
        </w:trPr>
        <w:tc>
          <w:tcPr>
            <w:tcW w:w="4500" w:type="dxa"/>
            <w:vAlign w:val="bottom"/>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Paid-</w:t>
            </w:r>
          </w:p>
        </w:tc>
        <w:tc>
          <w:tcPr>
            <w:tcW w:w="12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80" w:type="dxa"/>
            <w:vAlign w:val="bottom"/>
          </w:tcPr>
          <w:p>
            <w:pPr>
              <w:spacing w:after="0"/>
              <w:rPr>
                <w:sz w:val="18"/>
                <w:szCs w:val="18"/>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d</w:t>
            </w:r>
          </w:p>
        </w:tc>
        <w:tc>
          <w:tcPr>
            <w:tcW w:w="16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0"/>
        </w:trPr>
        <w:tc>
          <w:tcPr>
            <w:tcW w:w="4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in</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500" w:type="dxa"/>
            <w:vAlign w:val="bottom"/>
          </w:tcPr>
          <w:p>
            <w:pPr>
              <w:spacing w:after="0"/>
              <w:rPr>
                <w:sz w:val="19"/>
                <w:szCs w:val="19"/>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19"/>
                <w:szCs w:val="19"/>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Gain (Loss)</w:t>
            </w:r>
          </w:p>
        </w:tc>
        <w:tc>
          <w:tcPr>
            <w:tcW w:w="180" w:type="dxa"/>
            <w:vAlign w:val="bottom"/>
          </w:tcPr>
          <w:p>
            <w:pPr>
              <w:spacing w:after="0"/>
              <w:rPr>
                <w:sz w:val="19"/>
                <w:szCs w:val="19"/>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2"/>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68,283,69</w:t>
            </w:r>
          </w:p>
        </w:tc>
        <w:tc>
          <w:tcPr>
            <w:tcW w:w="28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6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$ 321,642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(239,134 )</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2,671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from exercise of stock options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243,254</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the at-the-market sales</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agreement, net of commissions and allocated fees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3,086,729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9,661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from Employee Stock Purchase Plan</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30,675</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from pre-funded warrant exercise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3,810,018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(4 )</w:t>
            </w:r>
          </w:p>
        </w:tc>
        <w:tc>
          <w:tcPr>
            <w:tcW w:w="12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Unrealized gains on available-for-sale marketable securities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(36,496 )</w:t>
            </w:r>
          </w:p>
        </w:tc>
        <w:tc>
          <w:tcPr>
            <w:tcW w:w="1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(36,496 )</w:t>
            </w:r>
          </w:p>
        </w:tc>
        <w:tc>
          <w:tcPr>
            <w:tcW w:w="0" w:type="dxa"/>
            <w:vAlign w:val="bottom"/>
          </w:tcPr>
          <w:p>
            <w:pPr>
              <w:spacing w:after="0"/>
              <w:rPr>
                <w:sz w:val="1"/>
                <w:szCs w:val="1"/>
                <w:color w:val="auto"/>
              </w:rPr>
            </w:pPr>
          </w:p>
        </w:tc>
      </w:tr>
      <w:tr>
        <w:trPr>
          <w:trHeight w:val="202"/>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75,454,37</w:t>
            </w:r>
          </w:p>
        </w:tc>
        <w:tc>
          <w:tcPr>
            <w:tcW w:w="28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50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$ 334,385</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(275,630 )</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58,969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CFF0F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59,943,43</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6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$ 317,590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(122 )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(210,069 )</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107,459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from exercise of stock options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143,789</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the at-the-market sales</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agreement, net of commissions and allocated fees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from Employee Stock Purchase Plan</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19,273</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from pre-funded warrant exercise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2,998,838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(3 )</w:t>
            </w:r>
          </w:p>
        </w:tc>
        <w:tc>
          <w:tcPr>
            <w:tcW w:w="12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Unrealized losses on available-for-sale marketable securities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(95 )</w:t>
            </w: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(95 )</w:t>
            </w: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(21,244 )</w:t>
            </w:r>
          </w:p>
        </w:tc>
        <w:tc>
          <w:tcPr>
            <w:tcW w:w="1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(21,244 )</w:t>
            </w:r>
          </w:p>
        </w:tc>
        <w:tc>
          <w:tcPr>
            <w:tcW w:w="0" w:type="dxa"/>
            <w:vAlign w:val="bottom"/>
          </w:tcPr>
          <w:p>
            <w:pPr>
              <w:spacing w:after="0"/>
              <w:rPr>
                <w:sz w:val="1"/>
                <w:szCs w:val="1"/>
                <w:color w:val="auto"/>
              </w:rPr>
            </w:pPr>
          </w:p>
        </w:tc>
      </w:tr>
      <w:tr>
        <w:trPr>
          <w:trHeight w:val="202"/>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2023</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63,855,33</w:t>
            </w:r>
          </w:p>
        </w:tc>
        <w:tc>
          <w:tcPr>
            <w:tcW w:w="28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$ 321,076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(217 )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(231,313 )</w:t>
            </w: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89,610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-1902460</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-1885315</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-1902460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-1885315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-1902460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-1885315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-1902460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-1885315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-1902460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-1885315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-24765</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-7620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1"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0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740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100" w:type="dxa"/>
            <w:vAlign w:val="bottom"/>
            <w:shd w:val="clear" w:color="auto" w:fill="CFF0FC"/>
          </w:tcPr>
          <w:p>
            <w:pPr>
              <w:jc w:val="right"/>
              <w:ind w:right="921"/>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(36,496 )</w:t>
            </w:r>
          </w:p>
        </w:tc>
        <w:tc>
          <w:tcPr>
            <w:tcW w:w="106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(21,244 )</w:t>
            </w:r>
          </w:p>
        </w:tc>
        <w:tc>
          <w:tcPr>
            <w:tcW w:w="0" w:type="dxa"/>
            <w:vAlign w:val="bottom"/>
          </w:tcPr>
          <w:p>
            <w:pPr>
              <w:spacing w:after="0"/>
              <w:rPr>
                <w:sz w:val="1"/>
                <w:szCs w:val="1"/>
                <w:color w:val="auto"/>
              </w:rPr>
            </w:pP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Stock-based compensation</w:t>
            </w:r>
          </w:p>
        </w:tc>
        <w:tc>
          <w:tcPr>
            <w:tcW w:w="1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2,671</w:t>
            </w: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4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4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Accretion of available-for-sale marketable securities, net</w:t>
            </w:r>
          </w:p>
        </w:tc>
        <w:tc>
          <w:tcPr>
            <w:tcW w:w="1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(1,070 )</w:t>
            </w:r>
          </w:p>
        </w:tc>
        <w:tc>
          <w:tcPr>
            <w:tcW w:w="10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(1,774 )</w:t>
            </w:r>
          </w:p>
        </w:tc>
        <w:tc>
          <w:tcPr>
            <w:tcW w:w="0" w:type="dxa"/>
            <w:vAlign w:val="bottom"/>
          </w:tcPr>
          <w:p>
            <w:pPr>
              <w:spacing w:after="0"/>
              <w:rPr>
                <w:sz w:val="1"/>
                <w:szCs w:val="1"/>
                <w:color w:val="auto"/>
              </w:rPr>
            </w:pPr>
          </w:p>
        </w:tc>
      </w:tr>
      <w:tr>
        <w:trPr>
          <w:trHeight w:val="233"/>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Accretion/accrual of term loan discounts and debt issuance costs</w:t>
            </w:r>
          </w:p>
        </w:tc>
        <w:tc>
          <w:tcPr>
            <w:tcW w:w="1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4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Loss on disposal of property, equipment and leasehold improvements</w:t>
            </w:r>
          </w:p>
        </w:tc>
        <w:tc>
          <w:tcPr>
            <w:tcW w:w="1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1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4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3,276</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2,736</w:t>
            </w: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(2,935 )</w:t>
            </w:r>
          </w:p>
        </w:tc>
        <w:tc>
          <w:tcPr>
            <w:tcW w:w="0" w:type="dxa"/>
            <w:vAlign w:val="bottom"/>
          </w:tcPr>
          <w:p>
            <w:pPr>
              <w:spacing w:after="0"/>
              <w:rPr>
                <w:sz w:val="1"/>
                <w:szCs w:val="1"/>
                <w:color w:val="auto"/>
              </w:rPr>
            </w:pPr>
          </w:p>
        </w:tc>
      </w:tr>
      <w:tr>
        <w:trPr>
          <w:trHeight w:val="226"/>
        </w:trPr>
        <w:tc>
          <w:tcPr>
            <w:tcW w:w="74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Accounts payable</w:t>
            </w:r>
          </w:p>
        </w:tc>
        <w:tc>
          <w:tcPr>
            <w:tcW w:w="1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(194 )</w:t>
            </w:r>
          </w:p>
        </w:tc>
        <w:tc>
          <w:tcPr>
            <w:tcW w:w="10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(1,676 )</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(28,706 )</w:t>
            </w:r>
          </w:p>
        </w:tc>
        <w:tc>
          <w:tcPr>
            <w:tcW w:w="10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(25,351 )</w:t>
            </w:r>
          </w:p>
        </w:tc>
        <w:tc>
          <w:tcPr>
            <w:tcW w:w="0" w:type="dxa"/>
            <w:vAlign w:val="bottom"/>
          </w:tcPr>
          <w:p>
            <w:pPr>
              <w:spacing w:after="0"/>
              <w:rPr>
                <w:sz w:val="1"/>
                <w:szCs w:val="1"/>
                <w:color w:val="auto"/>
              </w:rPr>
            </w:pPr>
          </w:p>
        </w:tc>
      </w:tr>
      <w:tr>
        <w:trPr>
          <w:trHeight w:val="225"/>
        </w:trPr>
        <w:tc>
          <w:tcPr>
            <w:tcW w:w="74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1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Proceeds from maturities of available-for-sale marketable securities</w:t>
            </w:r>
          </w:p>
        </w:tc>
        <w:tc>
          <w:tcPr>
            <w:tcW w:w="1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55,643</w:t>
            </w: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55,679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of available-for-sale marketable securities</w:t>
            </w:r>
          </w:p>
        </w:tc>
        <w:tc>
          <w:tcPr>
            <w:tcW w:w="1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(53,271 )</w:t>
            </w:r>
          </w:p>
        </w:tc>
        <w:tc>
          <w:tcPr>
            <w:tcW w:w="10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(8,981 )</w:t>
            </w:r>
          </w:p>
        </w:tc>
        <w:tc>
          <w:tcPr>
            <w:tcW w:w="0" w:type="dxa"/>
            <w:vAlign w:val="bottom"/>
          </w:tcPr>
          <w:p>
            <w:pPr>
              <w:spacing w:after="0"/>
              <w:rPr>
                <w:sz w:val="1"/>
                <w:szCs w:val="1"/>
                <w:color w:val="auto"/>
              </w:rPr>
            </w:pPr>
          </w:p>
        </w:tc>
      </w:tr>
      <w:tr>
        <w:trPr>
          <w:trHeight w:val="22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Purchases of property, equipment and leasehold improvements</w:t>
            </w:r>
          </w:p>
        </w:tc>
        <w:tc>
          <w:tcPr>
            <w:tcW w:w="1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(28 )</w:t>
            </w:r>
          </w:p>
        </w:tc>
        <w:tc>
          <w:tcPr>
            <w:tcW w:w="10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(115 )</w:t>
            </w:r>
          </w:p>
        </w:tc>
        <w:tc>
          <w:tcPr>
            <w:tcW w:w="0" w:type="dxa"/>
            <w:vAlign w:val="bottom"/>
          </w:tcPr>
          <w:p>
            <w:pPr>
              <w:spacing w:after="0"/>
              <w:rPr>
                <w:sz w:val="1"/>
                <w:szCs w:val="1"/>
                <w:color w:val="auto"/>
              </w:rPr>
            </w:pPr>
          </w:p>
        </w:tc>
      </w:tr>
      <w:tr>
        <w:trPr>
          <w:trHeight w:val="223"/>
        </w:trPr>
        <w:tc>
          <w:tcPr>
            <w:tcW w:w="740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1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2,344</w:t>
            </w:r>
          </w:p>
        </w:tc>
        <w:tc>
          <w:tcPr>
            <w:tcW w:w="300" w:type="dxa"/>
            <w:vAlign w:val="bottom"/>
            <w:tcBorders>
              <w:top w:val="single" w:sz="8" w:color="CFF0FC"/>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46,583</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1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at-the-market sales, net of commissions</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9,697</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Proceeds from exercises of stock options</w:t>
            </w:r>
          </w:p>
        </w:tc>
        <w:tc>
          <w:tcPr>
            <w:tcW w:w="1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employee stock purchase plan</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Payments of finance lease</w:t>
            </w:r>
          </w:p>
        </w:tc>
        <w:tc>
          <w:tcPr>
            <w:tcW w:w="1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(95 )</w:t>
            </w:r>
          </w:p>
        </w:tc>
        <w:tc>
          <w:tcPr>
            <w:tcW w:w="10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(63 )</w:t>
            </w:r>
          </w:p>
        </w:tc>
        <w:tc>
          <w:tcPr>
            <w:tcW w:w="0" w:type="dxa"/>
            <w:vAlign w:val="bottom"/>
          </w:tcPr>
          <w:p>
            <w:pPr>
              <w:spacing w:after="0"/>
              <w:rPr>
                <w:sz w:val="1"/>
                <w:szCs w:val="1"/>
                <w:color w:val="auto"/>
              </w:rPr>
            </w:pP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Repayments of term loan</w:t>
            </w:r>
          </w:p>
        </w:tc>
        <w:tc>
          <w:tcPr>
            <w:tcW w:w="1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(9,409 )</w:t>
            </w:r>
          </w:p>
        </w:tc>
        <w:tc>
          <w:tcPr>
            <w:tcW w:w="0" w:type="dxa"/>
            <w:vAlign w:val="bottom"/>
          </w:tcPr>
          <w:p>
            <w:pPr>
              <w:spacing w:after="0"/>
              <w:rPr>
                <w:sz w:val="1"/>
                <w:szCs w:val="1"/>
                <w:color w:val="auto"/>
              </w:rPr>
            </w:pPr>
          </w:p>
        </w:tc>
      </w:tr>
      <w:tr>
        <w:trPr>
          <w:trHeight w:val="233"/>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Payments of offering costs</w:t>
            </w:r>
          </w:p>
        </w:tc>
        <w:tc>
          <w:tcPr>
            <w:tcW w:w="1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(200 )</w:t>
            </w:r>
          </w:p>
        </w:tc>
        <w:tc>
          <w:tcPr>
            <w:tcW w:w="0" w:type="dxa"/>
            <w:vAlign w:val="bottom"/>
          </w:tcPr>
          <w:p>
            <w:pPr>
              <w:spacing w:after="0"/>
              <w:rPr>
                <w:sz w:val="1"/>
                <w:szCs w:val="1"/>
                <w:color w:val="auto"/>
              </w:rPr>
            </w:pPr>
          </w:p>
        </w:tc>
      </w:tr>
      <w:tr>
        <w:trPr>
          <w:trHeight w:val="219"/>
        </w:trPr>
        <w:tc>
          <w:tcPr>
            <w:tcW w:w="74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1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10,017</w:t>
            </w:r>
          </w:p>
        </w:tc>
        <w:tc>
          <w:tcPr>
            <w:tcW w:w="300" w:type="dxa"/>
            <w:vAlign w:val="bottom"/>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(7,856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tc>
        <w:tc>
          <w:tcPr>
            <w:tcW w:w="1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(16,345 )</w:t>
            </w: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32,397</w:t>
            </w:r>
          </w:p>
        </w:tc>
        <w:tc>
          <w:tcPr>
            <w:tcW w:w="3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1100" w:type="dxa"/>
            <w:vAlign w:val="bottom"/>
            <w:tcBorders>
              <w:bottom w:val="single" w:sz="8" w:color="auto"/>
            </w:tcBorders>
            <w:shd w:val="clear" w:color="auto" w:fill="CFF0FC"/>
          </w:tcPr>
          <w:p>
            <w:pPr>
              <w:jc w:val="right"/>
              <w:ind w:right="921"/>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16,052</w:t>
            </w:r>
          </w:p>
        </w:tc>
        <w:tc>
          <w:tcPr>
            <w:tcW w:w="30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879"/>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25,965</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-2408555</wp:posOffset>
            </wp:positionV>
            <wp:extent cx="76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-2408555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-1816735</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-646430</wp:posOffset>
            </wp:positionV>
            <wp:extent cx="102235"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2235" cy="18859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-646430</wp:posOffset>
            </wp:positionV>
            <wp:extent cx="93980"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-8255</wp:posOffset>
            </wp:positionV>
            <wp:extent cx="768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5"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Trevi Therapeutics, Inc. (“Trevi” or the “Company”) is a clinical-stage biopharmaceutical company focused on the development and commercialization of the investigational therapy Haduvio (oral nalbuphine ER) for the treatment of chronic cough in idiopathic pulmonary fibrosis (“IPF”) and refractory chronic cough. Haduvio is an oral extended-release formulation of nalbuphine. Haduvio acts on the cough reflex arc both centrally and peripherally as a kappa agonist and a mu antagonist (KAMA). Kappa and mu are opioid receptors that play a key role in controlling cough hypersensitivity. Nalbuphine has been approved and marketed as an injectable for pain indications for more than 30 years in the United States (“U.S.”) and Europe. Nalbuphine’s mechanism of action also mitigates the risk of abuse associated with mu-opioid agonists because it antagonizes, or blocks, the mu-opioid receptor. Parenteral nalbuphine is not scheduled as a controlled substance in the U.S. and most of Europe.</w:t>
      </w:r>
    </w:p>
    <w:p>
      <w:pPr>
        <w:spacing w:after="0" w:line="77" w:lineRule="exact"/>
        <w:rPr>
          <w:sz w:val="20"/>
          <w:szCs w:val="20"/>
          <w:color w:val="auto"/>
        </w:rPr>
      </w:pPr>
    </w:p>
    <w:p>
      <w:pPr>
        <w:ind w:left="520" w:right="7320" w:hanging="512"/>
        <w:spacing w:after="0" w:line="377" w:lineRule="auto"/>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spacing w:after="0" w:line="2"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for the three and nine months ended September 30, 2024 and 2023 included herein have been prepared in accordance with accounting principles generally accepted in the U.S. (“GAAP”) for interim financial information and the rules and regulations of the Securities and Exchange Commission (“SEC”) for interim information. Certain information and footnote disclosures typically prepared in accordance with GAAP have been condensed or omitted pursuant to SEC rules and regulations. The accompanying unaudited Condensed Consolidated Financial Statements and notes should be read in conjunction with the audited consolidated financial statements and related notes included in the Company’s Annual Report on Form 10-K for the year ended December 31, 2023.</w:t>
      </w:r>
    </w:p>
    <w:p>
      <w:pPr>
        <w:spacing w:after="0" w:line="7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Trevi Therapeutics, Inc. and its wholly-owned subsidiary Trevi Therapeutics Limited. Intercompany balances and transactions have been eliminated.</w:t>
      </w:r>
    </w:p>
    <w:p>
      <w:pPr>
        <w:spacing w:after="0" w:line="5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All amounts presented are in thousands of dollars, except share and per share amounts, unless noted otherwise. The Company has evaluated events occurring subsequent to September 30, 2024 for potential recognition or disclosure in the Condensed Consolidated Financial Statements and concluded there were no subsequent events that required recognition or disclosure other than those provided in Note 8.</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the expenses during the reporting periods. Significant estimates and assumptions reflected in these Condensed Consolidated Financial Statements include but are not limited to the recognition of research and development (“R&amp;D”) expenses, the valuation of stock-based awards and the valuation allowance of deferred tax assets. In addition, management’s assessment of the Company’s ability to continue as a going concern involves the estimation of the amount and timing of future cash inflows and outflows. Changes in estimates are recorded in the period in which they become known. Actual results could differ from those estimates.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The accompanying interim Condensed Consolidated Balance Sheet as of September 30, 2024 and the Condensed Consolidated Statements of Comprehensive Loss, the Condensed Consolidated Statements of Stockholders’ Equity and the Condensed Consolidated Statements of Cash Flows for the three and nine months ended September 30, 2024 and 2023 are unaudited. The unaudited interim Condensed Consolidated Financial Statements have been prepared on the same basis as the audited annual consolidated financial statements and, in the Company’s opinion, reflect all adjustments, which include only normal recurring adjustments, necessary for the fair statements of its financial position as of September 30, 2024 and the results of its operations and its cash flows for the three and nine months ended September 30, 2024 and 2023. The results for the three and nine months ended September 30, 2024 and 2023 are not necessarily indicative of results to be expected for the year ending December 31, 2024 or any other interim period or any future year or period.</w:t>
      </w:r>
    </w:p>
    <w:p>
      <w:pPr>
        <w:spacing w:after="0" w:line="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short-term, highly liquid investments with an original term of three months or less at the date of purchase as cash equivalents.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generally invests its excess cash in money market funds and investment grade short- to intermediate-term fixed income securities. Such investments are included in cash and cash equivalents or marketable securities on the Condensed Consolidated Balance Sheets. Marketable securities with an original maturity date greater than 90 days at each balance sheet date are classified as short-term. Marketable securities are classified as current assets as these investments are intended to be available to the Company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 w:name="page12"/>
    <w:bookmarkEnd w:id="11"/>
    <w:p>
      <w:pPr>
        <w:ind w:right="20"/>
        <w:spacing w:after="0" w:line="254" w:lineRule="auto"/>
        <w:rPr>
          <w:sz w:val="20"/>
          <w:szCs w:val="20"/>
          <w:color w:val="auto"/>
        </w:rPr>
      </w:pPr>
      <w:r>
        <w:rPr>
          <w:rFonts w:ascii="Times New Roman" w:cs="Times New Roman" w:eastAsia="Times New Roman" w:hAnsi="Times New Roman"/>
          <w:sz w:val="18"/>
          <w:szCs w:val="18"/>
          <w:color w:val="auto"/>
        </w:rPr>
        <w:t>use in funding current operations. All of the Company’s marketable securities are considered available-for-sale and are reported at fair value. For securities with unrealized gains and losses, when the Company expects to receive cash flows sufficient to recover the amortized cost basis of a security, such gains and losses are included in accumulated other comprehensive income as a component of stockholders’ equity. Credit losses are identified when the Company does not expect to receive cash flows sufficient to recover the amortized cost basis of a security. In the event of a credit loss, only the amount associated with the credit loss is recognized in interest income, net on the Condensed Consolidated Statements of Comprehensive Loss. The amortized cost of debt securities is adjusted for amortization of premiums and accretion of discounts to maturity, which is included in interest income, net on the Condensed Consolidated Statements of Comprehensive Loss. Realized gains and losses, if any, on marketable securities are included in interest income, net on the Condensed Consolidated Statements of Comprehensive Loss. The cost of securities sold is determined using specific identification.</w:t>
      </w:r>
    </w:p>
    <w:p>
      <w:pPr>
        <w:spacing w:after="0" w:line="8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evaluates whether declines in the fair values of its marketable securities below their amortized cost are credit losses on a quarterly basis. This evaluation consists of several qualitative and quantitative factors regarding the severity and duration of the unrealized loss, as well as the Company’s ability and intent to hold the marketable security until a forecasted recovery occurs. Additionally, the Company assesses whether it has plans to sell the marketable security or whether it is more likely than not that it will be required to sell any marketable securities before recovery of its amortized cost basis.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marketable security, duration and severity of the decline in value, and the Company’s strategy and intentions for holding the marketable security.</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Company’s financial instruments have consisted of cash and cash equivalents, available-for-sale marketable securities, other current assets, accounts payable, accrued expenses, term loans and warrants to acquire the Company’s common stock. Fair value estimates of these instruments are made at a specific point in time, based on relevant market information. The carrying amounts of cash and cash equivalents, other current assets, accounts payable and accrued expenses are generally considered to be representative of their respective fair values because of the short-term nature of those instruments. Available-for-sale marketable securities are reported at their fair values, based upon pricing of securities with the same or similar investment characteristics as provided by third-party pricing services, as described below. The warrants to acquire the Company’s common stock are not required to be accounted for at fair value.</w:t>
      </w:r>
    </w:p>
    <w:p>
      <w:pPr>
        <w:spacing w:after="0" w:line="8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Current accounting guidance defines fair value, establishes a framework for measuring fair value in accordance with Accounting Standards Codification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and requires certain disclosures about fair value measurements. The valuation techniques included in the guidance are based on observable and unobservable inputs. Observable inputs reflect readily obtainable data from independent sources, while unobservable inputs reflect market assumptions and are classified into the following fair value hierarchy: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1—Observable inputs—quoted prices in active markets for identical assets and liabilities.</w:t>
      </w:r>
    </w:p>
    <w:p>
      <w:pPr>
        <w:spacing w:after="0" w:line="117" w:lineRule="exact"/>
        <w:rPr>
          <w:sz w:val="20"/>
          <w:szCs w:val="20"/>
          <w:color w:val="auto"/>
        </w:rPr>
      </w:pPr>
    </w:p>
    <w:p>
      <w:pPr>
        <w:jc w:val="both"/>
        <w:ind w:left="520" w:right="440"/>
        <w:spacing w:after="0" w:line="266" w:lineRule="auto"/>
        <w:rPr>
          <w:sz w:val="20"/>
          <w:szCs w:val="20"/>
          <w:color w:val="auto"/>
        </w:rPr>
      </w:pPr>
      <w:r>
        <w:rPr>
          <w:rFonts w:ascii="Times New Roman" w:cs="Times New Roman" w:eastAsia="Times New Roman" w:hAnsi="Times New Roman"/>
          <w:sz w:val="18"/>
          <w:szCs w:val="18"/>
          <w:color w:val="auto"/>
        </w:rPr>
        <w:t>Level 2—Observable inputs other than the quoted prices in active markets for identical assets and liabilities—such as quoted prices for similar instruments, quoted prices for identical or similar instruments in inactive markets, or other inputs that are observable or can be corroborated by observable market data.</w:t>
      </w:r>
    </w:p>
    <w:p>
      <w:pPr>
        <w:spacing w:after="0" w:line="68"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Level 3—Unobservable inputs—includes amounts derived from valuation models where one or more significant inputs are unobservable and require the company to develop relevant assumptions.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Valuation Techniques - Level 2 Inputs</w:t>
      </w:r>
    </w:p>
    <w:p>
      <w:pPr>
        <w:spacing w:after="0" w:line="119" w:lineRule="exact"/>
        <w:rPr>
          <w:sz w:val="20"/>
          <w:szCs w:val="20"/>
          <w:color w:val="auto"/>
        </w:rPr>
      </w:pPr>
    </w:p>
    <w:p>
      <w:pPr>
        <w:ind w:right="260" w:firstLine="509"/>
        <w:spacing w:after="0" w:line="274" w:lineRule="auto"/>
        <w:rPr>
          <w:sz w:val="20"/>
          <w:szCs w:val="20"/>
          <w:color w:val="auto"/>
        </w:rPr>
      </w:pPr>
      <w:r>
        <w:rPr>
          <w:rFonts w:ascii="Times New Roman" w:cs="Times New Roman" w:eastAsia="Times New Roman" w:hAnsi="Times New Roman"/>
          <w:sz w:val="17"/>
          <w:szCs w:val="17"/>
          <w:color w:val="auto"/>
        </w:rPr>
        <w:t>The Company estimates the fair values of its financial instruments categorized as level 2 in the fair value hierarchy, including U.S. treasury securities, U.S. government agency obligations, corporate bonds, commercial paper, asset-backed securities and municipal bonds, by taking into consideration valuations obtained from third-party pricing services. The pricing services use industry standard valuation models, including both income-and market-based approaches, for which all significant inputs are observable, either directly or indirectly, to estimate fair value. These inputs include reported trades of and broker/dealer quotes on the same or similar securities, benchmark yields, issuer credit spreads, benchmark securities, and other observable inputs. The Company obtains a single price for each financial instrument and does not adjust the prices obtained from the pricing service.</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Leasehold Improvements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Property, equipment and leasehold improvements (consisting of furniture, computer and office equipment and leasehold improvements) are stated at cost, net of accumulated depreciation. Depreciation is calculated using the straight-line method over the estimated useful lives of the respective assets (three years for computer equipment, five years for furniture and office equipment, and the shorter of the term of the lease or useful life for leasehold improvements).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Company, at times, contracts with vendors and consultants outside of the U.S., resulting in liabilities denominated in foreign currency. The transactions are recorded in U.S. dollars on the transaction dates and any currency fluctuation through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payment date is recorded as currency gains or losses in other income, net in the Condensed Consolidated Statements of Comprehensive Loss.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stockholders’ equity as a reduction of additional paid-in capital generated as a result of the financings. Should the planned equity financing no longer be considered probable of being consummated, the deferred offering costs are expensed immediately as a charge to general and administrative expenses. The deferred offering costs are included in Other current and non-current assets on the Condensed Consolidated Balance Sheets.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(“R&amp;D”) Expenses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All of the Company’s R&amp;D expenses consist of expenses incurred in connection with the development of Haduvio. These expenses include certain payroll and personnel expenses, including stock-based compensation, consulting costs, contract manufacturing costs and fees paid to contract research organizations (“CROs”) to conduct certain R&amp;D activities on the Company’s behalf. The Company expenses both internal and external R&amp;D expenses as they are incurred.</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R&amp;D Expenses</w:t>
      </w:r>
    </w:p>
    <w:p>
      <w:pPr>
        <w:spacing w:after="0" w:line="12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 Company has entered into agreements with CROs, contract manufacturing organizations (“CMOs”) and other companies that provide services in connection with the Company’s R&amp;D activities. The Company’s R&amp;D accruals are estimated based on the level of services performed, progress of the studies, including the phase or completion of events and contracted costs. The estimated costs of R&amp;D provided, but not yet invoiced, are included in accrued expenses on the Condensed Consolidated Balance Sheets. If the actual timing of the performance of services or the level of effort varies from the original estimates, the Company will adjust the accrual accordingly. Payments made to CROs, CMOs and other companies under these arrangements in advance of the performance of the related services are recorded as prepaid expenses or as other non-current assets, as applicable, and are recognized as expenses as the goods are delivered or the related services are performed.</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All patent-related costs in connection with filing and prosecuting patent applications are expensed to general and administrative expense as incurred, as recoverability of such expenditures is uncertain.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determines the accounting classification of warrants that are issued, as either liability or equity, by first assessing whether the warrants meet liability classification in accordance with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then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depending on the specific terms of the warrant. Under ASC 480, warrants are considered liability classified if the warrants are mandatorily redeemable, obligate the issuer to settle the warrants or the underlying shares by paying cash or other assets, or must or may require settlement by issuing variable number of shares.</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the warrants do not meet liability classification under ASC 480, the Company assesses the requirements under ASC 815,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 in order to conclude equity classification, the Company assesses whether the warrants are indexed to its common stock and whether the warrants are classified as equity under ASC 815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comprehensive loss as a gain or loss. For equity classified warrants, no changes in fair value are recognized after the issuance date.</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arrangements with employees and non-employees for consultancy services in accordance with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(“ASC 718”). ASC 718 requires the recognition of compensation expense, using a fair-value based method, for costs related to all stock-based awards including stock options. The Company’s determination of the fair value of stock-based awards on the date of grant utilizes the Black-Scholes valuation model for stock options with time-based and performance-based vesting and is impacted by the price of its common stock as well as changes in assumptions regarding a number of subjective variables. These variables include the expected term that stock options will remain outstanding, expected common stock price volatility over the term of the stock options, risk-free interest rates and expected dividends.</w:t>
      </w:r>
    </w:p>
    <w:p>
      <w:pPr>
        <w:spacing w:after="0" w:line="7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Changes in the variables can materially affect the fair value and ultimately how much stock-based compensation expense is recognized. These inputs are subjective and generally require analysis and judgment to develop.</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Expected Term—The expected term assumption represents the weighted average period that the stock-based awards are expected to be outstanding. The Company has elected to use the “simplified method” for estimating the expected term of its stock options, whereby the expected term equals the arithmetic average of the vesting term and the original contractual term of the stock option.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Expected Volatility—For all stock options granted to date, the volatility data was estimated based on a study of publicly traded industry peer companies. For purposes of identifying these peer companies, the Company considered the industry, stage of development, size and financial leverage of potential comparable companies.</w:t>
      </w:r>
    </w:p>
    <w:p>
      <w:pPr>
        <w:spacing w:after="0" w:line="68"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Expected Dividend—The Black-Scholes valuation model calls for a single expected dividend yield as an input. The Company currently has no history or expectation of paying cash dividends on its common stock.</w:t>
      </w:r>
    </w:p>
    <w:p>
      <w:pPr>
        <w:spacing w:after="0" w:line="54"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Risk-Free Interest Rate—The risk-free interest rate is based on the yield available on U.S. Treasury zero-coupon issues similar in duration to the expected term of the stock-based award.</w:t>
      </w:r>
    </w:p>
    <w:p>
      <w:pPr>
        <w:spacing w:after="0" w:line="54"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The fair value is recognized over the period during which an optionee is required to provide services in exchange for the stock option, known as the requisite service period (usually the vesting period) on a straight-line basis. For performance-based vesting, the fair value is recognized when it is probable the performance conditions will be achieved. The Company reassesses the probability of achieving the performance conditions at each reporting date. Forfeitures are accounted for as they occur.</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Under this method, deferred tax assets and liabilities are determined based on differences between the financial reporting and tax bases of assets and liabilities and are measured using the enacted tax rates and laws that will be in effect when the differences are expected to reverse. Deferred income tax assets are reduced, as necessary, by a valuation allowance when management determines it is more likely than not that some or all of the tax benefits will not be realized.</w:t>
      </w:r>
    </w:p>
    <w:p>
      <w:pPr>
        <w:spacing w:after="0" w:line="70" w:lineRule="exact"/>
        <w:rPr>
          <w:sz w:val="20"/>
          <w:szCs w:val="20"/>
          <w:color w:val="auto"/>
        </w:rPr>
      </w:pPr>
    </w:p>
    <w:p>
      <w:pPr>
        <w:ind w:right="160" w:firstLine="509"/>
        <w:spacing w:after="0" w:line="257" w:lineRule="auto"/>
        <w:rPr>
          <w:sz w:val="20"/>
          <w:szCs w:val="20"/>
          <w:color w:val="auto"/>
        </w:rPr>
      </w:pPr>
      <w:r>
        <w:rPr>
          <w:rFonts w:ascii="Times New Roman" w:cs="Times New Roman" w:eastAsia="Times New Roman" w:hAnsi="Times New Roman"/>
          <w:sz w:val="18"/>
          <w:szCs w:val="18"/>
          <w:color w:val="auto"/>
        </w:rPr>
        <w:t xml:space="preserve">The Company applies the provisions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prescribes a comprehensive model for how a company should recognize, measure, present and disclose in its financial statements uncertain tax positions that the company has taken or expects to take on a tax return. These Condensed Consolidated Financial Statements reflect expected future tax consequences of such positions presuming the taxing authorities possess full knowledge of the position and all relevant facts. There are no material uncertainties regarding the tax positions that the Company has taken through September 30, 2024 and December 31, 2023. The Company does not have any interest or penalties accrued related to tax positions as it does not have any unrecognized tax benefits.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 xml:space="preserve">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determines if an arrangement is a lease at its inception. Leases are classified as either operating or finance, based on the Company’s evaluation of certain criteria. If a lease has a term greater than one year, the lease is recognized in the balance sheet as a right-of-use asset and a lease liability at lease commencement. The Company elected the short-term lease practical expedient, therefore, if a lease has a term less than one year, the Company will not recognize the lease on its balance sheet. The right-of-use asset represents the Company’s right of use to an underlying asset for the term of the lease and the lease liability represents the Company’s obligation to make lease payments arising from the lease. If the Company’s leases do not provide an implicit rate within the lease, the Company uses its incremental borrowing rate, based on information available at the commencement date of the lease to determine the present value of the lease payments.</w:t>
      </w:r>
    </w:p>
    <w:p>
      <w:pPr>
        <w:spacing w:after="0" w:line="7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Operating lease right-of-use assets and operating lease liabilities are determined and recognized on the commencement date of the lease based on the present value of lease payments over the term of the lease. For operating leases, rent expense is recognized on a straight-line basis over the term of the lease, and right-of-use assets are subsequently re-measured to reflect the effect of uneven lease payments.</w:t>
      </w:r>
    </w:p>
    <w:p>
      <w:pPr>
        <w:spacing w:after="0" w:line="6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For finance leases, right-of-use assets are amortized on a straight-line basis over the shorter of the lease term or the useful life of the underlying asset. Expenses for finance leases include the amortization of right-of-use assets, which is recorded as depreciation and amortization expense, and interest expense, which reflects interest accrued on the lease liability.</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Loss per Common Share</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Basic and diluted net loss per common share outstanding is determined by dividing net loss by the weighted average common shares outstanding during the period. Basic shares outstanding includes the weighted average effect of the Company’s outstanding pre-funded warrants, the exercise of which requires little or no consideration for the delivery of shares of common stock.</w:t>
      </w:r>
    </w:p>
    <w:p>
      <w:pPr>
        <w:spacing w:after="0" w:line="68"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For all periods presented, shares issuable upon exercise of stock options and warrants to purchase shares of common stock (other than pre-funded warrants) have been excluded from the calculation because their effects would be anti-dilutive. Therefore, the weighted average common shares used to calculate both basic and diluted net loss per share are the same for each of the periods presented.</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has one reporting segment which is also the Company’s only operating segment. Management uses one measurement of profitability and does not segregate its business for internal reporting. All long-lived assets are maintained in the U.S.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new pronouncements adopted during the nine months ended September 30, 2024.</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ind w:right="6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(Topic 280): Improvements to Reportable Segment Disclosures</w:t>
      </w:r>
      <w:r>
        <w:rPr>
          <w:rFonts w:ascii="Times New Roman" w:cs="Times New Roman" w:eastAsia="Times New Roman" w:hAnsi="Times New Roman"/>
          <w:sz w:val="18"/>
          <w:szCs w:val="18"/>
          <w:color w:val="auto"/>
        </w:rPr>
        <w:t>, which requires public entities to disclose information about their reportable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on an interim and annual basis. ASU 2023-07 is effective for fiscal years beginning after December 15, 2023, and for interim periods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years beginning after December 15, 2024, with early adoption permitted. The Company is currently evaluating the impact of adopting ASU 2023-07.</w:t>
      </w:r>
    </w:p>
    <w:p>
      <w:pPr>
        <w:spacing w:after="0" w:line="7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requires entities to disclose disaggregated information about their effective tax rate reconciliation as well as expanded information on income taxes paid by jurisdiction. The disclosure requirements will be applied on a prospective basis, with the option to apply them retrospectively. The standard is effective for fiscal years beginning after December 15, 2024, with early adoption permitted. The Company is currently evaluating the impact of adopting ASU 2023-09.</w:t>
      </w:r>
    </w:p>
    <w:p>
      <w:pPr>
        <w:spacing w:after="0" w:line="70"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fair value and amortized cost of available-for-sale marketable securities by major security type are presented in the following tables as of the periods presented: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5"/>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6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Type of security</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320" w:type="dxa"/>
            <w:vAlign w:val="bottom"/>
          </w:tcPr>
          <w:p>
            <w:pPr>
              <w:spacing w:after="0"/>
              <w:rPr>
                <w:sz w:val="21"/>
                <w:szCs w:val="21"/>
                <w:color w:val="auto"/>
              </w:rPr>
            </w:pPr>
          </w:p>
        </w:tc>
        <w:tc>
          <w:tcPr>
            <w:tcW w:w="1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Estimated Fair Value</w:t>
            </w:r>
          </w:p>
        </w:tc>
        <w:tc>
          <w:tcPr>
            <w:tcW w:w="100" w:type="dxa"/>
            <w:vAlign w:val="bottom"/>
          </w:tcPr>
          <w:p>
            <w:pPr>
              <w:spacing w:after="0"/>
              <w:rPr>
                <w:sz w:val="21"/>
                <w:szCs w:val="21"/>
                <w:color w:val="auto"/>
              </w:rPr>
            </w:pPr>
          </w:p>
        </w:tc>
      </w:tr>
      <w:tr>
        <w:trPr>
          <w:trHeight w:val="243"/>
        </w:trPr>
        <w:tc>
          <w:tcPr>
            <w:tcW w:w="4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14,622</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14,657</w:t>
            </w:r>
          </w:p>
        </w:tc>
        <w:tc>
          <w:tcPr>
            <w:tcW w:w="100" w:type="dxa"/>
            <w:vAlign w:val="bottom"/>
            <w:shd w:val="clear" w:color="auto" w:fill="CFF0FC"/>
          </w:tcPr>
          <w:p>
            <w:pPr>
              <w:spacing w:after="0"/>
              <w:rPr>
                <w:sz w:val="21"/>
                <w:szCs w:val="21"/>
                <w:color w:val="auto"/>
              </w:rPr>
            </w:pPr>
          </w:p>
        </w:tc>
      </w:tr>
      <w:tr>
        <w:trPr>
          <w:trHeight w:val="239"/>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14,328</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14,375</w:t>
            </w:r>
          </w:p>
        </w:tc>
        <w:tc>
          <w:tcPr>
            <w:tcW w:w="100" w:type="dxa"/>
            <w:vAlign w:val="bottom"/>
          </w:tcPr>
          <w:p>
            <w:pPr>
              <w:spacing w:after="0"/>
              <w:rPr>
                <w:sz w:val="20"/>
                <w:szCs w:val="20"/>
                <w:color w:val="auto"/>
              </w:rPr>
            </w:pPr>
          </w:p>
        </w:tc>
      </w:tr>
      <w:tr>
        <w:trPr>
          <w:trHeight w:val="247"/>
        </w:trPr>
        <w:tc>
          <w:tcPr>
            <w:tcW w:w="4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9,882</w:t>
            </w: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9,930</w:t>
            </w:r>
          </w:p>
        </w:tc>
        <w:tc>
          <w:tcPr>
            <w:tcW w:w="100" w:type="dxa"/>
            <w:vAlign w:val="bottom"/>
            <w:shd w:val="clear" w:color="auto" w:fill="CFF0FC"/>
          </w:tcPr>
          <w:p>
            <w:pPr>
              <w:spacing w:after="0"/>
              <w:rPr>
                <w:sz w:val="21"/>
                <w:szCs w:val="21"/>
                <w:color w:val="auto"/>
              </w:rPr>
            </w:pPr>
          </w:p>
        </w:tc>
      </w:tr>
      <w:tr>
        <w:trPr>
          <w:trHeight w:val="239"/>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6,748</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100" w:type="dxa"/>
            <w:vAlign w:val="bottom"/>
          </w:tcPr>
          <w:p>
            <w:pPr>
              <w:spacing w:after="0"/>
              <w:rPr>
                <w:sz w:val="20"/>
                <w:szCs w:val="20"/>
                <w:color w:val="auto"/>
              </w:rPr>
            </w:pPr>
          </w:p>
        </w:tc>
      </w:tr>
      <w:tr>
        <w:trPr>
          <w:trHeight w:val="243"/>
        </w:trPr>
        <w:tc>
          <w:tcPr>
            <w:tcW w:w="45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 backed securities</w:t>
            </w:r>
          </w:p>
        </w:tc>
        <w:tc>
          <w:tcPr>
            <w:tcW w:w="1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3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49,302</w:t>
            </w:r>
          </w:p>
        </w:tc>
        <w:tc>
          <w:tcPr>
            <w:tcW w:w="3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49,441</w:t>
            </w:r>
          </w:p>
        </w:tc>
        <w:tc>
          <w:tcPr>
            <w:tcW w:w="100" w:type="dxa"/>
            <w:vAlign w:val="bottom"/>
          </w:tcPr>
          <w:p>
            <w:pPr>
              <w:spacing w:after="0"/>
              <w:rPr>
                <w:sz w:val="20"/>
                <w:szCs w:val="20"/>
                <w:color w:val="auto"/>
              </w:rPr>
            </w:pPr>
          </w:p>
        </w:tc>
      </w:tr>
      <w:tr>
        <w:trPr>
          <w:trHeight w:val="20"/>
        </w:trPr>
        <w:tc>
          <w:tcPr>
            <w:tcW w:w="4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7"/>
        </w:trPr>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6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Type of Security</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320" w:type="dxa"/>
            <w:vAlign w:val="bottom"/>
          </w:tcPr>
          <w:p>
            <w:pPr>
              <w:spacing w:after="0"/>
              <w:rPr>
                <w:sz w:val="21"/>
                <w:szCs w:val="21"/>
                <w:color w:val="auto"/>
              </w:rPr>
            </w:pPr>
          </w:p>
        </w:tc>
        <w:tc>
          <w:tcPr>
            <w:tcW w:w="1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Estimated Fair Value</w:t>
            </w:r>
          </w:p>
        </w:tc>
        <w:tc>
          <w:tcPr>
            <w:tcW w:w="100" w:type="dxa"/>
            <w:vAlign w:val="bottom"/>
          </w:tcPr>
          <w:p>
            <w:pPr>
              <w:spacing w:after="0"/>
              <w:rPr>
                <w:sz w:val="21"/>
                <w:szCs w:val="21"/>
                <w:color w:val="auto"/>
              </w:rPr>
            </w:pPr>
          </w:p>
        </w:tc>
      </w:tr>
      <w:tr>
        <w:trPr>
          <w:trHeight w:val="243"/>
        </w:trPr>
        <w:tc>
          <w:tcPr>
            <w:tcW w:w="4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45,686</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(53 )</w:t>
            </w: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45,653</w:t>
            </w:r>
          </w:p>
        </w:tc>
        <w:tc>
          <w:tcPr>
            <w:tcW w:w="100" w:type="dxa"/>
            <w:vAlign w:val="bottom"/>
            <w:shd w:val="clear" w:color="auto" w:fill="CFF0FC"/>
          </w:tcPr>
          <w:p>
            <w:pPr>
              <w:spacing w:after="0"/>
              <w:rPr>
                <w:sz w:val="21"/>
                <w:szCs w:val="21"/>
                <w:color w:val="auto"/>
              </w:rPr>
            </w:pPr>
          </w:p>
        </w:tc>
      </w:tr>
      <w:tr>
        <w:trPr>
          <w:trHeight w:val="239"/>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(5 )</w:t>
            </w:r>
          </w:p>
        </w:tc>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00" w:type="dxa"/>
            <w:vAlign w:val="bottom"/>
          </w:tcPr>
          <w:p>
            <w:pPr>
              <w:spacing w:after="0"/>
              <w:rPr>
                <w:sz w:val="20"/>
                <w:szCs w:val="20"/>
                <w:color w:val="auto"/>
              </w:rPr>
            </w:pPr>
          </w:p>
        </w:tc>
      </w:tr>
      <w:tr>
        <w:trPr>
          <w:trHeight w:val="277"/>
        </w:trPr>
        <w:tc>
          <w:tcPr>
            <w:tcW w:w="4500" w:type="dxa"/>
            <w:vAlign w:val="bottom"/>
            <w:tcBorders>
              <w:top w:val="single" w:sz="8" w:color="CFF0FC"/>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50,603</w:t>
            </w:r>
          </w:p>
        </w:tc>
        <w:tc>
          <w:tcPr>
            <w:tcW w:w="360" w:type="dxa"/>
            <w:vAlign w:val="bottom"/>
            <w:tcBorders>
              <w:top w:val="single" w:sz="8" w:color="CFF0FC"/>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tcBorders>
              <w:top w:val="single" w:sz="8" w:color="CFF0FC"/>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Borders>
              <w:top w:val="single" w:sz="8" w:color="CFF0FC"/>
              <w:bottom w:val="single" w:sz="8" w:color="CFF0FC"/>
            </w:tcBorders>
            <w:shd w:val="clear" w:color="auto" w:fill="CFF0FC"/>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50,574</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-1422400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-1422400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-1422400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-24765</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-187960</wp:posOffset>
            </wp:positionV>
            <wp:extent cx="768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-187960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-187960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net amortized cost and fair value of available-for-sale marketable securities are presented in the following table as of the periods presented by contractual maturity. Actual maturities may differ from contractual maturities because securities may be restructured, called or prepaid, or the Company may intend to sell a security prior to maturity.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00" w:type="dxa"/>
            <w:vAlign w:val="bottom"/>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500" w:type="dxa"/>
            <w:vAlign w:val="bottom"/>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6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mature:</w:t>
            </w:r>
          </w:p>
        </w:tc>
        <w:tc>
          <w:tcPr>
            <w:tcW w:w="2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than one year</w:t>
            </w:r>
          </w:p>
        </w:tc>
        <w:tc>
          <w:tcPr>
            <w:tcW w:w="2000" w:type="dxa"/>
            <w:vAlign w:val="bottom"/>
            <w:shd w:val="clear" w:color="auto" w:fill="CFF0FC"/>
          </w:tcPr>
          <w:p>
            <w:pPr>
              <w:jc w:val="right"/>
              <w:ind w:right="18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44,640</w:t>
            </w:r>
          </w:p>
        </w:tc>
        <w:tc>
          <w:tcPr>
            <w:tcW w:w="110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44,754</w:t>
            </w:r>
          </w:p>
        </w:tc>
        <w:tc>
          <w:tcPr>
            <w:tcW w:w="100" w:type="dxa"/>
            <w:vAlign w:val="bottom"/>
            <w:shd w:val="clear" w:color="auto" w:fill="CFF0FC"/>
          </w:tcPr>
          <w:p>
            <w:pPr>
              <w:spacing w:after="0"/>
              <w:rPr>
                <w:sz w:val="21"/>
                <w:szCs w:val="21"/>
                <w:color w:val="auto"/>
              </w:rPr>
            </w:pPr>
          </w:p>
        </w:tc>
      </w:tr>
      <w:tr>
        <w:trPr>
          <w:trHeight w:val="239"/>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One year through two years</w:t>
            </w:r>
          </w:p>
        </w:tc>
        <w:tc>
          <w:tcPr>
            <w:tcW w:w="20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44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00" w:type="dxa"/>
            <w:vAlign w:val="bottom"/>
          </w:tcPr>
          <w:p>
            <w:pPr>
              <w:spacing w:after="0"/>
              <w:rPr>
                <w:sz w:val="20"/>
                <w:szCs w:val="20"/>
                <w:color w:val="auto"/>
              </w:rPr>
            </w:pPr>
          </w:p>
        </w:tc>
      </w:tr>
      <w:tr>
        <w:trPr>
          <w:trHeight w:val="277"/>
        </w:trPr>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Borders>
              <w:bottom w:val="single" w:sz="8" w:color="auto"/>
            </w:tcBorders>
            <w:shd w:val="clear" w:color="auto" w:fill="CFF0FC"/>
          </w:tcPr>
          <w:p>
            <w:pPr>
              <w:jc w:val="right"/>
              <w:ind w:right="18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49,302</w:t>
            </w:r>
          </w:p>
        </w:tc>
        <w:tc>
          <w:tcPr>
            <w:tcW w:w="44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49,441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00" w:type="dxa"/>
            <w:vAlign w:val="bottom"/>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500" w:type="dxa"/>
            <w:vAlign w:val="bottom"/>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64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mature:</w:t>
            </w:r>
          </w:p>
        </w:tc>
        <w:tc>
          <w:tcPr>
            <w:tcW w:w="2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than one year</w:t>
            </w:r>
          </w:p>
        </w:tc>
        <w:tc>
          <w:tcPr>
            <w:tcW w:w="2020" w:type="dxa"/>
            <w:vAlign w:val="bottom"/>
            <w:shd w:val="clear" w:color="auto" w:fill="CFF0FC"/>
          </w:tcPr>
          <w:p>
            <w:pPr>
              <w:jc w:val="right"/>
              <w:ind w:right="18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49,651</w:t>
            </w:r>
          </w:p>
        </w:tc>
        <w:tc>
          <w:tcPr>
            <w:tcW w:w="110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49,618</w:t>
            </w:r>
          </w:p>
        </w:tc>
        <w:tc>
          <w:tcPr>
            <w:tcW w:w="100" w:type="dxa"/>
            <w:vAlign w:val="bottom"/>
            <w:shd w:val="clear" w:color="auto" w:fill="CFF0FC"/>
          </w:tcPr>
          <w:p>
            <w:pPr>
              <w:spacing w:after="0"/>
              <w:rPr>
                <w:sz w:val="21"/>
                <w:szCs w:val="21"/>
                <w:color w:val="auto"/>
              </w:rPr>
            </w:pPr>
          </w:p>
        </w:tc>
      </w:tr>
      <w:tr>
        <w:trPr>
          <w:trHeight w:val="239"/>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One year through two years</w:t>
            </w:r>
          </w:p>
        </w:tc>
        <w:tc>
          <w:tcPr>
            <w:tcW w:w="20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44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Pr>
          <w:p>
            <w:pPr>
              <w:spacing w:after="0"/>
              <w:rPr>
                <w:sz w:val="20"/>
                <w:szCs w:val="20"/>
                <w:color w:val="auto"/>
              </w:rPr>
            </w:pPr>
          </w:p>
        </w:tc>
      </w:tr>
      <w:tr>
        <w:trPr>
          <w:trHeight w:val="276"/>
        </w:trPr>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auto"/>
            </w:tcBorders>
            <w:shd w:val="clear" w:color="auto" w:fill="CFF0FC"/>
          </w:tcPr>
          <w:p>
            <w:pPr>
              <w:jc w:val="right"/>
              <w:ind w:right="18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50,603</w:t>
            </w:r>
          </w:p>
        </w:tc>
        <w:tc>
          <w:tcPr>
            <w:tcW w:w="44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50,574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-25400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and 2023, there were no realized gains or losses on available-for-sale marketable securities.</w:t>
      </w:r>
    </w:p>
    <w:p>
      <w:pPr>
        <w:spacing w:after="0" w:line="54"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As of each September 30, 2024 and December 31, 2023, the Company had zero securities in a continuous unrealized loss position for more than 12 months and considered any such losses to be temporary in nature. The Company reviewed the securities in the tables above and considered the decline in market value for these securities to be primarily attributable to economic and market conditions. As of the periods noted in the tables above, the Company did not intend to sell these securities and did not believe it was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5" w:name="page16"/>
    <w:bookmarkEnd w:id="15"/>
    <w:p>
      <w:pPr>
        <w:ind w:right="520"/>
        <w:spacing w:after="0" w:line="282" w:lineRule="auto"/>
        <w:rPr>
          <w:sz w:val="20"/>
          <w:szCs w:val="20"/>
          <w:color w:val="auto"/>
        </w:rPr>
      </w:pPr>
      <w:r>
        <w:rPr>
          <w:rFonts w:ascii="Times New Roman" w:cs="Times New Roman" w:eastAsia="Times New Roman" w:hAnsi="Times New Roman"/>
          <w:sz w:val="18"/>
          <w:szCs w:val="18"/>
          <w:color w:val="auto"/>
        </w:rPr>
        <w:t>more likely than not that it would be required to sell these securities before recovery of their amortized cost basis. Accordingly, the Company did not recognize any credit losses related to its marketable securities in an unrealized loss position during any of the periods noted in the table above.</w:t>
      </w:r>
    </w:p>
    <w:p>
      <w:pPr>
        <w:spacing w:after="0" w:line="54"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accrued interest receivables on the Company’s available-for-sale marketable securities were $285 and $485, respectively, and were included within other current assets as presented on its Condensed Consolidated Balance Sheets.</w:t>
      </w:r>
    </w:p>
    <w:p>
      <w:pPr>
        <w:spacing w:after="0" w:line="50"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and financial liabilities measured at fair value on a recurring basis and the basis for that measurement, by level within the fair value hierarchy,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8"/>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Fair Value Measurement Using:</w:t>
            </w: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29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200" w:type="dxa"/>
            <w:vAlign w:val="bottom"/>
          </w:tcPr>
          <w:p>
            <w:pPr>
              <w:spacing w:after="0"/>
              <w:rPr>
                <w:sz w:val="20"/>
                <w:szCs w:val="20"/>
                <w:color w:val="auto"/>
              </w:rPr>
            </w:pPr>
          </w:p>
        </w:tc>
        <w:tc>
          <w:tcPr>
            <w:tcW w:w="37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Type of Instrument</w:t>
            </w:r>
          </w:p>
        </w:tc>
        <w:tc>
          <w:tcPr>
            <w:tcW w:w="14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0"/>
                <w:szCs w:val="20"/>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34"/>
        </w:trPr>
        <w:tc>
          <w:tcPr>
            <w:tcW w:w="2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Pr>
          <w:p>
            <w:pPr>
              <w:spacing w:after="0"/>
              <w:rPr>
                <w:sz w:val="20"/>
                <w:szCs w:val="20"/>
                <w:color w:val="auto"/>
              </w:rPr>
            </w:pPr>
          </w:p>
        </w:tc>
        <w:tc>
          <w:tcPr>
            <w:tcW w:w="35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2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shd w:val="clear" w:color="auto" w:fill="CFF0FC"/>
          </w:tcPr>
          <w:p>
            <w:pPr>
              <w:spacing w:after="0"/>
              <w:rPr>
                <w:sz w:val="21"/>
                <w:szCs w:val="21"/>
                <w:color w:val="auto"/>
              </w:rPr>
            </w:pPr>
          </w:p>
        </w:tc>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12,685</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12,685</w:t>
            </w:r>
          </w:p>
        </w:tc>
        <w:tc>
          <w:tcPr>
            <w:tcW w:w="100" w:type="dxa"/>
            <w:vAlign w:val="bottom"/>
            <w:shd w:val="clear" w:color="auto" w:fill="CFF0FC"/>
          </w:tcPr>
          <w:p>
            <w:pPr>
              <w:spacing w:after="0"/>
              <w:rPr>
                <w:sz w:val="21"/>
                <w:szCs w:val="21"/>
                <w:color w:val="auto"/>
              </w:rPr>
            </w:pPr>
          </w:p>
        </w:tc>
      </w:tr>
      <w:tr>
        <w:trPr>
          <w:trHeight w:val="239"/>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20"/>
                <w:szCs w:val="20"/>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14,657</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14,657</w:t>
            </w:r>
          </w:p>
        </w:tc>
        <w:tc>
          <w:tcPr>
            <w:tcW w:w="100" w:type="dxa"/>
            <w:vAlign w:val="bottom"/>
          </w:tcPr>
          <w:p>
            <w:pPr>
              <w:spacing w:after="0"/>
              <w:rPr>
                <w:sz w:val="20"/>
                <w:szCs w:val="20"/>
                <w:color w:val="auto"/>
              </w:rPr>
            </w:pPr>
          </w:p>
        </w:tc>
      </w:tr>
      <w:tr>
        <w:trPr>
          <w:trHeight w:val="247"/>
        </w:trPr>
        <w:tc>
          <w:tcPr>
            <w:tcW w:w="2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shd w:val="clear" w:color="auto" w:fill="CFF0FC"/>
          </w:tcPr>
          <w:p>
            <w:pPr>
              <w:spacing w:after="0"/>
              <w:rPr>
                <w:sz w:val="21"/>
                <w:szCs w:val="21"/>
                <w:color w:val="auto"/>
              </w:rPr>
            </w:pPr>
          </w:p>
        </w:tc>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14,375</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14,375</w:t>
            </w:r>
          </w:p>
        </w:tc>
        <w:tc>
          <w:tcPr>
            <w:tcW w:w="100" w:type="dxa"/>
            <w:vAlign w:val="bottom"/>
            <w:shd w:val="clear" w:color="auto" w:fill="CFF0FC"/>
          </w:tcPr>
          <w:p>
            <w:pPr>
              <w:spacing w:after="0"/>
              <w:rPr>
                <w:sz w:val="21"/>
                <w:szCs w:val="21"/>
                <w:color w:val="auto"/>
              </w:rPr>
            </w:pPr>
          </w:p>
        </w:tc>
      </w:tr>
      <w:tr>
        <w:trPr>
          <w:trHeight w:val="239"/>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20"/>
                <w:szCs w:val="20"/>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9,930</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9,930</w:t>
            </w:r>
          </w:p>
        </w:tc>
        <w:tc>
          <w:tcPr>
            <w:tcW w:w="100" w:type="dxa"/>
            <w:vAlign w:val="bottom"/>
          </w:tcPr>
          <w:p>
            <w:pPr>
              <w:spacing w:after="0"/>
              <w:rPr>
                <w:sz w:val="20"/>
                <w:szCs w:val="20"/>
                <w:color w:val="auto"/>
              </w:rPr>
            </w:pPr>
          </w:p>
        </w:tc>
      </w:tr>
      <w:tr>
        <w:trPr>
          <w:trHeight w:val="247"/>
        </w:trPr>
        <w:tc>
          <w:tcPr>
            <w:tcW w:w="2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shd w:val="clear" w:color="auto" w:fill="CFF0FC"/>
          </w:tcPr>
          <w:p>
            <w:pPr>
              <w:spacing w:after="0"/>
              <w:rPr>
                <w:sz w:val="21"/>
                <w:szCs w:val="21"/>
                <w:color w:val="auto"/>
              </w:rPr>
            </w:pPr>
          </w:p>
        </w:tc>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100" w:type="dxa"/>
            <w:vAlign w:val="bottom"/>
            <w:shd w:val="clear" w:color="auto" w:fill="CFF0FC"/>
          </w:tcPr>
          <w:p>
            <w:pPr>
              <w:spacing w:after="0"/>
              <w:rPr>
                <w:sz w:val="21"/>
                <w:szCs w:val="21"/>
                <w:color w:val="auto"/>
              </w:rPr>
            </w:pPr>
          </w:p>
        </w:tc>
      </w:tr>
      <w:tr>
        <w:trPr>
          <w:trHeight w:val="239"/>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20"/>
                <w:szCs w:val="20"/>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 backed securities</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00" w:type="dxa"/>
            <w:vAlign w:val="bottom"/>
          </w:tcPr>
          <w:p>
            <w:pPr>
              <w:spacing w:after="0"/>
              <w:rPr>
                <w:sz w:val="20"/>
                <w:szCs w:val="20"/>
                <w:color w:val="auto"/>
              </w:rPr>
            </w:pPr>
          </w:p>
        </w:tc>
      </w:tr>
      <w:tr>
        <w:trPr>
          <w:trHeight w:val="243"/>
        </w:trPr>
        <w:tc>
          <w:tcPr>
            <w:tcW w:w="29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Borders>
              <w:bottom w:val="single" w:sz="8" w:color="CFF0FC"/>
            </w:tcBorders>
            <w:shd w:val="clear" w:color="auto" w:fill="CFF0FC"/>
          </w:tcPr>
          <w:p>
            <w:pPr>
              <w:spacing w:after="0"/>
              <w:rPr>
                <w:sz w:val="21"/>
                <w:szCs w:val="21"/>
                <w:color w:val="auto"/>
              </w:rPr>
            </w:pPr>
          </w:p>
        </w:tc>
        <w:tc>
          <w:tcPr>
            <w:tcW w:w="37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12,685</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51,785</w:t>
            </w:r>
          </w:p>
        </w:tc>
        <w:tc>
          <w:tcPr>
            <w:tcW w:w="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64,470</w:t>
            </w:r>
          </w:p>
        </w:tc>
        <w:tc>
          <w:tcPr>
            <w:tcW w:w="100" w:type="dxa"/>
            <w:vAlign w:val="bottom"/>
          </w:tcPr>
          <w:p>
            <w:pPr>
              <w:spacing w:after="0"/>
              <w:rPr>
                <w:sz w:val="20"/>
                <w:szCs w:val="20"/>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-187960</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-187960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-187960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8"/>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 Measurement Using:</w:t>
            </w: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29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200" w:type="dxa"/>
            <w:vAlign w:val="bottom"/>
          </w:tcPr>
          <w:p>
            <w:pPr>
              <w:spacing w:after="0"/>
              <w:rPr>
                <w:sz w:val="20"/>
                <w:szCs w:val="20"/>
                <w:color w:val="auto"/>
              </w:rPr>
            </w:pPr>
          </w:p>
        </w:tc>
        <w:tc>
          <w:tcPr>
            <w:tcW w:w="37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Type of Instrument</w:t>
            </w:r>
          </w:p>
        </w:tc>
        <w:tc>
          <w:tcPr>
            <w:tcW w:w="14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0"/>
                <w:szCs w:val="20"/>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34"/>
        </w:trPr>
        <w:tc>
          <w:tcPr>
            <w:tcW w:w="2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20"/>
                <w:szCs w:val="20"/>
                <w:color w:val="auto"/>
              </w:rPr>
            </w:pPr>
          </w:p>
        </w:tc>
        <w:tc>
          <w:tcPr>
            <w:tcW w:w="35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spacing w:after="0"/>
              <w:rPr>
                <w:sz w:val="21"/>
                <w:szCs w:val="21"/>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30,404</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30,404</w:t>
            </w:r>
          </w:p>
        </w:tc>
        <w:tc>
          <w:tcPr>
            <w:tcW w:w="100" w:type="dxa"/>
            <w:vAlign w:val="bottom"/>
          </w:tcPr>
          <w:p>
            <w:pPr>
              <w:spacing w:after="0"/>
              <w:rPr>
                <w:sz w:val="21"/>
                <w:szCs w:val="21"/>
                <w:color w:val="auto"/>
              </w:rPr>
            </w:pPr>
          </w:p>
        </w:tc>
      </w:tr>
      <w:tr>
        <w:trPr>
          <w:trHeight w:val="250"/>
        </w:trPr>
        <w:tc>
          <w:tcPr>
            <w:tcW w:w="2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shd w:val="clear" w:color="auto" w:fill="CFF0FC"/>
          </w:tcPr>
          <w:p>
            <w:pPr>
              <w:spacing w:after="0"/>
              <w:rPr>
                <w:sz w:val="21"/>
                <w:szCs w:val="21"/>
                <w:color w:val="auto"/>
              </w:rPr>
            </w:pPr>
          </w:p>
        </w:tc>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45,653</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45,653</w:t>
            </w:r>
          </w:p>
        </w:tc>
        <w:tc>
          <w:tcPr>
            <w:tcW w:w="100" w:type="dxa"/>
            <w:vAlign w:val="bottom"/>
            <w:shd w:val="clear" w:color="auto" w:fill="CFF0FC"/>
          </w:tcPr>
          <w:p>
            <w:pPr>
              <w:spacing w:after="0"/>
              <w:rPr>
                <w:sz w:val="21"/>
                <w:szCs w:val="21"/>
                <w:color w:val="auto"/>
              </w:rPr>
            </w:pPr>
          </w:p>
        </w:tc>
      </w:tr>
      <w:tr>
        <w:trPr>
          <w:trHeight w:val="239"/>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20"/>
                <w:szCs w:val="20"/>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00" w:type="dxa"/>
            <w:vAlign w:val="bottom"/>
          </w:tcPr>
          <w:p>
            <w:pPr>
              <w:spacing w:after="0"/>
              <w:rPr>
                <w:sz w:val="20"/>
                <w:szCs w:val="20"/>
                <w:color w:val="auto"/>
              </w:rPr>
            </w:pPr>
          </w:p>
        </w:tc>
      </w:tr>
      <w:tr>
        <w:trPr>
          <w:trHeight w:val="276"/>
        </w:trPr>
        <w:tc>
          <w:tcPr>
            <w:tcW w:w="2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CFF0FC"/>
            </w:tcBorders>
            <w:shd w:val="clear" w:color="auto" w:fill="CFF0FC"/>
          </w:tcPr>
          <w:p>
            <w:pPr>
              <w:spacing w:after="0"/>
              <w:rPr>
                <w:sz w:val="24"/>
                <w:szCs w:val="24"/>
                <w:color w:val="auto"/>
              </w:rPr>
            </w:pPr>
          </w:p>
        </w:tc>
        <w:tc>
          <w:tcPr>
            <w:tcW w:w="35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30,404</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50,574</w:t>
            </w:r>
          </w:p>
        </w:tc>
        <w:tc>
          <w:tcPr>
            <w:tcW w:w="3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80,978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-25400</wp:posOffset>
            </wp:positionV>
            <wp:extent cx="77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-8255</wp:posOffset>
            </wp:positionV>
            <wp:extent cx="774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-25400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-8255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49"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The Company entered into a lease for office space in New Haven, Connecticut, effective March 1, 2013, and entered into a First Amendment (the “First Amendment”) to such lease on December 5, 2017 and a Second Amendment (the “Second Amendment”) to such lease on November 21, 2022 (collectively, the “Office Space Lease”). The leased space approximated 5,600 square feet and, prior to the Second Amendment, the Office Space Lease had a term of 60 months expiring on February 28, 2023. Under the First Amendment, the Company was required to make monthly payments ranging from approximately $10 to $12 through February 1, 2023 and received two designated months of free rent. As a result of the Company entering into the Second Amendment, the leased space increased to 12,500 square feet effective in March 2023 and the term for the Office Space Lease was extended for an additional 60 months from its prior termination date, until February 28, 2028. The Second Amendment requires monthly payments ranging from approximately $23 to $32 effective in March 2023 through February 2028. The first year of payments are based on 10,500 square feet of occupied space, the second year of payments are based on 11,500 square feet of occupied space and the remaining lease payments are based on 12,500 square feet of occupied space.</w:t>
      </w:r>
    </w:p>
    <w:p>
      <w:pPr>
        <w:spacing w:after="0" w:line="86"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December 2022, the Company entered into a 24-month lease for the financing of the furniture installed in the Company’s new office space. The furniture lease requires monthly payments of approximately $11 starting in March 2023. The Company also entered into an immaterial office equipment lease during 2022 that has a term of 36 months.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Company's lease-related assets and liabilities as presented on its Condensed Consolidated Balance Sheets: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5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 on the Condensed Consolidated Balance Sheet</w:t>
            </w:r>
          </w:p>
        </w:tc>
        <w:tc>
          <w:tcPr>
            <w:tcW w:w="18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2720" w:type="dxa"/>
            <w:vAlign w:val="bottom"/>
          </w:tcPr>
          <w:p>
            <w:pPr>
              <w:spacing w:after="0"/>
              <w:rPr>
                <w:sz w:val="16"/>
                <w:szCs w:val="16"/>
                <w:color w:val="auto"/>
              </w:rPr>
            </w:pPr>
          </w:p>
        </w:tc>
        <w:tc>
          <w:tcPr>
            <w:tcW w:w="550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assets</w:t>
            </w:r>
          </w:p>
        </w:tc>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 assets</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lease assets</w:t>
            </w:r>
          </w:p>
        </w:tc>
        <w:tc>
          <w:tcPr>
            <w:tcW w:w="5500" w:type="dxa"/>
            <w:vAlign w:val="bottom"/>
            <w:shd w:val="clear" w:color="auto" w:fill="CFF0FC"/>
          </w:tcPr>
          <w:p>
            <w:pPr>
              <w:spacing w:after="0"/>
              <w:rPr>
                <w:sz w:val="23"/>
                <w:szCs w:val="23"/>
                <w:color w:val="auto"/>
              </w:rPr>
            </w:pPr>
          </w:p>
        </w:tc>
        <w:tc>
          <w:tcPr>
            <w:tcW w:w="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2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50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55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liabilities, current portion</w:t>
            </w: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5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 portion</w:t>
            </w: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 non-current portion</w:t>
            </w:r>
          </w:p>
        </w:tc>
        <w:tc>
          <w:tcPr>
            <w:tcW w:w="1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lease liabilities</w:t>
            </w:r>
          </w:p>
        </w:tc>
        <w:tc>
          <w:tcPr>
            <w:tcW w:w="55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-1293495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-1276985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-1276985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information related to the Company's lease expense for the periods shown: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2300" w:type="dxa"/>
            <w:vAlign w:val="bottom"/>
            <w:gridSpan w:val="5"/>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gridSpan w:val="5"/>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5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500" w:type="dxa"/>
            <w:vAlign w:val="bottom"/>
          </w:tcPr>
          <w:p>
            <w:pPr>
              <w:spacing w:after="0"/>
              <w:rPr>
                <w:sz w:val="14"/>
                <w:szCs w:val="14"/>
                <w:color w:val="auto"/>
              </w:rPr>
            </w:pPr>
          </w:p>
        </w:tc>
        <w:tc>
          <w:tcPr>
            <w:tcW w:w="8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Borders>
              <w:bottom w:val="single" w:sz="8" w:color="auto"/>
            </w:tcBorders>
            <w:gridSpan w:val="2"/>
          </w:tcPr>
          <w:p>
            <w:pPr>
              <w:jc w:val="center"/>
              <w:ind w:left="2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900" w:type="dxa"/>
            <w:vAlign w:val="bottom"/>
            <w:gridSpan w:val="2"/>
            <w:shd w:val="clear" w:color="auto" w:fill="CFF0FC"/>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6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180" w:type="dxa"/>
            <w:vAlign w:val="bottom"/>
            <w:gridSpan w:val="2"/>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FF0FC"/>
          </w:tcPr>
          <w:p>
            <w:pPr>
              <w:spacing w:after="0"/>
              <w:rPr>
                <w:sz w:val="20"/>
                <w:szCs w:val="20"/>
                <w:color w:val="auto"/>
              </w:rPr>
            </w:pPr>
          </w:p>
        </w:tc>
      </w:tr>
      <w:tr>
        <w:trPr>
          <w:trHeight w:val="23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r>
      <w:tr>
        <w:trPr>
          <w:trHeight w:val="277"/>
        </w:trPr>
        <w:tc>
          <w:tcPr>
            <w:tcW w:w="5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lease expense</w:t>
            </w:r>
          </w:p>
        </w:tc>
        <w:tc>
          <w:tcPr>
            <w:tcW w:w="820" w:type="dxa"/>
            <w:vAlign w:val="bottom"/>
            <w:tcBorders>
              <w:bottom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6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3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3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7"/>
        </w:trPr>
        <w:tc>
          <w:tcPr>
            <w:tcW w:w="8520" w:type="dxa"/>
            <w:vAlign w:val="bottom"/>
            <w:gridSpan w:val="8"/>
          </w:tcPr>
          <w:p>
            <w:pPr>
              <w:ind w:left="520"/>
              <w:spacing w:after="0"/>
              <w:rPr>
                <w:sz w:val="20"/>
                <w:szCs w:val="20"/>
                <w:color w:val="auto"/>
              </w:rPr>
            </w:pPr>
            <w:r>
              <w:rPr>
                <w:rFonts w:ascii="Times New Roman" w:cs="Times New Roman" w:eastAsia="Times New Roman" w:hAnsi="Times New Roman"/>
                <w:sz w:val="18"/>
                <w:szCs w:val="18"/>
                <w:color w:val="auto"/>
              </w:rPr>
              <w:t>Future minimum lease payments from September 30, 2024 until the expiration of the leases are as follows: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2"/>
        </w:trPr>
        <w:tc>
          <w:tcPr>
            <w:tcW w:w="5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center"/>
              <w:ind w:left="67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20"/>
                <w:szCs w:val="20"/>
                <w:color w:val="auto"/>
              </w:rPr>
            </w:pPr>
          </w:p>
        </w:tc>
      </w:tr>
      <w:tr>
        <w:trPr>
          <w:trHeight w:val="23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r>
      <w:tr>
        <w:trPr>
          <w:trHeight w:val="247"/>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5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820" w:type="dxa"/>
            <w:vAlign w:val="bottom"/>
            <w:tcBorders>
              <w:top w:val="single" w:sz="8" w:color="CFF0FC"/>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360" w:type="dxa"/>
            <w:vAlign w:val="bottom"/>
            <w:tcBorders>
              <w:top w:val="single" w:sz="8" w:color="CFF0FC"/>
            </w:tcBorders>
          </w:tcPr>
          <w:p>
            <w:pPr>
              <w:spacing w:after="0"/>
              <w:rPr>
                <w:sz w:val="20"/>
                <w:szCs w:val="20"/>
                <w:color w:val="auto"/>
              </w:rPr>
            </w:pPr>
          </w:p>
        </w:tc>
        <w:tc>
          <w:tcPr>
            <w:tcW w:w="54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1,267</w:t>
            </w:r>
          </w:p>
        </w:tc>
        <w:tc>
          <w:tcPr>
            <w:tcW w:w="12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top w:val="single" w:sz="8" w:color="CFF0FC"/>
            </w:tcBorders>
          </w:tcPr>
          <w:p>
            <w:pPr>
              <w:spacing w:after="0"/>
              <w:rPr>
                <w:sz w:val="20"/>
                <w:szCs w:val="20"/>
                <w:color w:val="auto"/>
              </w:rPr>
            </w:pPr>
          </w:p>
        </w:tc>
      </w:tr>
      <w:tr>
        <w:trPr>
          <w:trHeight w:val="243"/>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8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37"/>
        </w:trPr>
        <w:tc>
          <w:tcPr>
            <w:tcW w:w="55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820" w:type="dxa"/>
            <w:vAlign w:val="bottom"/>
            <w:tcBorders>
              <w:top w:val="single" w:sz="8" w:color="CFF0FC"/>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900" w:type="dxa"/>
            <w:vAlign w:val="bottom"/>
            <w:tcBorders>
              <w:top w:val="single" w:sz="8" w:color="CFF0FC"/>
            </w:tcBorders>
            <w:gridSpan w:val="2"/>
          </w:tcPr>
          <w:p>
            <w:pPr>
              <w:spacing w:after="0"/>
              <w:rPr>
                <w:sz w:val="20"/>
                <w:szCs w:val="20"/>
                <w:color w:val="auto"/>
              </w:rPr>
            </w:pPr>
          </w:p>
        </w:tc>
        <w:tc>
          <w:tcPr>
            <w:tcW w:w="24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top w:val="single" w:sz="8" w:color="CFF0FC"/>
            </w:tcBorders>
          </w:tcPr>
          <w:p>
            <w:pPr>
              <w:spacing w:after="0"/>
              <w:rPr>
                <w:sz w:val="20"/>
                <w:szCs w:val="20"/>
                <w:color w:val="auto"/>
              </w:rPr>
            </w:pPr>
          </w:p>
        </w:tc>
      </w:tr>
      <w:tr>
        <w:trPr>
          <w:trHeight w:val="20"/>
        </w:trPr>
        <w:tc>
          <w:tcPr>
            <w:tcW w:w="7560" w:type="dxa"/>
            <w:vAlign w:val="bottom"/>
            <w:gridSpan w:val="5"/>
          </w:tcPr>
          <w:p>
            <w:pPr>
              <w:spacing w:after="0" w:line="20" w:lineRule="exact"/>
              <w:rPr>
                <w:sz w:val="1"/>
                <w:szCs w:val="1"/>
                <w:color w:val="auto"/>
              </w:rPr>
            </w:pPr>
          </w:p>
        </w:tc>
        <w:tc>
          <w:tcPr>
            <w:tcW w:w="980" w:type="dxa"/>
            <w:vAlign w:val="bottom"/>
            <w:tcBorders>
              <w:bottom w:val="single" w:sz="8" w:color="auto"/>
            </w:tcBorders>
            <w:gridSpan w:val="4"/>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7"/>
        </w:trPr>
        <w:tc>
          <w:tcPr>
            <w:tcW w:w="9300" w:type="dxa"/>
            <w:vAlign w:val="bottom"/>
            <w:gridSpan w:val="12"/>
          </w:tcPr>
          <w:p>
            <w:pPr>
              <w:ind w:left="520"/>
              <w:spacing w:after="0"/>
              <w:rPr>
                <w:sz w:val="20"/>
                <w:szCs w:val="20"/>
                <w:color w:val="auto"/>
              </w:rPr>
            </w:pPr>
            <w:r>
              <w:rPr>
                <w:rFonts w:ascii="Times New Roman" w:cs="Times New Roman" w:eastAsia="Times New Roman" w:hAnsi="Times New Roman"/>
                <w:sz w:val="18"/>
                <w:szCs w:val="18"/>
                <w:color w:val="auto"/>
              </w:rPr>
              <w:t>The following table presents certain information related to the lease terms and discount rates for the Company's leases: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5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8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3.5 years</w:t>
            </w:r>
          </w:p>
        </w:tc>
        <w:tc>
          <w:tcPr>
            <w:tcW w:w="3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center"/>
              <w:ind w:right="319"/>
              <w:spacing w:after="0"/>
              <w:rPr>
                <w:sz w:val="20"/>
                <w:szCs w:val="20"/>
                <w:color w:val="auto"/>
              </w:rPr>
            </w:pPr>
            <w:r>
              <w:rPr>
                <w:rFonts w:ascii="Times New Roman" w:cs="Times New Roman" w:eastAsia="Times New Roman" w:hAnsi="Times New Roman"/>
                <w:sz w:val="18"/>
                <w:szCs w:val="18"/>
                <w:color w:val="auto"/>
              </w:rPr>
              <w:t>4.3 years</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0.5 years</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19"/>
              <w:spacing w:after="0"/>
              <w:rPr>
                <w:sz w:val="20"/>
                <w:szCs w:val="20"/>
                <w:color w:val="auto"/>
              </w:rPr>
            </w:pPr>
            <w:r>
              <w:rPr>
                <w:rFonts w:ascii="Times New Roman" w:cs="Times New Roman" w:eastAsia="Times New Roman" w:hAnsi="Times New Roman"/>
                <w:sz w:val="18"/>
                <w:szCs w:val="18"/>
                <w:color w:val="auto"/>
              </w:rPr>
              <w:t>1.3 years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5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8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11.00%</w:t>
            </w:r>
          </w:p>
        </w:tc>
        <w:tc>
          <w:tcPr>
            <w:tcW w:w="3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39"/>
              <w:spacing w:after="0"/>
              <w:rPr>
                <w:sz w:val="20"/>
                <w:szCs w:val="20"/>
                <w:color w:val="auto"/>
              </w:rPr>
            </w:pPr>
            <w:r>
              <w:rPr>
                <w:rFonts w:ascii="Times New Roman" w:cs="Times New Roman" w:eastAsia="Times New Roman" w:hAnsi="Times New Roman"/>
                <w:sz w:val="18"/>
                <w:szCs w:val="18"/>
                <w:color w:val="auto"/>
              </w:rPr>
              <w:t>11.00%</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4.37%</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4.37%</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-3491230</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-3474085</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-3491230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-3474085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-3491230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-3474085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-3491230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-3474085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-2111375</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-2111375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-1793875</wp:posOffset>
            </wp:positionV>
            <wp:extent cx="774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-1793875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supplemental cash flow information related to the Company's leases for the periods shown: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7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9"/>
        </w:trPr>
        <w:tc>
          <w:tcPr>
            <w:tcW w:w="7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7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outflows relating to operating leases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6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69</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FF0FC"/>
          </w:tcPr>
          <w:p>
            <w:pPr>
              <w:spacing w:after="0"/>
              <w:rPr>
                <w:sz w:val="21"/>
                <w:szCs w:val="21"/>
                <w:color w:val="auto"/>
              </w:rPr>
            </w:pPr>
          </w:p>
        </w:tc>
      </w:tr>
      <w:tr>
        <w:trPr>
          <w:trHeight w:val="239"/>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 payments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32</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r>
      <w:tr>
        <w:trPr>
          <w:trHeight w:val="247"/>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non-cash information:</w:t>
            </w: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20"/>
                <w:szCs w:val="20"/>
                <w:color w:val="auto"/>
              </w:rPr>
            </w:pPr>
          </w:p>
        </w:tc>
      </w:tr>
      <w:tr>
        <w:trPr>
          <w:trHeight w:val="247"/>
        </w:trPr>
        <w:tc>
          <w:tcPr>
            <w:tcW w:w="7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FF0FC"/>
          </w:tcPr>
          <w:p>
            <w:pPr>
              <w:spacing w:after="0"/>
              <w:rPr>
                <w:sz w:val="21"/>
                <w:szCs w:val="21"/>
                <w:color w:val="auto"/>
              </w:rPr>
            </w:pPr>
          </w:p>
        </w:tc>
      </w:tr>
      <w:tr>
        <w:trPr>
          <w:trHeight w:val="864"/>
        </w:trPr>
        <w:tc>
          <w:tcPr>
            <w:tcW w:w="72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7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595" w:gutter="0" w:footer="0" w:header="0"/>
        </w:sectPr>
      </w:pPr>
    </w:p>
    <w:bookmarkStart w:id="17" w:name="page18"/>
    <w:bookmarkEnd w:id="17"/>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consisted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R&amp;D projects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consulting and professional fees</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281"/>
        </w:trPr>
        <w:tc>
          <w:tcPr>
            <w:tcW w:w="7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accrued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1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Silicon Valley Bank Term Loan</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May 9, 2023, the Company paid the remaining amount due under the SVB Loan Agreement, resulting in the full extinguishment of the SVB Term Loan (as defined below). As a result, after May 9, 2023, the Company had no outstanding debt. The total payoff amount was $6.5 million, consisting of the remaining principal amount due of $5.2 million, the final payment fee of $1.2 million, and $0.1 million of accrued interest and prepayment premium. During the year ended December 31, 2023, an immaterial effect from early extinguishment of debt was recorded in connection with the Company paying the remaining amounts due under the SVB Loan Agreement, which was included in other income, net on the Company’s Condensed Consolidated Statement of Comprehensive Loss.</w:t>
      </w:r>
    </w:p>
    <w:p>
      <w:pPr>
        <w:spacing w:after="0" w:line="7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On August 13, 2020 (the “Effective Date”), the Company entered into a loan and security agreement (the “SVB Loan Agreement”) with Silicon Valley Bank (“SVB”), as lender, pursuant to which SVB provided a term loan to the Company in the original principal amount of $14.0 million (the “SVB Term Loan”). The SVB Term Loan bore interest at a floating rate per annum equal to the greater of (A) the prime rate plus 1.00% and (B) 4.25%. If SVB received evidence satisfactory to it that the Company had (i) received positive data for the Phase 2b/3 clinical trial of Haduvio sufficient to advance Haduvio into a second Phase 3 clinical trial for prurigo nodularis, and (ii) raised sufficient financing to fund such Phase 3 clinical trial and the Company’s operations, (together, the “Phase 3 Event”), the interest rate under the SVB Term Loan would have been adjusted to a floating rate equal to the greater of</w:t>
      </w:r>
    </w:p>
    <w:p>
      <w:pPr>
        <w:spacing w:after="0" w:line="5" w:lineRule="exact"/>
        <w:rPr>
          <w:sz w:val="20"/>
          <w:szCs w:val="20"/>
          <w:color w:val="auto"/>
        </w:rPr>
      </w:pPr>
    </w:p>
    <w:p>
      <w:pPr>
        <w:ind w:right="40" w:firstLine="8"/>
        <w:spacing w:after="0" w:line="251" w:lineRule="auto"/>
        <w:tabs>
          <w:tab w:leader="none" w:pos="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rate plus 3.00% and (B) 6.25% (see term loan derivative liability discussion below). Commencing on March 1, 2022 and on the first business day of each month thereafter, the Company was required to make monthly interest payments and to repay the SVB Term Loan in 24 consecutive installments of principal plus monthly payments of accrued interest. All outstanding principal and accrued and unpaid interest under the SVB Term Loan and all other outstanding obligations with respect to the SVB Term Loan were due and payable in full on February 1, 2024. The SVB Loan Agreement permitted voluntary prepayment of all, but not less than all, of the SVB Term Loan, subject to a prepayment premium. Such prepayment premium would have been 3.00% of the principal amount of the SVB Term Loan if prepaid prior to the first anniversary of the Effective Date, 2.00% of the principal amount of the SVB Term Loan if prepaid on or after the first anniversary of the Effective Date but prior to the second anniversary of the Effective Date, and 1.00% of the principal amount of the SVB Term Loan if prepaid on or after the second anniversary of the Effective Date but prior to February 1, 2024. Upon repayment in full of the SVB Term Loan, the Company was required to pay a final payment fee equal to $1.2 million. The SVB Term Loan and related obligations under the SVB Loan Agreement were secured by substantially all of the Company’s properties, rights and assets, except for its intellectual property (which was subject to a negative pledge under the SVB Loan Agreement).</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July 6, 2021, the Company and SVB entered into a First Amendment (the “Loan Amendment”) to the SVB Loan Agreement. The Loan Amendment modified the conditions under which the Company was required to cash collateralize all outstanding amounts owed to SVB under the SVB Loan Agreement. Under the Loan Amendment, if the Company failed to receive positive data in its Phase 2b/3 PRISM trial or to raise by June 30, 2022 sufficient net proceeds from the sale of equity securities to finance its planned second Phase 3 clinical trial of Haduvio for prurigo nodularis and its ongoing operations (each a “Milestone Condition”), the Company would have been required to deposit unrestricted and unencumbered cash equal to 100% of all outstanding amounts owed to SVB in a cash collateral account with SVB, which could have been used by SVB to prepay the SVB Term Loan at any time. In addition, the Loan Amendment provided that if the Company failed to maintain at least $20.0 million in unrestricted and unencumbered cash in its accounts with SVB at any time prior to the satisfaction of all the Milestone Conditions (the “Minimum Required Cash”), the Company would have been required to cash collateralize all outstanding amounts owed to SVB under the SVB Loan Agreement. The Company would also have been required to cash collateralize all outstanding amounts owed to SVB under the SVB Loan Agreement if it did not raise at least $15.0 million in net proceeds from the sale of equity securities during the period from June 1, 2021 through October 31, 2021. The Company satisfied this equity funding condition through a combination of equity issuances under the Company’s at-the-market sales agreement entered into with SVB Securities LLC (formerly SVB Leerink LLC) (“SVB Securities”) in June 2020 (the “ATM Sales Agreement”) and two private placements, which took place in October 2021 (see Note 8).</w:t>
      </w:r>
    </w:p>
    <w:p>
      <w:pPr>
        <w:spacing w:after="0" w:line="7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On April 6, 2022, the Company and SVB entered into a Third Amendment (the “Third Amendment”) to the SVB Loan Agreement. The Third Amendment principally modified the conditions under which the Company would have been required to cash collateralize all outstanding amounts owed to SVB under the SVB Loan Agreement. Under the terms of the Third Amendment, if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ind w:right="20"/>
        <w:spacing w:after="0" w:line="253" w:lineRule="auto"/>
        <w:rPr>
          <w:sz w:val="20"/>
          <w:szCs w:val="20"/>
          <w:color w:val="auto"/>
        </w:rPr>
      </w:pPr>
      <w:r>
        <w:rPr>
          <w:rFonts w:ascii="Times New Roman" w:cs="Times New Roman" w:eastAsia="Times New Roman" w:hAnsi="Times New Roman"/>
          <w:sz w:val="18"/>
          <w:szCs w:val="18"/>
          <w:color w:val="auto"/>
        </w:rPr>
        <w:t>Company raised $45.0 million in net proceeds from the sale of equity securities (the “2022 Equity Event”), the Company’s obligations to achieve the Milestone Conditions and maintain the Minimum Required Cash would have terminated and the sole remaining trigger for cash collateralization would have been if the Company did not receive positive final data by December 31, 2022 from either its Phase 2b/3 PRISM trial of Haduvio for prurigo nodularis or its Phase 2 CANAL trial of Haduvio for the treatment of chronic cough in IPF. In addition, the Third Amendment modified the interest rate on the principal amount outstanding under the SVB Loan Agreement. As a result of the Third Amendment, amounts outstanding under the SVB Loan Agreement accrued interest at a floating per annum rate equal to (i) prior to the occurrence of the 2022 Equity Event, the greater of (A) the prime rate plus 1.00% and (B) 4.25%, and (ii) upon and after the occurrence of the 2022 Equity Event, the greater of (A) the prime rate plus 3.00% and (B) 6.25%. The closing of the April 2022 Private Placement, as discussed in Note 8 below, constituted the 2022 Equity Event and thereby terminated the Company’s obligations to achieve the Milestone Conditions and maintain the Minimum Required Cash. On August 3, 2022, SVB confirmed that the reported data from the Phase 2b/3 PRISM trial satisfied the requirement for positive final data and that the cash collateralization requirements of the SVB Loan Agreement were no longer in effect.</w:t>
      </w:r>
    </w:p>
    <w:p>
      <w:pPr>
        <w:spacing w:after="0" w:line="8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SVB Loan Agreement contained customary representations, warranties, events of default and covenants. The occurrence and continuation of an event of default could have caused interest to be charged at the rate that was otherwise applicable plus 5.00% (unless SVB elected to impose a smaller increase) and would have provided SVB with the right to accelerate all obligations under the SVB Loan Agreement and exercise remedies against the Company and the collateral securing the SVB Term Loan and other obligations under the SVB Loan Agreement, including foreclosure against assets securing the SVB Term Loan and other obligations under the SVB Loan Agreement, including the Company’s cash. The SVB Loan Agreement also restricted the payment of dividends on the Company’s common stock.</w:t>
      </w:r>
    </w:p>
    <w:p>
      <w:pPr>
        <w:spacing w:after="0" w:line="79"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7"/>
          <w:szCs w:val="17"/>
          <w:color w:val="auto"/>
        </w:rPr>
        <w:t>Interest expense on the SVB Term Loan, which was comprised of interest payments, accretion and amortization of term loan discounts and the accrual of the final payment fee, is shown below for the nine months ended September 30, 2023. For the nine months ended September 30, 2023, the weighted average interest rate applicable to borrowings under the SVB Term Loan was 10.25%. For the three and nine months ended September 30, 2024 and the three months ended September 30, 2023, there was no interest expense on the SVB Term Loan as the loan was fully extinguished in May 2023.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8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9"/>
        </w:trPr>
        <w:tc>
          <w:tcPr>
            <w:tcW w:w="87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2080" w:type="dxa"/>
            <w:vAlign w:val="bottom"/>
            <w:tcBorders>
              <w:top w:val="single" w:sz="8" w:color="auto"/>
              <w:bottom w:val="single" w:sz="8" w:color="auto"/>
            </w:tcBorders>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237"/>
        </w:trPr>
        <w:tc>
          <w:tcPr>
            <w:tcW w:w="8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payments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FF0FC"/>
          </w:tcPr>
          <w:p>
            <w:pPr>
              <w:spacing w:after="0"/>
              <w:rPr>
                <w:sz w:val="20"/>
                <w:szCs w:val="20"/>
                <w:color w:val="auto"/>
              </w:rPr>
            </w:pPr>
          </w:p>
        </w:tc>
      </w:tr>
      <w:tr>
        <w:trPr>
          <w:trHeight w:val="23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 of the final payment fee</w:t>
            </w:r>
          </w:p>
        </w:tc>
        <w:tc>
          <w:tcPr>
            <w:tcW w:w="36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r>
      <w:tr>
        <w:trPr>
          <w:trHeight w:val="243"/>
        </w:trPr>
        <w:tc>
          <w:tcPr>
            <w:tcW w:w="8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Accretion and amortization of term loan discounts</w:t>
            </w:r>
          </w:p>
        </w:tc>
        <w:tc>
          <w:tcPr>
            <w:tcW w:w="360" w:type="dxa"/>
            <w:vAlign w:val="bottom"/>
            <w:tcBorders>
              <w:bottom w:val="single" w:sz="8" w:color="auto"/>
            </w:tcBorders>
            <w:shd w:val="clear" w:color="auto" w:fill="CFF0FC"/>
          </w:tcPr>
          <w:p>
            <w:pPr>
              <w:spacing w:after="0"/>
              <w:rPr>
                <w:sz w:val="21"/>
                <w:szCs w:val="21"/>
                <w:color w:val="auto"/>
              </w:rPr>
            </w:pPr>
          </w:p>
        </w:tc>
        <w:tc>
          <w:tcPr>
            <w:tcW w:w="2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7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20"/>
                <w:szCs w:val="20"/>
                <w:color w:val="auto"/>
              </w:rPr>
            </w:pPr>
          </w:p>
        </w:tc>
      </w:tr>
      <w:tr>
        <w:trPr>
          <w:trHeight w:val="20"/>
        </w:trPr>
        <w:tc>
          <w:tcPr>
            <w:tcW w:w="8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48"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had reserved shares of common stock for future issuance as shown in the table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2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9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40" w:type="dxa"/>
            <w:vAlign w:val="bottom"/>
            <w:gridSpan w:val="2"/>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05"/>
        </w:trPr>
        <w:tc>
          <w:tcPr>
            <w:tcW w:w="8320" w:type="dxa"/>
            <w:vAlign w:val="bottom"/>
            <w:gridSpan w:val="2"/>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Shares of common stock reserved for future issuance upon exercise of outstanding warrants and pre-funded</w:t>
            </w:r>
          </w:p>
        </w:tc>
        <w:tc>
          <w:tcPr>
            <w:tcW w:w="12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48"/>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33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37,120,209</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40,931,506</w:t>
            </w:r>
          </w:p>
        </w:tc>
        <w:tc>
          <w:tcPr>
            <w:tcW w:w="100" w:type="dxa"/>
            <w:vAlign w:val="bottom"/>
            <w:shd w:val="clear" w:color="auto" w:fill="CFF0FC"/>
          </w:tcPr>
          <w:p>
            <w:pPr>
              <w:spacing w:after="0"/>
              <w:rPr>
                <w:sz w:val="21"/>
                <w:szCs w:val="21"/>
                <w:color w:val="auto"/>
              </w:rPr>
            </w:pP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of common stock reserved for future issuance under the 2019</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Incentive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8,684,716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6,549,183</w:t>
            </w:r>
          </w:p>
        </w:tc>
        <w:tc>
          <w:tcPr>
            <w:tcW w:w="100" w:type="dxa"/>
            <w:vAlign w:val="bottom"/>
          </w:tcPr>
          <w:p>
            <w:pPr>
              <w:spacing w:after="0"/>
              <w:rPr>
                <w:sz w:val="20"/>
                <w:szCs w:val="20"/>
                <w:color w:val="auto"/>
              </w:rPr>
            </w:pPr>
          </w:p>
        </w:tc>
      </w:tr>
      <w:tr>
        <w:trPr>
          <w:trHeight w:val="24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of common stock reserved for future issuance under the 2019</w:t>
            </w:r>
          </w:p>
        </w:tc>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1,146,781</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1,177,456</w:t>
            </w:r>
          </w:p>
        </w:tc>
        <w:tc>
          <w:tcPr>
            <w:tcW w:w="100" w:type="dxa"/>
            <w:vAlign w:val="bottom"/>
            <w:shd w:val="clear" w:color="auto" w:fill="CFF0FC"/>
          </w:tcPr>
          <w:p>
            <w:pPr>
              <w:spacing w:after="0"/>
              <w:rPr>
                <w:sz w:val="21"/>
                <w:szCs w:val="21"/>
                <w:color w:val="auto"/>
              </w:rPr>
            </w:pP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of common stock reserved for future issuance under the 2012</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Incentive Plan</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292,628</w:t>
            </w:r>
          </w:p>
        </w:tc>
        <w:tc>
          <w:tcPr>
            <w:tcW w:w="22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565,792</w:t>
            </w:r>
          </w:p>
        </w:tc>
        <w:tc>
          <w:tcPr>
            <w:tcW w:w="100" w:type="dxa"/>
            <w:vAlign w:val="bottom"/>
          </w:tcPr>
          <w:p>
            <w:pPr>
              <w:spacing w:after="0"/>
              <w:rPr>
                <w:sz w:val="20"/>
                <w:szCs w:val="20"/>
                <w:color w:val="auto"/>
              </w:rPr>
            </w:pPr>
          </w:p>
        </w:tc>
      </w:tr>
      <w:tr>
        <w:trPr>
          <w:trHeight w:val="276"/>
        </w:trPr>
        <w:tc>
          <w:tcPr>
            <w:tcW w:w="4980" w:type="dxa"/>
            <w:vAlign w:val="bottom"/>
            <w:tcBorders>
              <w:bottom w:val="single" w:sz="8" w:color="CFF0FC"/>
            </w:tcBorders>
            <w:shd w:val="clear" w:color="auto" w:fill="CFF0FC"/>
          </w:tcPr>
          <w:p>
            <w:pPr>
              <w:spacing w:after="0"/>
              <w:rPr>
                <w:sz w:val="24"/>
                <w:szCs w:val="24"/>
                <w:color w:val="auto"/>
              </w:rPr>
            </w:pPr>
          </w:p>
        </w:tc>
        <w:tc>
          <w:tcPr>
            <w:tcW w:w="334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47,244,334</w:t>
            </w:r>
          </w:p>
        </w:tc>
        <w:tc>
          <w:tcPr>
            <w:tcW w:w="22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49,223,937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June 2020, the Company entered into the ATM Sales Agreement with SVB Securities under which the Company was able to issue and sell shares of its common stock, from time to time, having an aggregate offering price of up to $12.0 million. In May 2022, the Company and SVB Securities amended the ATM Sales Agreement to increase the maximum aggregate offering price of common stock that it was able to issue and sell from time to time under the ATM Sales Agreement by $50.0 million, from $12.0 million to up to $62.0 million.</w:t>
      </w:r>
    </w:p>
    <w:p>
      <w:pPr>
        <w:spacing w:after="0" w:line="7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Sales of common stock under the ATM Sales Agreement were able to be made by any method that was deemed an “at-the-market” offering as defined in Rule 415(a)(4) under the Securities Act of 1933, as amended (the "Securities Act"). The Company was not obligated to make any sales of its common stock under the ATM Sales Agreement. The Company began making sales pursuant to the ATM Sales Agreement in July 2020. As of August 15, 2023, the date of termination of the ATM Sales Agreement, the Company had issued and sold an aggregate of 4,333,394 shares of common stock for gross proceeds of $12.7 million pursuant to the ATM Sales Agreement, before deducting estimated commissions and allocated fees of $1.0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June 2023, the Company filed with the SEC a universal shelf registration statement on Form S-3 (the “Shelf Registration Statement”), which allows the Company to offer and sell up to $200.0 million of common stock, preferred stock, debt securities, units and/or warrants from time to time pursuant to one or more offerings at prices and terms to be determined at the time of sale. The Shelf Registration Statement was filed to replace the Company’s prior universal shelf registration statement on Form S-3 and was declared effective on August 15, 2023. Further, in June 2023, the Company entered into a new at-the-market sales agreement with Leerink Partners, LLC (formerly SVB Securities) (the “2023 ATM Sales Agreement”), under which the Company may issue and sell shares of common stock, from time to time by any method that is deemed an “at-the-market” offering as defined in Rule 415(a)(4) under the Securities Act. The Company is not obligated to make any sales of its common stock under the 2023 ATM Sales Agreement. The Company filed a prospectus under the Shelf Registration Statement for the offer and sale of shares of the Company’s common stock having an aggregate offering price of up to $75.0 million pursuant to the 2023 ATM Sales Agreement. In accordance with the terms of the 2023 ATM Sales Agreement, the ATM Sales Agreement terminated upon effectiveness of the Shelf Registration Statement, at which point the Company was no longer able to issue and sell shares of its common stock under the ATM Sales Agreement. As of September 30, 2024, the Company had issued and sold 3,086,729 shares of common stock under the 2023 ATM Sales Agreement for gross proceeds of $10.0 million, before deducting estimated commissions and allocated fees of $0.3 million.</w:t>
      </w:r>
    </w:p>
    <w:p>
      <w:pPr>
        <w:spacing w:after="0" w:line="7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Subsequent to September 30, 2024, and through October 31, 2024, the Company issued and sold 1,411,336 shares of common stock under the 2023 ATM Sales Agreement for gross proceeds of $ 4.6 million, before deducting estimated commissions and allocated fees of $ 0.1 million.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October 5, 2021, the Company issued and sold to an initial investor, in a private placement priced at-the-market under Nasdaq rules, (i) 2,373,201 shares of the Company’s common stock and accompanying warrants to purchase an aggregate of 4,746,402 shares of the Company’s common stock, and (ii) pre-funded warrants to purchase up to an aggregate of 4,926,069 shares of the Company’s common stock and accompanying warrants to purchase an aggregate of 9,852,138 shares of the Company’s common stock. Each share of the Company’s common stock and accompanying common stock warrants were sold together at a combined price of $1.62, and each pre-funded warrant and accompanying common stock warrants were sold together at a combined price of $1.619, for gross proceeds of approximately $11.8 million. Each pre-funded warrant had an exercise price of $0.001 per share, became exercisable immediately upon issuance and was exercisable until exercised in full. The accompanying common stock warrants have an exercise price of $1.37 per share and became exercisable immediately upon issuance. Of the accompanying common stock warrants, warrants to purchase an aggregate of 7,299,270 shares had an expiration date of April 5, 2025, and warrants to purchase an aggregate of 7,299,270 shares had an expiration date of October 5, 2028. All of the accompanying common stock warrants expiring on April 5, 2025 have been exercised and accompanying common stock warrants to purchase 1,299,270 shares expiring on October 5, 2028 have been exercised.</w:t>
      </w:r>
    </w:p>
    <w:p>
      <w:pPr>
        <w:spacing w:after="0" w:line="8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October 18, 2021, the Company issued and sold to New Enterprise Associates 16, L.P., an existing stockholder of the Company (“NEA”) and related party, in a private placement, 1,851,852 shares of the Company’s common stock and accompanying warrants to purchase an aggregate of 3,703,704 shares of the Company’s common stock. Each share of the Company’s common stock and accompanying common stock warrants were sold together at a combined price of $1.62 for gross proceeds of approximately $3.0 million. The accompanying common stock warrants have an exercise price of $1.37 per share and became exercisable immediately upon issuance. Of the accompanying common stock warrants, warrants to purchase an aggregate of 1,851,852 shares of the Company’s common stock will expire on April 18, 2025, and warrants to purchase an aggregate of 1,851,852 shares of the Company’s common stock will expire on October 18, 2028. None of the accompanying common stock warrants issued to NEA in the private placement have been exercised.</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net proceeds from the two October 2021 private placements were $13.7 million, after deducting issuance costs of $1.1 million</w:t>
      </w:r>
      <w:r>
        <w:rPr>
          <w:rFonts w:ascii="Arial" w:cs="Arial" w:eastAsia="Arial" w:hAnsi="Arial"/>
          <w:sz w:val="16"/>
          <w:szCs w:val="16"/>
          <w:color w:val="auto"/>
        </w:rPr>
        <w:t>.</w:t>
      </w:r>
    </w:p>
    <w:p>
      <w:pPr>
        <w:spacing w:after="0" w:line="11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On April 6, 2022, the Company entered into a securities purchase agreement with certain purchasers, pursuant to which the Company agreed to issue and sell to the purchasers, in a private placement priced at-the-market under Nasdaq rules, (i) 4,580,526 shares of the Company’s common stock at a purchase price of $1.90 per share, and (ii) pre-funded warrants to purchase up to an aggregate of 24,379,673 shares of common stock at a purchase price of $1.899 per warrant (the “April 2022 Private Placement”). Each pre-funded warrant has an exercise price of $0.001 per share, became exercisable immediately upon issuance and will be exercisable until the pre-funded warrant is exercised in full. The April 2022 Private Placement, which closed on April 11, 2022, resulted in gross proceeds to the Company of approximately $55.0 million. NEA, an existing stockholder of the Company and a related party, as well as an affiliate of NEA, participated in the offering.</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Public Offering</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September 27, 2022, the Company issued and sold 14,252,670 shares of the Company’s common stock and, in lieu of common stock to certain investors, pre-funded warrants to purchase 14,247,330 shares of common stock in a public offering (the “September 2022 Offering”), at a public offering price of $1.93 per share of common stock and $1.929 per pre-funded warrant pursuant to an underwriting agreement (the “Underwriting Agreement”) with SVB Securities, Stifel, Nicolaus &amp; Company, Incorporated and Oppenheimer &amp; Co. Inc., as representatives of the several underwriters (the “Underwriters”). Each pre-funded warrant has an exercise price of $0.001 per share, became exercisable immediately upon issuance and will be exercisable until the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0" w:name="page21"/>
    <w:bookmarkEnd w:id="20"/>
    <w:p>
      <w:pPr>
        <w:ind w:right="60"/>
        <w:spacing w:after="0" w:line="258" w:lineRule="auto"/>
        <w:rPr>
          <w:sz w:val="20"/>
          <w:szCs w:val="20"/>
          <w:color w:val="auto"/>
        </w:rPr>
      </w:pPr>
      <w:r>
        <w:rPr>
          <w:rFonts w:ascii="Times New Roman" w:cs="Times New Roman" w:eastAsia="Times New Roman" w:hAnsi="Times New Roman"/>
          <w:sz w:val="18"/>
          <w:szCs w:val="18"/>
          <w:color w:val="auto"/>
        </w:rPr>
        <w:t>pre-funded warrant is exercised in full. Under the terms of the Underwriting Agreement, the Company granted the Underwriters an option (the “Option”), exercisable for 30 days, to purchase up to an additional 4,275,000 shares of common stock (the “Additional Shares”), at the public offering price of $1.93 per share. The Underwriters partially exercised the Option to purchase 1,600,428 Additional Shares, which shares were issued and sold on October 25, 2022. The September 2022 Offering, including the initial closing on September 27, 2022 and the Option closing on October 25, 2022, resulted in aggregate gross proceeds to the Company of approximately $58.1 million.</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Warrant activity, including activity related to pre-funded warrants, is shown in the table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3"/>
                <w:szCs w:val="13"/>
                <w:color w:val="auto"/>
              </w:rPr>
            </w:pPr>
          </w:p>
        </w:tc>
        <w:tc>
          <w:tcPr>
            <w:tcW w:w="17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240" w:type="dxa"/>
            <w:vAlign w:val="bottom"/>
          </w:tcPr>
          <w:p>
            <w:pPr>
              <w:spacing w:after="0"/>
              <w:rPr>
                <w:sz w:val="12"/>
                <w:szCs w:val="12"/>
                <w:color w:val="auto"/>
              </w:rPr>
            </w:pPr>
          </w:p>
        </w:tc>
        <w:tc>
          <w:tcPr>
            <w:tcW w:w="17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87"/>
        </w:trPr>
        <w:tc>
          <w:tcPr>
            <w:tcW w:w="536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31,227,802</w:t>
            </w:r>
          </w:p>
        </w:tc>
        <w:tc>
          <w:tcPr>
            <w:tcW w:w="28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9,703,704</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40,931,506</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(3,811,297 )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(3,811,297 )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27,416,505</w:t>
            </w:r>
          </w:p>
        </w:tc>
        <w:tc>
          <w:tcPr>
            <w:tcW w:w="28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9,703,704</w:t>
            </w:r>
          </w:p>
        </w:tc>
        <w:tc>
          <w:tcPr>
            <w:tcW w:w="24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37,120,209</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-24765</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-7620</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pre-funded and common stock warrants are classified as equity in accordance with ASC 815 given that the pre-funded and common stock warrants are indexed to the Company’s own shares of common stock and meet the requirements to be classified in permanent equity.</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Awards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2012 Stock Incentive Plan (the “2012 Plan”) was adopted by the Company’s board of directors and stockholders. The 2012 Plan provides for the issuance of stock-based awards to the Company’s employees, officers, directors, consultants and advisors. The Company’s board of directors administers the 2012 Plan. In April 2019, the Company’s board of directors adopted a resolution effective May 7, 2019, that no further equity-based awards may be granted under the 2012 Plan.</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April 2019, the Company’s board of directors adopted the 2019 Stock Incentive Plan (the “2019 Plan”), which became effective on May 7, 2019. The 2019 Plan provides for the grant of incentive stock options, non-statutory stock options, stock appreciation rights, restricted stock awards, restricted stock units and other stock-based awards. The Company’s employees, officers, directors, consultants and advisors are eligible to receive awards under the 2019 Plan. The 2019 Plan is administered by the Company’s board of directors.</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total number of shares of common stock that may be issued under the 2019 Plan and the 2012 Plan was 8,977,344 as of September 30, 2024, of which 1,036,876 shares remained available for grant under the 2019 Plan. Awards may be made under the 2019 Plan for up to such number of shares of the Company’s common stock as is equal to the sum of: i) 1,578,947 shares; plus ii) the number of shares (up to 1,157,894 shares) of the Company’s common stock subject to outstanding awards under the 2012 Plan that expire, terminate or are otherwise cancelled, forfeited or repurchased by the Company at their original issuance price pursuant to a contractual repurchase right; plus iii) an annual increase to be added on the first day of each fiscal year, beginning with 2020 and continuing through 2029, equal to the least of (a) 2,105,623 shares of common stock, (b) 4% of the number of outstanding shares of the Company’s common stock on such date, and (c) an amount determined by the Company’s board of directors. Effective January 1, 2024 and January 1, 2023, the number of shares reserved for issuance under the 2019 Plan increased, pursuant to the terms of the 2019 Plan, by an additional 2,105,623 shares in each case, equal to the 2019 Plan determined maximum for each year.</w:t>
      </w:r>
    </w:p>
    <w:p>
      <w:pPr>
        <w:spacing w:after="0" w:line="80"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Options granted under the 2019 Plan and the 2012 Plan have a maximum term of ten years. Options granted to employees, officers and non-employees generally vest over four years based on varying vesting schedules that primarily include: 25% vesting on the first anniversary date of grant and the balance ratably over the next 36 months or vesting in equal monthly or quarterly installments over four years. Options granted to directors generally vest over one to two years. The Company generally settles stock option exercises with newly issued shares of common stock. As of September 30, 2024 and December 31, 2023, respectively, options to purchase 7,647,840 shares and 4,746,508 shares of common stock were granted and outstanding, net of cancellations, under the 2019 Plan. As of September 30, 2024 and December 31, 2023, respectively, options to purchase 292,628 and 565,792 shares of common stock were granted and outstanding, net of cancellations, under the 2012 Plan.</w:t>
      </w:r>
    </w:p>
    <w:p>
      <w:pPr>
        <w:spacing w:after="0" w:line="8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In February 2024, the Company granted options to purchase 832,250 shares of common stock subject to performance-based vesting (“PSOs”) to employees of the Company. The PSOs granted in February 2024 vest based on the timing and results of the Company’s clinical trials.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color w:val="auto"/>
        </w:rPr>
        <w:t>A summary of the Company’s combined stock option activity for the 2019 Plan and the 2012 Plan is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1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3"/>
                <w:szCs w:val="13"/>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2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2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87"/>
        </w:trPr>
        <w:tc>
          <w:tcPr>
            <w:tcW w:w="7720" w:type="dxa"/>
            <w:vAlign w:val="bottom"/>
          </w:tcPr>
          <w:p>
            <w:pPr>
              <w:spacing w:after="0"/>
              <w:rPr>
                <w:sz w:val="16"/>
                <w:szCs w:val="16"/>
                <w:color w:val="auto"/>
              </w:rPr>
            </w:pPr>
          </w:p>
        </w:tc>
        <w:tc>
          <w:tcPr>
            <w:tcW w:w="2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5,312,300</w:t>
            </w:r>
          </w:p>
        </w:tc>
        <w:tc>
          <w:tcPr>
            <w:tcW w:w="3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3,396,750</w:t>
            </w:r>
          </w:p>
        </w:tc>
        <w:tc>
          <w:tcPr>
            <w:tcW w:w="3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21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(457,500 )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2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(243,254 )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21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(67,828 )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7,940,468</w:t>
            </w:r>
          </w:p>
        </w:tc>
        <w:tc>
          <w:tcPr>
            <w:tcW w:w="38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as of September 30, 2024</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3,578,089</w:t>
            </w: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unvested as of September 30, 2024</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4,362,379</w:t>
            </w:r>
          </w:p>
        </w:tc>
        <w:tc>
          <w:tcPr>
            <w:tcW w:w="3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-490855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April 2019, the Company’s board of directors adopted the 2019 Employee Stock Purchase Plan (the “2019 ESPP”), which became effective on May 7, 2019. The 2019 ESPP is administered by the Company’s board of directors.</w:t>
      </w:r>
    </w:p>
    <w:p>
      <w:pPr>
        <w:spacing w:after="0" w:line="5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total number of shares of common stock that may be issued under the 2019 ESPP was 1,146,781 as of September 30, 2024, all of which remain available for issuance. The number of shares of the Company’s common stock that have been approved to be issued under the 2019 ESPP is equal to the sum of i) 155,106 shares plus ii) an annual increase to be added on the first day of each fiscal year, beginning with the fiscal year ending December 31, 2020 and continuing for each fiscal year until and including, the fiscal year ending December 31, 2029, equal to the least of (a) 526,315 shares of common stock, (b) 1% of the number of outstanding shares of the Company’s common stock on such date and (c) an amount determined by the Company’s board of directors. Effective January 1, 2023, the aggregate number of shares of the Company’s common stock that may be issued under the 2019 ESPP increased, pursuant to the terms of the 2019 ESPP, by an additional 526,315 shares, equal to the 2019 ESPP determined maximum for the year. No increase was made on January 1, 2024.</w:t>
      </w:r>
    </w:p>
    <w:p>
      <w:pPr>
        <w:spacing w:after="0" w:line="84"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classifications of stock-based compensation expenses for the 2012 Plan, the 2019 Plan and the 2019 ESPP recognized in the Condensed Consolidated Statements of Comprehensive Loss: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2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4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6"/>
              </w:rPr>
              <w:t>526</w:t>
            </w:r>
          </w:p>
        </w:tc>
        <w:tc>
          <w:tcPr>
            <w:tcW w:w="84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6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82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shd w:val="clear" w:color="auto" w:fill="CFF0FC"/>
          </w:tcPr>
          <w:p>
            <w:pPr>
              <w:spacing w:after="0"/>
              <w:rPr>
                <w:sz w:val="20"/>
                <w:szCs w:val="20"/>
                <w:color w:val="auto"/>
              </w:rPr>
            </w:pPr>
          </w:p>
        </w:tc>
      </w:tr>
      <w:tr>
        <w:trPr>
          <w:trHeight w:val="23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6"/>
              </w:rPr>
              <w:t>296</w:t>
            </w:r>
          </w:p>
        </w:tc>
        <w:tc>
          <w:tcPr>
            <w:tcW w:w="3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2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20"/>
                <w:szCs w:val="20"/>
                <w:color w:val="auto"/>
              </w:rPr>
            </w:pPr>
          </w:p>
        </w:tc>
      </w:tr>
      <w:tr>
        <w:trPr>
          <w:trHeight w:val="277"/>
        </w:trPr>
        <w:tc>
          <w:tcPr>
            <w:tcW w:w="42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6"/>
              </w:rPr>
              <w:t>822</w:t>
            </w:r>
          </w:p>
        </w:tc>
        <w:tc>
          <w:tcPr>
            <w:tcW w:w="30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28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-24765</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-7620</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35"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2024 and December 31, 2023, the Company maintained a full valuation allowance on deferred tax assets. The income tax benefit recorded during the three and nine months ended September 30, 2024 and 2023 was for the Company</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s estimates for its state research and development tax credits in each given year.</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computation of basic and diluted net loss per share attributable to common stockholders of the Company:</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(13,242 )</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(7,698 )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(36,496 )</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(21,244 )</w:t>
            </w:r>
          </w:p>
        </w:tc>
        <w:tc>
          <w:tcPr>
            <w:tcW w:w="0" w:type="dxa"/>
            <w:vAlign w:val="bottom"/>
          </w:tcPr>
          <w:p>
            <w:pPr>
              <w:spacing w:after="0"/>
              <w:rPr>
                <w:sz w:val="1"/>
                <w:szCs w:val="1"/>
                <w:color w:val="auto"/>
              </w:rPr>
            </w:pPr>
          </w:p>
        </w:tc>
      </w:tr>
      <w:tr>
        <w:trPr>
          <w:trHeight w:val="211"/>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used in net loss per share</w:t>
            </w:r>
          </w:p>
        </w:tc>
        <w:tc>
          <w:tcPr>
            <w:tcW w:w="28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101,282,228</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99,325,540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100,616,111</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98,880,882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 outstanding</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(0.13 )</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(0.08 )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(0.36 )</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(0.21 )</w:t>
            </w: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-24765</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-7620</wp:posOffset>
            </wp:positionV>
            <wp:extent cx="77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Basic shares outstanding includes the weighted average effect of the Company’s pre-funded warrants from the date of issuance, the exercise of which requires little or no consideration for the delivery of shares of common stock. As of September 30, 2024 and December 31, 2023, the Company had pre-funded warrants to purchase 27,416,505 and 31,227,802 shares of common stock outstanding, respectively, which were issued in the April 2022 Private Placement and the September 2022 Offering, which warrants are included in the weighted average common shares used in calculating the net loss per share attributable to common stockholders, basic and diluted, for the three and nine months ended September 30, 2024 and 2023, respectively.</w:t>
      </w:r>
    </w:p>
    <w:p>
      <w:pPr>
        <w:spacing w:after="0" w:line="7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Company’s potential dilutive securities, which include stock options and warrants that are not pre-funded, have been excluded from the computation of diluted net loss per share attributable to common stockholders whenever the effect of including them would be to reduce the net loss per share. In periods where there is a net loss, the weighted average number of common shares outstanding used to calculate both basic and diluted net loss per share attributable to common stockholders is the same. The following potential common shares, presented based on shares outstanding as of September 30, 2024 and 2023, respectively, were excluded from the calculation of diluted net loss per share attributable to common stockholders for the periods indicated because including them would have had an anti-dilutive effect:</w:t>
      </w:r>
    </w:p>
    <w:p>
      <w:pPr>
        <w:spacing w:after="0" w:line="5"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4"/>
          <w:szCs w:val="14"/>
          <w:b w:val="1"/>
          <w:bCs w:val="1"/>
          <w:color w:val="auto"/>
        </w:rPr>
        <w:t>Shares as of 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980" w:type="dxa"/>
            <w:vAlign w:val="bottom"/>
          </w:tcPr>
          <w:p>
            <w:pPr>
              <w:spacing w:after="0"/>
              <w:rPr>
                <w:sz w:val="14"/>
                <w:szCs w:val="14"/>
                <w:color w:val="auto"/>
              </w:rPr>
            </w:pPr>
          </w:p>
        </w:tc>
        <w:tc>
          <w:tcPr>
            <w:tcW w:w="14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400" w:type="dxa"/>
            <w:vAlign w:val="bottom"/>
            <w:tcBorders>
              <w:top w:val="single" w:sz="8" w:color="auto"/>
              <w:bottom w:val="single" w:sz="8" w:color="auto"/>
            </w:tcBorders>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9,703,704</w:t>
            </w:r>
          </w:p>
        </w:tc>
        <w:tc>
          <w:tcPr>
            <w:tcW w:w="2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9,703,704</w:t>
            </w:r>
          </w:p>
        </w:tc>
        <w:tc>
          <w:tcPr>
            <w:tcW w:w="100" w:type="dxa"/>
            <w:vAlign w:val="bottom"/>
            <w:shd w:val="clear" w:color="auto" w:fill="CFF0FC"/>
          </w:tcPr>
          <w:p>
            <w:pPr>
              <w:spacing w:after="0"/>
              <w:rPr>
                <w:sz w:val="20"/>
                <w:szCs w:val="20"/>
                <w:color w:val="auto"/>
              </w:rPr>
            </w:pPr>
          </w:p>
        </w:tc>
      </w:tr>
      <w:tr>
        <w:trPr>
          <w:trHeight w:val="23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7,940,468</w:t>
            </w:r>
          </w:p>
        </w:tc>
        <w:tc>
          <w:tcPr>
            <w:tcW w:w="340" w:type="dxa"/>
            <w:vAlign w:val="bottom"/>
          </w:tcPr>
          <w:p>
            <w:pPr>
              <w:spacing w:after="0"/>
              <w:rPr>
                <w:sz w:val="20"/>
                <w:szCs w:val="20"/>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5,315,543</w:t>
            </w:r>
          </w:p>
        </w:tc>
        <w:tc>
          <w:tcPr>
            <w:tcW w:w="100" w:type="dxa"/>
            <w:vAlign w:val="bottom"/>
          </w:tcPr>
          <w:p>
            <w:pPr>
              <w:spacing w:after="0"/>
              <w:rPr>
                <w:sz w:val="20"/>
                <w:szCs w:val="20"/>
                <w:color w:val="auto"/>
              </w:rPr>
            </w:pPr>
          </w:p>
        </w:tc>
      </w:tr>
      <w:tr>
        <w:trPr>
          <w:trHeight w:val="277"/>
        </w:trPr>
        <w:tc>
          <w:tcPr>
            <w:tcW w:w="59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potential common shares</w:t>
            </w:r>
          </w:p>
        </w:tc>
        <w:tc>
          <w:tcPr>
            <w:tcW w:w="1460" w:type="dxa"/>
            <w:vAlign w:val="bottom"/>
            <w:tcBorders>
              <w:bottom w:val="single" w:sz="8" w:color="auto"/>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17,644,172</w:t>
            </w:r>
          </w:p>
        </w:tc>
        <w:tc>
          <w:tcPr>
            <w:tcW w:w="340" w:type="dxa"/>
            <w:vAlign w:val="bottom"/>
            <w:tcBorders>
              <w:bottom w:val="single" w:sz="8" w:color="CFF0FC"/>
            </w:tcBorders>
            <w:shd w:val="clear" w:color="auto" w:fill="CFF0FC"/>
          </w:tcPr>
          <w:p>
            <w:pPr>
              <w:spacing w:after="0"/>
              <w:rPr>
                <w:sz w:val="24"/>
                <w:szCs w:val="24"/>
                <w:color w:val="auto"/>
              </w:rPr>
            </w:pPr>
          </w:p>
        </w:tc>
        <w:tc>
          <w:tcPr>
            <w:tcW w:w="2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15,019,247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-8255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9"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Collaborative and Licensing Agreements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enters into collaborative and licensing agreements with pharmaceutical companies to in-license, develop, manufacture and/or market products that fit within its business strategy.</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Endo Pharmaceuticals Inc.</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May 2011, the Company entered into an agreement with Penwest Pharmaceuticals Co., which subsequently merged into its parent, Endo Pharmaceuticals Inc. (“Endo”), for an exclusive worldwide sublicensable license under certain patent rights and know-how controlled by Endo to develop and commercialize products incorporating nalbuphine hydrochloride in any formulation, including an extended-release formulation such as Haduvio, in all fields and for any use.</w:t>
      </w:r>
    </w:p>
    <w:p>
      <w:pPr>
        <w:spacing w:after="0" w:line="72"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Under the license agreement, the Company paid Endo a non-creditable, non-refundable upfront license fee. The Company may also become obligated to make milestone payments to Endo of $0.3 million, which would become due upon the successful completion of the first Phase 3 clinical trial of a licensed product candidate, and $0.8 million, which would become due upon the marketing approval of a licensed product in the U.S., and to pay royalties based on net sales of the licensed products by the Company, its affiliates and sublicensees. In addition, the Company is obligated to pay Endo a low-to-mid double-digit percentage of certain income it receives from sublicensees, based on the date of the definitive agreement under which the sublicense was granted.</w:t>
      </w:r>
    </w:p>
    <w:p>
      <w:pPr>
        <w:spacing w:after="0" w:line="7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Company’s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the Company is thereafter obligated to pay a low single-digit know-how and trademark royalty.</w:t>
      </w:r>
    </w:p>
    <w:p>
      <w:pPr>
        <w:spacing w:after="0" w:line="7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Under the agreement, the Company has granted Endo a non-exclusive, royalty-free (except for pass-through payments to third parties), sublicensable license under its relevant patent rights to use any improvement the Company makes to Endo’s controlled release technology for any product other than the products under which it is licensed by Endo.</w:t>
      </w:r>
    </w:p>
    <w:p>
      <w:pPr>
        <w:spacing w:after="0" w:line="68"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Both the Company and Endo have the right to terminate the agreement if the other party materially breaches the agreement and fails to cure the breach within specified cure periods. Endo also has the right to terminate in the event the Company undergoes specified bankruptcy, insolvency or liquidation events. The Company has the right to terminate the agreement at its convenience at any time on 180 days’ notice to Endo. Additionally, if the Company or any of the Company’s sublicensees challenge the validity 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ind w:right="240"/>
        <w:spacing w:after="0" w:line="282" w:lineRule="auto"/>
        <w:rPr>
          <w:sz w:val="20"/>
          <w:szCs w:val="20"/>
          <w:color w:val="auto"/>
        </w:rPr>
      </w:pPr>
      <w:r>
        <w:rPr>
          <w:rFonts w:ascii="Times New Roman" w:cs="Times New Roman" w:eastAsia="Times New Roman" w:hAnsi="Times New Roman"/>
          <w:sz w:val="18"/>
          <w:szCs w:val="18"/>
          <w:color w:val="auto"/>
        </w:rPr>
        <w:t>enforceability of any licensed patent rights covering a licensed product and that challenge is not terminated within a specified period, the agreement will immediately terminate and all licenses granted under the agreement shall be revoked.</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Upon termination of the agreement, the Company must transfer to Endo all regulatory filings and approvals relating to the development, manufacture or commercialization of the licensed products and all trademarks, other than the Company’s corporate trademarks, then being used in connection with the licensed products. If the agreement is terminated under certain specified circumstances, the Company will be deemed to have granted Endo a perpetual, royalty-free (except for pass-through payments to third parties), worldwide, exclusive, sublicensable license under any improvements the Company made to the licensed know-how and any related patent rights the Company has to manufacture and commercialize the licensed products.</w:t>
      </w:r>
    </w:p>
    <w:p>
      <w:pPr>
        <w:spacing w:after="0" w:line="71"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A significant portion of the Company’s development activities are outsourced to third parties under agreements, including with CROs and contract manufacturers in connection with the production of clinical trial materials. These arrangements may require the Company to pay termination costs to the third parties for reimbursement of costs and expenses incurred in the event of the orderly termination of contractual services.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also has commitments under lease and licensing agreements (Note 5 and Note 11).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audited consolidated financial statements and related notes for the year ended December 31, 2023 included in our Annual Report on Form 10-K, filed with the Securities and Exchange Commission, or SEC, on March 20, 2024. Some of the statements contained in this discussion and analysis or set forth elsewhere in this Quarterly Report on Form 10-Q, including information with respect to our plans and strategy for our business, constitute forward-looking statements within the meaning of Section 27A of the Securities Act of 1933, as amended, or the Securities Act, and Section 21E of the Securities Exchange Act of 1934, as amended. The words “anticipate,” “believe,” “continue,” “could,” “estimate,” “expect,” “intend,” “may,” “might,” “plan,” “potential,” “predict,” “project,” “should,” “target,” “would,” and similar expressions are intended to identify forward-looking statements, although not all forward-looking statements contain these identifying words. We have based these forward-looking statements on our current expectations and projections about future events. The following information and any forward-looking statements should be considered in light of factors discussed elsewhere in this Quarterly Report on Form 10-Q, particularly including those risks identified in Part II-Item 1A “Risk Factors” and our other filings with the SEC.</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Our actual results and the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Statements made herein are as of the date of the filing of this Quarterly Report on Form 10-Q with the SEC and should not be relied upon as of any subsequent date.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80" w:lineRule="exact"/>
        <w:rPr>
          <w:sz w:val="20"/>
          <w:szCs w:val="20"/>
          <w:color w:val="auto"/>
        </w:rPr>
      </w:pPr>
    </w:p>
    <w:p>
      <w:pPr>
        <w:ind w:right="460" w:firstLine="509"/>
        <w:spacing w:after="0" w:line="376" w:lineRule="auto"/>
        <w:rPr>
          <w:sz w:val="20"/>
          <w:szCs w:val="20"/>
          <w:color w:val="auto"/>
        </w:rPr>
      </w:pPr>
      <w:r>
        <w:rPr>
          <w:rFonts w:ascii="Times New Roman" w:cs="Times New Roman" w:eastAsia="Times New Roman" w:hAnsi="Times New Roman"/>
          <w:sz w:val="18"/>
          <w:szCs w:val="18"/>
          <w:i w:val="1"/>
          <w:iCs w:val="1"/>
          <w:color w:val="auto"/>
        </w:rPr>
        <w:t xml:space="preserve">We caution readers not to place undue reliance on any forward-looking statements made by us, which speak only as of the date they are made. </w:t>
      </w:r>
      <w:r>
        <w:rPr>
          <w:rFonts w:ascii="Times New Roman" w:cs="Times New Roman" w:eastAsia="Times New Roman" w:hAnsi="Times New Roman"/>
          <w:sz w:val="18"/>
          <w:szCs w:val="18"/>
          <w:b w:val="1"/>
          <w:bCs w:val="1"/>
          <w:color w:val="auto"/>
        </w:rPr>
        <w:t>Overview</w:t>
      </w:r>
    </w:p>
    <w:p>
      <w:pPr>
        <w:spacing w:after="0" w:line="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the investigational therapy Haduvio (oral nalbuphine ER) for the treatment of chronic cough in idiopathic pulmonary fibrosis, or IPF, and refractory chronic cough, or RCC. Haduvio is an oral extended-release formulation of nalbuphine. Haduvio acts on the cough reflex arc both centrally and peripherally as a kappa agonist and a mu antagonist (KAMA). Kappa and mu are opioid receptors that play a key role in controlling cough hypersensitivity. Nalbuphine is a mixed kappa-opioid receptor agonist and mu-opioid receptor antagonist that has been approved and marketed as an injectable for pain indications for more than 30 years in the United States, or the U.S., and Europe. Nalbuphine’s mechanism of action also mitigates the risk of abuse associated with mu-opioid agonists because it antagonizes, or blocks, the mu-opioid receptor. Parenteral nalbuphine is not scheduled as a controlled substance in the U.S. and most of Europe.</w:t>
      </w:r>
    </w:p>
    <w:p>
      <w:pPr>
        <w:spacing w:after="0" w:line="79"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IPF Program. </w:t>
      </w:r>
      <w:r>
        <w:rPr>
          <w:rFonts w:ascii="Times New Roman" w:cs="Times New Roman" w:eastAsia="Times New Roman" w:hAnsi="Times New Roman"/>
          <w:sz w:val="18"/>
          <w:szCs w:val="18"/>
          <w:color w:val="auto"/>
        </w:rPr>
        <w:t>In September 2022, we announced positive data from the full set of patients in our Phase 2 clinical trial of Haduvio for the treatment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chronic cough in IPF, which we refer to as the Phase 2 CANAL trial. The Phase 2 CANAL trial was a randomized, double-blind, placebo controlled, two-treatment, two-period, crossover study that was designed to evaluate the efficacy, safety, tolerability and dosing of Haduvio for chronic cough in IPF that we conducted at multiple sites in the United Kingdom. In total, 42 patients in the study received Haduvio. In the Phase 2 CANAL trial, Haduvio demonstrated statistically significant results for the primary efficacy endpoint of daytime cough frequency reduction (p&lt;0.0001) and for key secondary endpoints on patient and clinician</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4" w:name="page25"/>
    <w:bookmarkEnd w:id="24"/>
    <w:p>
      <w:pPr>
        <w:ind w:right="240"/>
        <w:spacing w:after="0" w:line="282" w:lineRule="auto"/>
        <w:rPr>
          <w:sz w:val="20"/>
          <w:szCs w:val="20"/>
          <w:color w:val="auto"/>
        </w:rPr>
      </w:pPr>
      <w:r>
        <w:rPr>
          <w:rFonts w:ascii="Times New Roman" w:cs="Times New Roman" w:eastAsia="Times New Roman" w:hAnsi="Times New Roman"/>
          <w:sz w:val="18"/>
          <w:szCs w:val="18"/>
          <w:color w:val="auto"/>
        </w:rPr>
        <w:t>reported outcomes. The safety results of the trial were generally consistent with the known safety profile of Haduvio from previous trials in other patient populations.</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conducting our Phase 2b CORAL clinical trial, which is a dose-ranging study evaluating the efficacy, safety and tolerability of Haduvio for chronic cough in IPF. This trial is being conducted at multiple sites in ten countries and uses a randomized, double-blind, placebo-controlled, parallel-arm design, which evaluates three doses of Haduvio over six weeks as compared to placebo. The primary efficacy endpoint for the trial is the relative change in 24-hour cough frequency at the end of week six versus baseline for Haduvio compared to placebo, as measured via an objective cough monitor. We expect the trial to enroll approximately 160 patients. The protocol for the Phase 2b CORAL clinical trial provides for a sample size re-estimation, or SSRE, analysis once approximately 50% of the patients in the trial are evaluable for the primary endpoint. In October 2024, we reached 50% of the targeted study enrollment. As a result, we expect the SSRE analysis will be performed once the last of these patients completes the six weeks of treatment and is evaluable for the primary endpoint. The outcome of the SSRE analysis is expected in December 2024 and is expected to result in the recommendation to: maintain the current targeted sample size of 160 patients, upsize the targeted sample size within a pre-specified range, or evaluate for futility. Assuming no adjustments are made to the sample size, we expect to report topline results in the first half of 2025.</w:t>
      </w:r>
    </w:p>
    <w:p>
      <w:pPr>
        <w:spacing w:after="0" w:line="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also conducting a Phase 1b respiratory physiology study, which we refer to as TIDAL, in the United Kingdom and U.S. and we have initiated screening. The study will evaluate the effect of Haduvio on respiratory physiology in patients with IPF of varying disease severity. TIDAL is a randomized, single-blind, placebo-controlled study. We expect to enroll up to approximately 25 patients who will be in-patient for ten days. The primary endpoint of the study is the effect of escalating doses of Haduvio on respiratory function, as measured by minute ventilation. Secondary endpoints of additional respiratory functions will also be measured. The goal of this study is to define the patient population for any Phase 3 studies that we may conduct in chronic cough in IPF.</w:t>
      </w:r>
    </w:p>
    <w:p>
      <w:pPr>
        <w:spacing w:after="0" w:line="77" w:lineRule="exact"/>
        <w:rPr>
          <w:sz w:val="20"/>
          <w:szCs w:val="20"/>
          <w:color w:val="auto"/>
        </w:rPr>
      </w:pPr>
    </w:p>
    <w:p>
      <w:pPr>
        <w:ind w:right="40" w:firstLine="50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RCC Program. </w:t>
      </w:r>
      <w:r>
        <w:rPr>
          <w:rFonts w:ascii="Times New Roman" w:cs="Times New Roman" w:eastAsia="Times New Roman" w:hAnsi="Times New Roman"/>
          <w:sz w:val="17"/>
          <w:szCs w:val="17"/>
          <w:color w:val="auto"/>
        </w:rPr>
        <w:t>We are also developing Haduvio for the treatment of RCC. We are conducting a Phase 2a clinical trial of Haduvio for RCC,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refer to as the Phase 2a RIVER trial. The Phase 2a RIVER trial is a randomized, double-blind, placebo-controlled, two-treatment, two-period, crossover study that is designed to evaluate the efficacy, safety, tolerability and dosing of Haduvio for the treatment of RCC. We are conducting this trial at multiple sites in the United Kingdom and Canada. The primary endpoint of the trial is a mean change in 24-hour cough frequency in the overall population as determined using an objective cough monitor. Based on the screening results, the trial enrolled patients into one of two subgroups: 10-19 coughs/hour (moderate 24-hour cough frequency) and ≥20 coughs/hour (high 24-hour cough frequency). The trial will explore secondary endpoints, including patient reported outcome measures for cough frequency and severity. The trial was designed to enroll approximately 60 adult patients. In October 2024, we announced that we had completed enrollment of this trial. We expect to report topline efficacy and safety data in the first quarter of 2025.</w:t>
      </w:r>
    </w:p>
    <w:p>
      <w:pPr>
        <w:spacing w:after="0" w:line="6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Human Abuse Potential. </w:t>
      </w:r>
      <w:r>
        <w:rPr>
          <w:rFonts w:ascii="Times New Roman" w:cs="Times New Roman" w:eastAsia="Times New Roman" w:hAnsi="Times New Roman"/>
          <w:sz w:val="18"/>
          <w:szCs w:val="18"/>
          <w:color w:val="auto"/>
        </w:rPr>
        <w:t>We are conducting a human abuse potential, or HAP, study to compare the abuse potential of oral nalbuphine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intravenous, or IV, butorphanol. The parenteral version of nalbuphine is currently unscheduled in the U.S. by the Drug Enforcement Agency. The study is a randomized, double-blind, active and placebo-controlled five-way crossover study. The study is being conducted in two parts. The first part of the study characterized various IV butorphanol doses in order to select a dose to be studied and has been completed. The U.S. Food and Drug Administration, or FDA, requested that we submit the data from the first part of the study in support of our IV butorphanol dose selection for review and comment prior to commencing the second part of the study. We submitted the data to the FDA and the FDA agreed to the selected dose of IV butorphanol. In the second part of the study, we are comparing the likeability of oral nalbuphine with the selected dose of IV butorphanol using various drug-liking scales, including the primary endpoint, which measures the peak effect for drug liking assessed using a visual analog scale. We are also evaluating safety and physiological measures, pharmacokinetic data, and abuse-related adverse events. The second part of the study is fully enrolled and dosing is complete. We expect to report topline data from the study in December 2024.</w:t>
      </w:r>
    </w:p>
    <w:p>
      <w:pPr>
        <w:spacing w:after="0" w:line="77"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Prurigo Nodularis Program</w:t>
      </w:r>
      <w:r>
        <w:rPr>
          <w:rFonts w:ascii="Times New Roman" w:cs="Times New Roman" w:eastAsia="Times New Roman" w:hAnsi="Times New Roman"/>
          <w:sz w:val="18"/>
          <w:szCs w:val="18"/>
          <w:color w:val="auto"/>
        </w:rPr>
        <w:t>. We also have a development program for the use of Haduvio for the treatment of prurigo nodularis. In June 2022,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reported positive results in our Phase 2b/3 clinical trial of Haduvio in patients with prurigo nodularis, which we refer to as the Phase 2b/3 PRISM trial. The Phase 2b/3 PRISM trial was a randomized, double-blind, placebo controlled, two-arm treatment study that was designed to evaluate the safety and efficacy of Haduvio in patients with prurigo nodularis in the U.S. and Europe. In total we enrolled 353 patients in the study. In the Phase 2b/3 PRISM trial, Haduvio demonstrated statistically significant results on the primary and all three key secondary endpoints. The safety results of the trial were generally consistent with the known safety profile of Haduvio from previous trials in other patient populations.</w:t>
      </w:r>
    </w:p>
    <w:p>
      <w:pPr>
        <w:spacing w:after="0" w:line="7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October 2023, we reported the preliminary analysis of the 52-week data from the open-label extension portion of the Phase 2b/3 PRISM trial. Following the completion of the initial 14-week portion of the trial, patients were eligible to enroll into an additional 38-week open-label extension period during which all participants received Haduvio 162mg twice a day (BID). Post hoc analyses demonstrated continued reduction in mean Worst Itch Numerical Rating Scale for those participants who remained on Haduvio through 52 weeks. 151 patients completed the open-label extension portion of the trial, adding to the safety database for Haduvio. The safety data were generally consistent with the safety profile of Haduvio observed in the 14-week portion of the Phase 2b/3 PRISM trial and previous trials of Haduvio. Adverse events reported with a frequency greater than five percent in the 38-week open-label period included nausea, dizziness, vomiting, fatigue, and somnolence. Study discontinuation due to treatment-related adverse events occurred in 13% of patients during the 38-week open-label period, and serious adverse events were reported for 13 patients, although only two of these events were considered potentially treatment related.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expect that we will need to conduct an additional Phase 3 clinical trial to support the submission of a new drug application to the FDA, a marketing authorization application, or MAA, to the European Medicines Agency and an MAA to the Medicines and Healthcare Products Regulatory Agency in the United Kingdom for Haduvio for the treatment of prurigo nodularis. Following discussions with the FDA and other regulatory authorities, we plan to determine next steps with respect to our prurigo nodularis program, including with respect to the conduct of any future Phase 3 clinical trial. We do not intend to complete the development of Haduvio for this indication ourselves, and may seek to enter into a strategic collaboration for the continued development of this program.</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Since commencing operations in 2011, we have devoted substantially all of our efforts and financial resources to the clinical development of Haduvio. We have not generated any revenue from product sales and, as a result, we have never been profitable and have incurred net losses in each year since commencement of our operations. As of September 30, 2024, we had an accumulated deficit of $275.6 million, primarily as a result of research and development and general and administrative expenses. We do not expect to generate product revenue unless and until we obtain marketing approval for and commercialize Haduvio for the treatment of chronic cough in IPF and RCC or for the treatment of prurigo nodularis and we can provide no assurance that we will ever generate significant revenue or profits.</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May 2019, we issued and sold 5,500,000 shares of common stock in our initial public offering, or the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 Upon the closing of the IPO, our preferred stock then outstanding converted into an aggregate of 10,381,234 shares of common stock.</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June 2020, we entered into a sales agreement with SVB Securities LLC (formerly SVB Leerink LLC), or SVB Securities, which we refer to as the ATM Sales Agreement, under which we were able to issue and sell shares of common stock, from time to time, having an aggregate offering price of up to $12.0 million. In May 2022, we and SVB Securities amended the ATM Sales Agreement to increase the maximum aggregate offering price of common stock that we were able to issue and sell from time to time under the ATM Sales Agreement by $50.0 million, from $12.0 million to up to $62.0 million. Sales of common stock under the ATM Sales Agreement were able to be made by any method that was deemed an “at-the-market” offering as defined in Rule 415(a)(4) under the Securities Act. We were not obligated to make any sales of our common stock under the ATM Sales Agreement. We began making sales pursuant to the ATM Sales Agreement in July 2020, and as of August 15, 2023, the date of termination of the ATM Sales Agreement, we had issued and sold an aggregate of 4,333,394 shares of common stock for gross proceeds of $12.7 million pursuant to the ATM Sales Agreement, before deducting estimated commissions and allocated fees of $1.0 million.</w:t>
      </w:r>
    </w:p>
    <w:p>
      <w:pPr>
        <w:spacing w:after="0" w:line="80"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In June 2023, we filed with the SEC a universal shelf registration statement on Form S-3, or the Shelf Registration Statement, which allows us to offer and sell up to $200.0 million of common stock, preferred stock, debt securities, units and/or warrants from time to time pursuant to one or more offerings at prices and terms to be determined at the time of sale. The Shelf Registration Statement was filed to replace our prior universal shelf registration statement on Form S-3 and was declared effective on August 15, 2023. Further, in June 2023, we entered into a new sales agreement with Leerink Partners, LLC (formerly SVB Securities), or Leerink Partners, which we refer to as the 2023 ATM Sales Agreement, under which we may issue and sell shares of common stock, from time to time by any method that is deemed an “at-the-market” offering as defined in Rule 415(a)(4) under the Securities Act. We are not obligated to make any sales of our common stock under the 2023 ATM Sales Agreement. We filed a prospectus under the Shelf Registration Statement for the offer and sale of shares of our common stock having an aggregate offering price of up to $75.0 million pursuant to the 2023 ATM Sales Agreement. In accordance with the terms of the 2023 ATM Sales Agreement, the ATM Sales Agreement terminated upon effectiveness of the Shelf Registration Statement, at which point we were no longer able to issue and sell shares of our common stock under the ATM Sales Agreement. As of September 30, 2024, we had issued and sold 3,086,729 shares of common stock for gross proceeds of $10.0 million, before deducting estimated commissions and allocated fees of $0.3 million under the 2023 ATM Sales Agreement. Subsequent to September 30, 2024, and through October 31, 2024, we issued and sold 1,411,336 shares of common stock for gross proceeds of $4.6 million, before deducting estimated commissions and allocated fees of $0.1 million under the 2023 ATM Sales Agreement.</w:t>
      </w:r>
    </w:p>
    <w:p>
      <w:pPr>
        <w:spacing w:after="0" w:line="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October 5, 2021 and October 18, 2021, we issued and sold in two private placements, or the October 2021 Private Placements, in the aggregate</w:t>
      </w:r>
    </w:p>
    <w:p>
      <w:pPr>
        <w:spacing w:after="0" w:line="27" w:lineRule="exact"/>
        <w:rPr>
          <w:sz w:val="20"/>
          <w:szCs w:val="20"/>
          <w:color w:val="auto"/>
        </w:rPr>
      </w:pPr>
    </w:p>
    <w:p>
      <w:pPr>
        <w:ind w:right="20" w:firstLine="8"/>
        <w:spacing w:after="0" w:line="251" w:lineRule="auto"/>
        <w:tabs>
          <w:tab w:leader="none" w:pos="2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4,225,053 shares of our common stock and accompanying warrants to purchase an aggregate of 8,450,106 shares of our common stock, and (ii) pre-funded warrants to purchase up to an aggregate of 4,926,069 shares of our common stock and accompanying warrants to purchase an aggregate of 9,852,138 shares of our common stock. Each share of our common stock and accompanying common stock warrants were sold together at a combined price of $1.62, and each pre-funded warrant and accompanying common stock warrants were sold together at a combined price of $1.619, for gross proceeds of approximately $14.8 million. Each pre-funded warrant had an exercise price of $0.001 per share, became exercisable immediately upon issuance and continued to be exercisable until exercised in full. The accompanying common stock warrants have an exercise price of $1.37 per share and became exercisable immediately upon issuance. Of the accompanying common stock warrants, warrants to purchase an aggregate of 7,299,270 shares had an expiration date of April 5, 2025, warrants to purchase an aggregate of 1,851,852 shares had an expiration date of April 18, 2025, warrants to purchase an aggregate of 7,299,270 shares had an expiration date of October 5, 2028, and warrants to purchase an aggregate of 1,851,852 shares had an expiration date of October 18, 2028. As of October 31, 2024, all of the pre-funded warrants have been exercised, all of the accompanying common stock warrants expiring on April 5, 2025 have been exercised, and accompanying common stock warrants to purchase 1,299,270 shares expiring on October 5, 2028 have been exercised. Warrants to purchase 1,851,852 shares of common stock that are to expire on April 18, 2025, warrants to purchase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ind w:right="160"/>
        <w:spacing w:after="0" w:line="282" w:lineRule="auto"/>
        <w:rPr>
          <w:sz w:val="20"/>
          <w:szCs w:val="20"/>
          <w:color w:val="auto"/>
        </w:rPr>
      </w:pPr>
      <w:r>
        <w:rPr>
          <w:rFonts w:ascii="Times New Roman" w:cs="Times New Roman" w:eastAsia="Times New Roman" w:hAnsi="Times New Roman"/>
          <w:sz w:val="18"/>
          <w:szCs w:val="18"/>
          <w:color w:val="auto"/>
        </w:rPr>
        <w:t>6,000,000 shares of common stock that are to expire on October 5, 2028 and warrants to purchase 1,851,852 shares of common stock that are to expire on October 18, 2028 remained outstanding.</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April 11, 2022, we issued and sold in a private placement, or the April 2022 Private Placement, (i) an aggregate of 4,580,526 shares of our common stock, and (ii) pre-funded warrants to purchase up to an aggregate of 24,379,673 shares of our common stock. Each share of our common stock was sold at a price of $1.90, and each pre-funded warrant was sold at a price of $1.899 per warrant share, for gross proceeds of approximately $55.0 million. Each pre-funded warrant has an exercise price of $0.001 per share, became exercisable immediately upon issuance and will be exercisable until the pre-funded warrant is exercised in full. As of October 31, 2024 pre-funded warrants to purchase 14,145,522 shares of common stock that we issued and sold in the April 2022 Private Placement remained outstanding.</w:t>
      </w:r>
    </w:p>
    <w:p>
      <w:pPr>
        <w:spacing w:after="0" w:line="7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On September 27, 2022, we issued and sold 14,252,670 shares of our common stock and, in lieu of common stock to certain investors, pre-funded warrants to purchase 14,247,330 shares of common stock in a public offering, or the September 2022 Offering, at a public offering price of $1.93 per share of common stock and $1.929 per pre-funded warrant pursuant to an underwriting agreement, or the Underwriting Agreement, with SVB Securities, Stifel, Nicolaus &amp; Company, Incorporated and Oppenheimer &amp; Co. Inc., as representatives of the several underwriters, or the Underwriters. Each pre-funded warrant has an exercise price of $0.001 per share, became exercisable immediately upon issuance and will be exercisable until the pre-funded warrant is exercised in full. Under the terms of the Underwriting Agreement, we granted the Underwriters an option, or the Option, exercisable for 30 days, to purchase up to an additional 4,275,000 shares of common stock, or the Additional Shares, at the public offering price of $1.93 per share. The Underwriters partially exercised the Option to purchase 1,600,428 Additional Shares, which shares were issued and sold on October 25, 2022. The September 2022 Offering, including the initial closing on September 27, 2022 and the Option closing on October 25, 2022, resulted in aggregate gross proceeds to us of approximately $58.1 million. As of October 31, 2024, pre-funded warrants to purchase 13,270,983 shares of common stock that we issued and sold in the September 2022 Offering remained outstanding.</w:t>
      </w:r>
    </w:p>
    <w:p>
      <w:pPr>
        <w:spacing w:after="0" w:line="8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On May 9, 2023, we paid the remaining amount due under the loan and security agreement, or the SVB Loan Agreement, that we originally entered into with Silicon Valley Bank, or SVB, in August 2020, resulting in the full extinguishment of the term loan thereunder, or the SVB Term Loan. The total payoff amount was $6.5 million, consisting of the remaining principal amount due of $5.2 million, the final payment fee of $1.2 million, and $0.1 million of accrued interest and prepayment premium. For further discussion of the SVB Term Loan, see “—Liquidity and Capital Resources.”</w:t>
      </w:r>
    </w:p>
    <w:p>
      <w:pPr>
        <w:spacing w:after="0" w:line="72"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2024, we had cash, cash equivalents and marketable securities of $65.5 million. We believe that our existing cash, cash equivalents and marketable securities will enable us to fund our operating expenses and capital expenditure requirements for at least 12 months from the date of issuance of the Condensed Consolidated Financial Statements included in this Quarterly Report on Form 10-Q.</w:t>
      </w:r>
    </w:p>
    <w:p>
      <w:pPr>
        <w:spacing w:after="0" w:line="68"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 the trials we are conducting and plan to conduct for Haduvio including our Phase 2b CORAL clinical trial for the treatment of chronic cough in IPF, our Phase 2a RIVER clinical trial of Haduvio for the treatment of RCC, our Phase 1b TIDAL respiratory physiology study in patients with IPF of varying disease severity and our HAP study to compare the abuse potential of oral nalbuphine to IV butorphanol.</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will need substantial additional funding to support our continuing operations and pursue our growth strategy. Until such time as we can generate significant revenue from sales of Haduvio,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Haduvio for one or more indications or delay our efforts to expand our product pipeline.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For the periods presented, all of our research and development expenses consist of expenses incurred in connection with the development of Haduvio. These expenses include personnel-related costs, including stock-based compensation, consulting costs, contract manufacturing costs and fees paid to contract research organizations, or CROs, to conduct certain research and development activities on our behalf. We do not allocate all of our costs by each indication for which we are developing Haduvio, as a significant amount of our development activities broadly support all indications. In addition, several of our departments support our Haduvio drug candidate development program and we do not identify internal costs for each potential indication.</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as we pursue our development program, pursue regulatory approval of Haduvio in the U.S., Europe and other jurisdictions outside the U.S. and prepare for a possible commercial launch of Haduvio. Predicting the timing or the cost to conduct our Haduvio development program and prepare for a possible commercial launch of Haduvio is difficult and delays may occur because of many factors including factors outside of our control. For example, if the FDA or other regulatory authorities were to require us to conduct clinical trials beyond those that we currently anticipate or if we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ind w:right="80"/>
        <w:spacing w:after="0" w:line="266" w:lineRule="auto"/>
        <w:rPr>
          <w:sz w:val="20"/>
          <w:szCs w:val="20"/>
          <w:color w:val="auto"/>
        </w:rPr>
      </w:pPr>
      <w:r>
        <w:rPr>
          <w:rFonts w:ascii="Times New Roman" w:cs="Times New Roman" w:eastAsia="Times New Roman" w:hAnsi="Times New Roman"/>
          <w:sz w:val="18"/>
          <w:szCs w:val="18"/>
          <w:color w:val="auto"/>
        </w:rPr>
        <w:t>experience significant delays in enrollment in any of our clinical trials, we could be required to expend significant additional financial resources and time on our development program. Furthermore, we are unable to predict when or if Haduvio will receive regulatory approval in the U.S. or elsewhere with any certainty.</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personnel-related costs, including stock-based compensation for personnel in executive, finance, commercial and other administrative functions; professional fees for legal, consulting and accounting services; as well as rent and other general operating expenses not otherwise classified as research and development expenses.</w:t>
      </w:r>
    </w:p>
    <w:p>
      <w:pPr>
        <w:spacing w:after="0" w:line="68" w:lineRule="exact"/>
        <w:rPr>
          <w:sz w:val="20"/>
          <w:szCs w:val="20"/>
          <w:color w:val="auto"/>
        </w:rPr>
      </w:pPr>
    </w:p>
    <w:p>
      <w:pPr>
        <w:ind w:right="1040" w:firstLine="509"/>
        <w:spacing w:after="0" w:line="282"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as a result of increased personnel costs, including stock-based compensation and expanded infrastructure.</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19" w:lineRule="exact"/>
        <w:rPr>
          <w:sz w:val="20"/>
          <w:szCs w:val="20"/>
          <w:color w:val="auto"/>
        </w:rPr>
      </w:pPr>
    </w:p>
    <w:p>
      <w:pPr>
        <w:ind w:right="1020" w:firstLine="509"/>
        <w:spacing w:after="0" w:line="282" w:lineRule="auto"/>
        <w:rPr>
          <w:sz w:val="20"/>
          <w:szCs w:val="20"/>
          <w:color w:val="auto"/>
        </w:rPr>
      </w:pPr>
      <w:r>
        <w:rPr>
          <w:rFonts w:ascii="Times New Roman" w:cs="Times New Roman" w:eastAsia="Times New Roman" w:hAnsi="Times New Roman"/>
          <w:sz w:val="18"/>
          <w:szCs w:val="18"/>
          <w:color w:val="auto"/>
        </w:rPr>
        <w:t>Interest income, net consists of interest earned primarily on our cash, cash equivalents and marketable securities as well as accretion of discounts/amortization of premiums on purchases of marketable securities.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Other income, net consists of foreign currency transaction gains and losses as well as employee retention tax credit under the Coronavirus Aid, Relief, and Economic Security Act, or the CARES Act as well as an immaterial effect from the early extinguishment of debt in connection with us paying the remaining amounts due under the SVB Loan Agreement..</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Interest expense consists of the interest expense associated with our finance lease. In 2023, interest expense also included interest under the SVB Loan Agreement pursuant to which we borrowed $14.0 million under the SVB Term Loan. In connection with the SVB Term Loan, we recognized interest expense which included amortization of deferred financing charges, accretion of loan discount-financing costs, accrual of the final payment fee, amortization of the term loan discount-interest and the stated interest on the SVB Term Loan.</w:t>
      </w:r>
    </w:p>
    <w:p>
      <w:pPr>
        <w:spacing w:after="0" w:line="7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On May 9, 2023, we paid the remaining amount due under the SVB Loan Agreement, resulting in the full extinguishment of the SVB Term Loan. The total payoff amount was $6.5 million, consisting of the remaining principal amount due of $5.2 million, the final payment fee of $1.2 million, and $0.1 million of accrued interest and prepayment premium.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8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11,224</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14,087</w:t>
            </w:r>
          </w:p>
        </w:tc>
        <w:tc>
          <w:tcPr>
            <w:tcW w:w="3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9,045</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(14,087 )</w:t>
            </w:r>
          </w:p>
        </w:tc>
        <w:tc>
          <w:tcPr>
            <w:tcW w:w="38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(9,045 )</w:t>
            </w:r>
          </w:p>
        </w:tc>
        <w:tc>
          <w:tcPr>
            <w:tcW w:w="34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(5,042 )</w:t>
            </w:r>
          </w:p>
        </w:tc>
        <w:tc>
          <w:tcPr>
            <w:tcW w:w="0" w:type="dxa"/>
            <w:vAlign w:val="bottom"/>
          </w:tcPr>
          <w:p>
            <w:pPr>
              <w:spacing w:after="0"/>
              <w:rPr>
                <w:sz w:val="1"/>
                <w:szCs w:val="1"/>
                <w:color w:val="auto"/>
              </w:rPr>
            </w:pPr>
          </w:p>
        </w:tc>
      </w:tr>
      <w:tr>
        <w:trPr>
          <w:trHeight w:val="247"/>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8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1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(357 )</w:t>
            </w:r>
          </w:p>
        </w:tc>
        <w:tc>
          <w:tcPr>
            <w:tcW w:w="0" w:type="dxa"/>
            <w:vAlign w:val="bottom"/>
          </w:tcPr>
          <w:p>
            <w:pPr>
              <w:spacing w:after="0"/>
              <w:rPr>
                <w:sz w:val="1"/>
                <w:szCs w:val="1"/>
                <w:color w:val="auto"/>
              </w:rPr>
            </w:pPr>
          </w:p>
        </w:tc>
      </w:tr>
      <w:tr>
        <w:trPr>
          <w:trHeight w:val="247"/>
        </w:trPr>
        <w:tc>
          <w:tcPr>
            <w:tcW w:w="3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(11 )</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39"/>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(1 )</w:t>
            </w:r>
          </w:p>
        </w:tc>
        <w:tc>
          <w:tcPr>
            <w:tcW w:w="38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(3 )</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18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(520 )</w:t>
            </w:r>
          </w:p>
        </w:tc>
        <w:tc>
          <w:tcPr>
            <w:tcW w:w="0" w:type="dxa"/>
            <w:vAlign w:val="bottom"/>
          </w:tcPr>
          <w:p>
            <w:pPr>
              <w:spacing w:after="0"/>
              <w:rPr>
                <w:sz w:val="1"/>
                <w:szCs w:val="1"/>
                <w:color w:val="auto"/>
              </w:rPr>
            </w:pPr>
          </w:p>
        </w:tc>
      </w:tr>
      <w:tr>
        <w:trPr>
          <w:trHeight w:val="20"/>
        </w:trPr>
        <w:tc>
          <w:tcPr>
            <w:tcW w:w="3880" w:type="dxa"/>
            <w:vAlign w:val="bottom"/>
            <w:shd w:val="clear" w:color="auto" w:fill="CFF0FC"/>
          </w:tcPr>
          <w:p>
            <w:pPr>
              <w:spacing w:after="0" w:line="20" w:lineRule="exact"/>
              <w:rPr>
                <w:sz w:val="1"/>
                <w:szCs w:val="1"/>
                <w:color w:val="auto"/>
              </w:rPr>
            </w:pPr>
          </w:p>
        </w:tc>
        <w:tc>
          <w:tcPr>
            <w:tcW w:w="18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(13,273 )</w:t>
            </w:r>
          </w:p>
        </w:tc>
        <w:tc>
          <w:tcPr>
            <w:tcW w:w="38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(7,711 )</w:t>
            </w:r>
          </w:p>
        </w:tc>
        <w:tc>
          <w:tcPr>
            <w:tcW w:w="34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(5,562 )</w:t>
            </w:r>
          </w:p>
        </w:tc>
        <w:tc>
          <w:tcPr>
            <w:tcW w:w="0" w:type="dxa"/>
            <w:vAlign w:val="bottom"/>
          </w:tcPr>
          <w:p>
            <w:pPr>
              <w:spacing w:after="0"/>
              <w:rPr>
                <w:sz w:val="1"/>
                <w:szCs w:val="1"/>
                <w:color w:val="auto"/>
              </w:rPr>
            </w:pPr>
          </w:p>
        </w:tc>
      </w:tr>
      <w:tr>
        <w:trPr>
          <w:trHeight w:val="243"/>
        </w:trPr>
        <w:tc>
          <w:tcPr>
            <w:tcW w:w="3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benefit</w:t>
            </w:r>
          </w:p>
        </w:tc>
        <w:tc>
          <w:tcPr>
            <w:tcW w:w="18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8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(13,242 )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(7,698 )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(5,544 )</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88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-2082165</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-2082165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-1139190</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-1139190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-822325</wp:posOffset>
            </wp:positionV>
            <wp:extent cx="774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-822325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indicated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400" w:type="dxa"/>
            <w:vAlign w:val="bottom"/>
          </w:tcPr>
          <w:p>
            <w:pPr>
              <w:spacing w:after="0"/>
              <w:rPr>
                <w:sz w:val="14"/>
                <w:szCs w:val="14"/>
                <w:color w:val="auto"/>
              </w:rPr>
            </w:pPr>
          </w:p>
        </w:tc>
        <w:tc>
          <w:tcPr>
            <w:tcW w:w="11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r>
      <w:tr>
        <w:trPr>
          <w:trHeight w:val="237"/>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Clinical development expenses</w:t>
            </w:r>
          </w:p>
        </w:tc>
        <w:tc>
          <w:tcPr>
            <w:tcW w:w="1120" w:type="dxa"/>
            <w:vAlign w:val="bottom"/>
            <w:shd w:val="clear" w:color="auto" w:fill="CFF0FC"/>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9,289</w:t>
            </w:r>
          </w:p>
        </w:tc>
        <w:tc>
          <w:tcPr>
            <w:tcW w:w="72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00" w:type="dxa"/>
            <w:vAlign w:val="bottom"/>
            <w:shd w:val="clear" w:color="auto" w:fill="CFF0FC"/>
          </w:tcPr>
          <w:p>
            <w:pPr>
              <w:spacing w:after="0"/>
              <w:rPr>
                <w:sz w:val="20"/>
                <w:szCs w:val="20"/>
                <w:color w:val="auto"/>
              </w:rPr>
            </w:pPr>
          </w:p>
        </w:tc>
      </w:tr>
      <w:tr>
        <w:trPr>
          <w:trHeight w:val="23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and related expenses</w:t>
            </w: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20"/>
                <w:szCs w:val="20"/>
                <w:color w:val="auto"/>
              </w:rPr>
            </w:pPr>
          </w:p>
        </w:tc>
      </w:tr>
      <w:tr>
        <w:trPr>
          <w:trHeight w:val="247"/>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1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21"/>
                <w:szCs w:val="21"/>
                <w:color w:val="auto"/>
              </w:rPr>
            </w:pPr>
          </w:p>
        </w:tc>
      </w:tr>
      <w:tr>
        <w:trPr>
          <w:trHeight w:val="23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(62 )</w:t>
            </w:r>
          </w:p>
        </w:tc>
      </w:tr>
      <w:tr>
        <w:trPr>
          <w:trHeight w:val="277"/>
        </w:trPr>
        <w:tc>
          <w:tcPr>
            <w:tcW w:w="54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120" w:type="dxa"/>
            <w:vAlign w:val="bottom"/>
            <w:tcBorders>
              <w:top w:val="single" w:sz="8" w:color="auto"/>
              <w:bottom w:val="single" w:sz="8" w:color="auto"/>
            </w:tcBorders>
            <w:shd w:val="clear" w:color="auto" w:fill="CFF0FC"/>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11,224</w:t>
            </w:r>
          </w:p>
        </w:tc>
        <w:tc>
          <w:tcPr>
            <w:tcW w:w="3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-24765</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September 30, 2024 increased to $11.2 million from $6.3 million for the corresponding period in 2023, primarily due to increased clinical development expenses for our Phase 2b CORAL trial, our Phase 2a RIVER trial, and our HAP study as well as an increase in personnel related expenses.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94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September 30, 2024 increased to $2.9 million from $2.7 million for the corresponding period in 2023, primarily due to an increase in stock-based compensation expense.</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Other income, net for the three months ended September 30, 2024 was $0.8 million compared to other income, net of $1.3 million for the corresponding period in 2023. The change was primarily due to a decrease in interest income due to lower cash equivalent and marketable securities balances.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30,049</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17,165</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12,884</w:t>
            </w:r>
          </w:p>
        </w:tc>
        <w:tc>
          <w:tcPr>
            <w:tcW w:w="100" w:type="dxa"/>
            <w:vAlign w:val="bottom"/>
            <w:shd w:val="clear" w:color="auto" w:fill="CFF0FC"/>
          </w:tcPr>
          <w:p>
            <w:pPr>
              <w:spacing w:after="0"/>
              <w:rPr>
                <w:sz w:val="21"/>
                <w:szCs w:val="21"/>
                <w:color w:val="auto"/>
              </w:rPr>
            </w:pP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9,232</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Pr>
          <w:p>
            <w:pPr>
              <w:spacing w:after="0"/>
              <w:rPr>
                <w:sz w:val="20"/>
                <w:szCs w:val="20"/>
                <w:color w:val="auto"/>
              </w:rPr>
            </w:pPr>
          </w:p>
        </w:tc>
      </w:tr>
      <w:tr>
        <w:trPr>
          <w:trHeight w:val="237"/>
        </w:trPr>
        <w:tc>
          <w:tcPr>
            <w:tcW w:w="6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39,281</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24,990</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(39,281 )</w:t>
            </w:r>
          </w:p>
        </w:tc>
        <w:tc>
          <w:tcPr>
            <w:tcW w:w="3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(24,990 )</w:t>
            </w:r>
          </w:p>
        </w:tc>
        <w:tc>
          <w:tcPr>
            <w:tcW w:w="2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(14,291 )</w:t>
            </w: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(852 )</w:t>
            </w: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(17 )</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(489 )</w:t>
            </w: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3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(387 )</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0"/>
                <w:szCs w:val="20"/>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(957 )</w:t>
            </w:r>
          </w:p>
        </w:tc>
      </w:tr>
      <w:tr>
        <w:trPr>
          <w:trHeight w:val="20"/>
        </w:trPr>
        <w:tc>
          <w:tcPr>
            <w:tcW w:w="66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(36,542 )</w:t>
            </w:r>
          </w:p>
        </w:tc>
        <w:tc>
          <w:tcPr>
            <w:tcW w:w="3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(21,294 )</w:t>
            </w:r>
          </w:p>
        </w:tc>
        <w:tc>
          <w:tcPr>
            <w:tcW w:w="2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(15,248 )</w:t>
            </w:r>
          </w:p>
        </w:tc>
      </w:tr>
      <w:tr>
        <w:trPr>
          <w:trHeight w:val="243"/>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r>
      <w:tr>
        <w:trPr>
          <w:trHeight w:val="20"/>
        </w:trPr>
        <w:tc>
          <w:tcPr>
            <w:tcW w:w="66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(36,496 )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(21,244 )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(15,252 )</w:t>
            </w:r>
          </w:p>
        </w:tc>
      </w:tr>
      <w:tr>
        <w:trPr>
          <w:trHeight w:val="20"/>
        </w:trPr>
        <w:tc>
          <w:tcPr>
            <w:tcW w:w="6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-1447800</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-1447800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-505460</wp:posOffset>
            </wp:positionV>
            <wp:extent cx="774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-505460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-187960</wp:posOffset>
            </wp:positionV>
            <wp:extent cx="7747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-187960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indicated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r>
      <w:tr>
        <w:trPr>
          <w:trHeight w:val="23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Clinical development expenses</w:t>
            </w:r>
          </w:p>
        </w:tc>
        <w:tc>
          <w:tcPr>
            <w:tcW w:w="262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24,413</w:t>
            </w:r>
          </w:p>
        </w:tc>
        <w:tc>
          <w:tcPr>
            <w:tcW w:w="6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12,318</w:t>
            </w:r>
          </w:p>
        </w:tc>
        <w:tc>
          <w:tcPr>
            <w:tcW w:w="6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12,095</w:t>
            </w:r>
          </w:p>
        </w:tc>
        <w:tc>
          <w:tcPr>
            <w:tcW w:w="100" w:type="dxa"/>
            <w:vAlign w:val="bottom"/>
            <w:shd w:val="clear" w:color="auto" w:fill="CFF0FC"/>
          </w:tcPr>
          <w:p>
            <w:pPr>
              <w:spacing w:after="0"/>
              <w:rPr>
                <w:sz w:val="20"/>
                <w:szCs w:val="20"/>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and related expenses</w:t>
            </w:r>
          </w:p>
        </w:tc>
        <w:tc>
          <w:tcPr>
            <w:tcW w:w="1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20"/>
                <w:szCs w:val="20"/>
                <w:color w:val="auto"/>
              </w:rPr>
            </w:pPr>
          </w:p>
        </w:tc>
      </w:tr>
      <w:tr>
        <w:trPr>
          <w:trHeight w:val="24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16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FF0FC"/>
          </w:tcPr>
          <w:p>
            <w:pPr>
              <w:spacing w:after="0"/>
              <w:rPr>
                <w:sz w:val="21"/>
                <w:szCs w:val="21"/>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1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(150 )</w:t>
            </w:r>
          </w:p>
        </w:tc>
      </w:tr>
      <w:tr>
        <w:trPr>
          <w:trHeight w:val="277"/>
        </w:trPr>
        <w:tc>
          <w:tcPr>
            <w:tcW w:w="43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6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top w:val="single" w:sz="8" w:color="auto"/>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30,049</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17,165</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849"/>
        </w:trPr>
        <w:tc>
          <w:tcPr>
            <w:tcW w:w="4320" w:type="dxa"/>
            <w:vAlign w:val="bottom"/>
          </w:tcPr>
          <w:p>
            <w:pPr>
              <w:spacing w:after="0"/>
              <w:rPr>
                <w:sz w:val="24"/>
                <w:szCs w:val="24"/>
                <w:color w:val="auto"/>
              </w:rPr>
            </w:pP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-659130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-642620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-659130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-642620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nine months ended September 30, 2024 increased to $30.0 million from $17.2 million for the corresponding period in 2023, primarily due to increased clinical development expenses for our Phase 2b CORAL trial, our Phase 2a RIVER trial, our HAP study, and our Phase 1b TIDAL study. These increases were partially offset by decreased clinical development expenses for our Phase 2b/3 PRISM trial.</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60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nine months ended September 30, 2024 increased to $9.2 million from $7.8 million for the corresponding period in 2023, primarily due to increases in personnel related expenses, stock-based compensation expense, information technology services and market research costs.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Other income, net for nine months ended September 30, 2024 was $2.7 million compared to other income, net of $3.7 million for the corresponding period in 2023. The change was primarily due to a decrease in interest income of $0.9 million due to lower cash equivalent and marketable securities balances.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we have not generated any revenue and have incurred significant operating losses and negative cash flows from our operations. Prior to the completion of our IPO and concurrent private placement in May 2019, we financed our operations primarily through private placements of our preferred stock and convertible notes as well as borrowings under our prior term loan. From inception to our IPO, we raised an aggregate of $102.2 million in gross proceeds from sales of our preferred stock and convertible notes and borrowed $15.0 million under a prior term loan.</w:t>
      </w:r>
    </w:p>
    <w:p>
      <w:pPr>
        <w:spacing w:after="0" w:line="72"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In May 2019, we issued and sold 5,500,000 shares of common stock in our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w:t>
      </w:r>
    </w:p>
    <w:p>
      <w:pPr>
        <w:spacing w:after="0" w:line="68"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June 2020, we entered into the ATM Sales Agreement, under which we were able to issue and sell shares of common stock, from time to time, having an aggregate offering price of up to $12.0 million. In May 2022, we and SVB Securities amended the ATM Sales Agreement to increase the maximum aggregate offering price of common stock that we were able to issue and sell from time to time under the ATM Sales Agreement by $50.0 million, from $12.0 million to up to $62.0 million. Sales of common stock under the ATM Sales Agreement were able to be made by any method that was deemed an “at-the-market” offering as defined in Rule 415(a)(4) under the Securities Act. We were not obligated to make any sales of our common stock under the ATM Sales Agreement. We began making sales pursuant to the ATM Sales Agreement in July 2020 and through August 15, 2023, the date of termination of the ATM Sales Agreement, we had issued and sold an aggregate of 4,333,394 shares of common stock for gross proceeds of $12.7 million, before deducting estimated commissions and allocated fees of $1.0 million.</w:t>
      </w:r>
    </w:p>
    <w:p>
      <w:pPr>
        <w:spacing w:after="0" w:line="84"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In June 2023, we filed with the SEC the Shelf Registration Statement, which allows us to offer and sell up to $200.0 million of common stock, preferred stock, debt securities, units and/or warrants from time to time pursuant to one or more offerings at prices and terms to be determined at the time of sale. The Shelf Registration Statement was filed to replace our prior universal shelf registration statement on Form S-3 and was declared effective on August 15, 2023. Further, in June 2023, we entered into the 2023 ATM Sales Agreement with Leerink Partners, under which we may issue and sell shares of common stock, from time to time by any method that is deemed an “at-the-market” offering as defined in Rule 415(a)(4) under the Securities Act. We are not obligated to make any sales of our common stock under the 2023 ATM Sales Agreement. We filed a prospectus under the Shelf Registration Statement for the offer and sale of shares of our common stock having an aggregate offering price of up to $75.0 million pursuant to the 2023 ATM Sales Agreement. In accordance with the terms of the 2023 ATM Sales Agreement, the ATM Sales Agreement terminated upon effectiveness of the Shelf Registration Statement, at which point we were no longer able to issue and sell shares of our common stock under the ATM Sales Agreement. As of September 30, 2024, we had issued and sold 3,086,729 shares of common stock for gross proceeds of $10.0 million, before deducting estimated commissions and allocated fees of $0.3 million under the 2023 ATM Sales Agreement. Subsequent to September 30, 2024, and through October 31, 2024, we issued and sold 1,411,336 shares of common stock under the 2023 ATM Sales Agreement for gross proceeds of $4.6 million, before deducting estimated commissions and allocated fees of $0.1 million.</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presented below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6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9"/>
                <w:szCs w:val="19"/>
                <w:color w:val="auto"/>
              </w:rPr>
            </w:pPr>
          </w:p>
        </w:tc>
      </w:tr>
      <w:tr>
        <w:trPr>
          <w:trHeight w:val="236"/>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6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(28,706 )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(25,351 )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(3,355 )</w:t>
            </w:r>
          </w:p>
        </w:tc>
      </w:tr>
      <w:tr>
        <w:trPr>
          <w:trHeight w:val="23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46,583</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(44,239 )</w:t>
            </w:r>
          </w:p>
        </w:tc>
      </w:tr>
      <w:tr>
        <w:trPr>
          <w:trHeight w:val="243"/>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10,017</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(7,856 )</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17,873</w:t>
            </w:r>
          </w:p>
        </w:tc>
        <w:tc>
          <w:tcPr>
            <w:tcW w:w="100" w:type="dxa"/>
            <w:vAlign w:val="bottom"/>
            <w:shd w:val="clear" w:color="auto" w:fill="CFF0FC"/>
          </w:tcPr>
          <w:p>
            <w:pPr>
              <w:spacing w:after="0"/>
              <w:rPr>
                <w:sz w:val="21"/>
                <w:szCs w:val="21"/>
                <w:color w:val="auto"/>
              </w:rPr>
            </w:pPr>
          </w:p>
        </w:tc>
      </w:tr>
      <w:tr>
        <w:trPr>
          <w:trHeight w:val="20"/>
        </w:trPr>
        <w:tc>
          <w:tcPr>
            <w:tcW w:w="56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(16,345 )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13,376</w:t>
            </w:r>
          </w:p>
        </w:tc>
        <w:tc>
          <w:tcPr>
            <w:tcW w:w="3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(29,721 )</w:t>
            </w:r>
          </w:p>
        </w:tc>
      </w:tr>
      <w:tr>
        <w:trPr>
          <w:trHeight w:val="20"/>
        </w:trPr>
        <w:tc>
          <w:tcPr>
            <w:tcW w:w="5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-187960</wp:posOffset>
            </wp:positionV>
            <wp:extent cx="7683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ind w:firstLine="509"/>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2024, operating activities used $28.7 million of net cash, resulting from our net loss of $36.5 million partially offset by net changes in our operating assets and liabilities of $5.8 million and net non-cash charges of $2.0 million. Changes in our operating assets and liabilities consisted of a $3.3 million increase in accrued expenses and other liabilities and a $2.7 million decrease in prepaid expenses and other current assets partially offset by a $0.2 million decrease in accounts payable. The increase in accrued expenses and other liabilities was primarily due to an increase in accruals for clinical development and clinical trial work performed by our CROs. The decrease in prepaid expenses and other current assets was primarily due to a decrease in prepayments related to our clinical trial work performed by our CROs. The decrease in accounts payable was primarily due to the timing of vendor invoices. The non-cash charges consisted primarily of stock-based compensation expense of $2.7 million, $0.3 million change in value of our operating lease right-of-use assets and liabilities and $0.1 million of depreciation and amortization, partially offset by $1.1 million of accretion of our available-for-sale marketable securities.</w:t>
      </w:r>
    </w:p>
    <w:p>
      <w:pPr>
        <w:spacing w:after="0" w:line="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During the nine months ended September 30, 2023, operating activities used $25.4 million of net cash, principally resulting from our net loss of $21.2 million and net changes in our operating assets and liabilities of $4.6 million. Changes in our operating assets and liabilities consisted of a $2.9 million increase in prepaid expenses and other current assets, a $1.7 million decrease in accounts payable and a slight increase in accrued expenses and other liabilities. The increase in prepaid expenses and other current assets was primarily due to an increase in prepayments related to our clinical trial work performed by our CROs as well as an increase in prepayments of our corporate insurance policies. The decrease in accounts payable was primarily due to the timing of vendor invoices. The increase in accrued expenses and other liabilities was primarily due to a decrease in accrued compensation and benefits and interest payable partially offset by an increase in accruals for research, development and clinical trial work performed by our CROs and consultants. Net cash used in operating activities for the nine months ended September 30, 2023, also included non-cash charges that consisted primarily of stock-based compensation expense of $1.7 million, a $0.3 million change in value of our operating lease right-of-use assets and $0.2 million of accretion/accrual of term loan discounts and debt issuance costs, which were partially offset by $1.8 million of accretion of our available-for-sale marketable securities.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net cash provided by investing activities was $2.3 million, primarily related to $55.6 million of proceeds from maturities of available-for-sale marketable securities partially offset by $53.3 million of purchases of available-for-sale marketable securities.</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2023, net cash provided by investing activities was $46.6 million, consisting primarily of $55.7 million of proceeds from maturities of available-for-sale marketable securities partially offset by $9.0 million of purchases of available-for-sale marketable securities and $0.1 million of purchases property, equipment and leasehold improvements.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net cash provided by financing activities was $10.0 million, primarily consisting of cash proceeds of $9.7 million, net of commissions, from sales of our common stock under the 2023 ATM Sales Agreement, and $0.4 million of cash proceeds from the exercise of stock options, partially offset by $0.1 million of payments on our finance lease.</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2023, net cash used in financing activities was $7.9 million, consisting primarily of repayments of $9.4 million on the SVB Term Loan including payment of the final payment fee and prepayment premium, both associated with the payoff of the SVB Term Loan, and payments of offering costs of $0.2 million. These cash outflows were partially offset by cash proceeds of $1.7 million, net of commissions, from sales of our common stock under the ATM Sales Agreement and $0.1 million of cash proceeds from the exercise of stock options and sales under our 2019 Employee Stock Purchase Plan.</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w:t>
      </w:r>
    </w:p>
    <w:p>
      <w:pPr>
        <w:spacing w:after="0" w:line="54" w:lineRule="exact"/>
        <w:rPr>
          <w:sz w:val="20"/>
          <w:szCs w:val="20"/>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Phase 2b CORAL clinical trial of Haduvio for the treatment of chronic cough in IPF;</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Phase 2a RIVER clinical trial of Haduvio for the treatment of RCC;</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Phase 1b TIDAL study to evaluate the effect of Haduvio on respiratory physiology in patients with IPF of varying disease severity;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HAP study comparing the abuse potential of oral nalbuphine to IV butorphanol.</w:t>
      </w:r>
    </w:p>
    <w:p>
      <w:pPr>
        <w:spacing w:after="0" w:line="11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expect to continue to incur costs associated with operating as a public company, including significant legal, accounting, investor relations and other expenses.</w:t>
      </w:r>
    </w:p>
    <w:p>
      <w:pPr>
        <w:spacing w:after="0" w:line="5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will need substantial additional funding to support our continuing operations. Until such time as we can generate significant revenue from sales of Haduvio, if ever, we expect to finance our operations through public or private equity offerings, debt financings, collaborations and licensing arrangements or other sources to achieve our business objectives. Adequate additional financing may not be available to us on acceptable terms or at all. Our future funding requirements, both short-term and long-term, will depend on many factors, including:</w:t>
      </w:r>
    </w:p>
    <w:p>
      <w:pPr>
        <w:spacing w:after="0" w:line="72" w:lineRule="exact"/>
        <w:rPr>
          <w:sz w:val="20"/>
          <w:szCs w:val="20"/>
          <w:color w:val="auto"/>
        </w:rPr>
      </w:pPr>
    </w:p>
    <w:p>
      <w:pPr>
        <w:ind w:left="900" w:right="380" w:hanging="383"/>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Haduvio, including our Phase 2b CORAL clinical trial of Haduvio for the treatment of chronic cough in IPF, our Phase 2a RIVER clinical trial in RCC, our HAP study, and our</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31" w:name="page32"/>
    <w:bookmarkEnd w:id="31"/>
    <w:p>
      <w:pPr>
        <w:ind w:left="900" w:right="180"/>
        <w:spacing w:after="0" w:line="282" w:lineRule="auto"/>
        <w:rPr>
          <w:sz w:val="20"/>
          <w:szCs w:val="20"/>
          <w:color w:val="auto"/>
        </w:rPr>
      </w:pPr>
      <w:r>
        <w:rPr>
          <w:rFonts w:ascii="Times New Roman" w:cs="Times New Roman" w:eastAsia="Times New Roman" w:hAnsi="Times New Roman"/>
          <w:sz w:val="18"/>
          <w:szCs w:val="18"/>
          <w:color w:val="auto"/>
        </w:rPr>
        <w:t>Phase 1b TIDAL study to evaluate the effect of Haduvio on respiratory physiology in patients with IPF of varying disease severity, as well as trials for any future product candidates;</w:t>
      </w:r>
    </w:p>
    <w:p>
      <w:pPr>
        <w:spacing w:after="0" w:line="54" w:lineRule="exact"/>
        <w:rPr>
          <w:sz w:val="20"/>
          <w:szCs w:val="20"/>
          <w:color w:val="auto"/>
        </w:rPr>
      </w:pPr>
    </w:p>
    <w:p>
      <w:pPr>
        <w:ind w:left="900" w:right="46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indications for which we seek to develop Haduvio or any future product candidates and their respective development requirements;</w:t>
      </w:r>
    </w:p>
    <w:p>
      <w:pPr>
        <w:spacing w:after="0" w:line="53"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clinical and nonclinical trials and of seeking regulatory approvals, including the costs of supportive clinical studies such as a potential Thorough QT study;</w:t>
      </w:r>
    </w:p>
    <w:p>
      <w:pPr>
        <w:spacing w:after="0" w:line="53" w:lineRule="exact"/>
        <w:rPr>
          <w:rFonts w:ascii="Times New Roman" w:cs="Times New Roman" w:eastAsia="Times New Roman" w:hAnsi="Times New Roman"/>
          <w:sz w:val="18"/>
          <w:szCs w:val="18"/>
          <w:color w:val="auto"/>
        </w:rPr>
      </w:pPr>
    </w:p>
    <w:p>
      <w:pPr>
        <w:ind w:left="900" w:right="74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manufacture necessary quantities of Haduvio or any future product candidate for clinical development in connection with regulatory submissions;</w:t>
      </w:r>
    </w:p>
    <w:p>
      <w:pPr>
        <w:spacing w:after="0" w:line="53"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Haduvio for the treatment of chronic cough in IPF and RCC or for any future product candidates that receive marketing approval, if any, including the costs and timing of establishing product sales, marketing, distribution and manufacturing capabilities;</w:t>
      </w:r>
    </w:p>
    <w:p>
      <w:pPr>
        <w:spacing w:after="0" w:line="6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marketing approvals, revenue, if any, received from commercial sales of Haduvio for the treatment of chronic cough in IPF or RCC or for the treatment of prurigo nodularis, or from any future product candidates;</w:t>
      </w:r>
    </w:p>
    <w:p>
      <w:pPr>
        <w:spacing w:after="0" w:line="53" w:lineRule="exact"/>
        <w:rPr>
          <w:rFonts w:ascii="Times New Roman" w:cs="Times New Roman" w:eastAsia="Times New Roman" w:hAnsi="Times New Roman"/>
          <w:sz w:val="18"/>
          <w:szCs w:val="18"/>
          <w:color w:val="auto"/>
        </w:rPr>
      </w:pPr>
    </w:p>
    <w:p>
      <w:pPr>
        <w:jc w:val="both"/>
        <w:ind w:left="900" w:right="100" w:hanging="383"/>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potential collaborators for Haduvio for the treatment of prurigo nodularis or for the treatment of chronic cough in IPF or RCC or for any future product candidates, and the terms and timing of any collaboration agreement that we may establish for the development and any commercialization of such product candidates;</w:t>
      </w:r>
    </w:p>
    <w:p>
      <w:pPr>
        <w:spacing w:after="0" w:line="67"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rights to other potential product candidates or technologies and the terms and timing of any such acquisition or licensing arrangements;</w:t>
      </w:r>
    </w:p>
    <w:p>
      <w:pPr>
        <w:spacing w:after="0" w:line="53" w:lineRule="exact"/>
        <w:rPr>
          <w:rFonts w:ascii="Times New Roman" w:cs="Times New Roman" w:eastAsia="Times New Roman" w:hAnsi="Times New Roman"/>
          <w:sz w:val="18"/>
          <w:szCs w:val="18"/>
          <w:color w:val="auto"/>
        </w:rPr>
      </w:pPr>
    </w:p>
    <w:p>
      <w:pPr>
        <w:jc w:val="both"/>
        <w:ind w:left="900" w:right="320" w:hanging="383"/>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obligation to make milestone payments to Endo Pharmaceuticals Inc., or Endo, which would become due upon the successful completion of the first Phase 3 clinical trial of a licensed product candidate and the marketing approval of a licensed product in the U.S., as well as our potential obligations to pay Endo royalties on the net sales of the product;</w:t>
      </w:r>
    </w:p>
    <w:p>
      <w:pPr>
        <w:spacing w:after="0" w:line="6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activities and medical affairs activities and establish a commercial infrastructure;</w:t>
      </w:r>
    </w:p>
    <w:p>
      <w:pPr>
        <w:spacing w:after="0" w:line="53"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technologies and market developments;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healthcare coverage and adequate reimbursement for our products;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1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will enable us to fund our operating expenses and capital expenditure requirements into the second half of 2026. Our current plans do not take into account the cost of any additional clinical trials of Haduvio.</w:t>
      </w:r>
    </w:p>
    <w:p>
      <w:pPr>
        <w:spacing w:after="0" w:line="5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and financing may not be available to us on acceptable terms, on a timely basis or at all. Our failure to raise capital as and when needed would have a negative impact on our financial condition and our ability to pursue our business strategy.</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do not have any committed external source of funds. Accordingly, we will be required to obtain further funding through public or private equity offerings, debt financings, collaborations, licensing arrangements or other sources to complete the clinical development and commercialization of Haduvio for the treatment of chronic cough in IPF or RCC or any other indication. If we raise additional funds by issuing equity securities, our stockholders may experience dilution. Any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 Any debt financing that we seek or additional equity that we raise may contain terms that could adversely affect our common stockholders.</w:t>
      </w:r>
    </w:p>
    <w:p>
      <w:pPr>
        <w:spacing w:after="0" w:line="80"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raise sufficient capital as and when needed, we may be required to delay, reduce or abandon our product development programs or commercialization efforts.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 significant portion of our development activities are outsourced to third parties under agreements, including with CROs and contract manufacturers in connection with the production of clinical trial materials. The contracts are cancelable at any time by us, generally upon 60 days' prior written notice to the CRO, and therefore we believe that our non-cancelable obligations under these agreements are not material. For information related to our future commitments relating to our lease and licensing agreements, see Note 5, “Leases” and Note 11, “Collaborative and Licensing Agreements” of our Condensed Consolidated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in accordance with U.S. generally accepted accounting principles.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7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the Notes to our financial statements, we believe that the critical accounting policy related to research and development expenses that is described under the heading “Management’s Discussion and Analysis of Financial Condition and Results of Operations—Critical Accounting Policies and Use of Estimates” in our Annual Report on Form 10-K for the year ended December 31, 2023, is the most important to understanding and evaluating our reported financial results. During the nine months ended September 30, 2024, there were no material changes to our critical accounting policies.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September 30, 2024. Our disclosure controls and procedures are designed to ensure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Because of the inherent limitations in all control systems, no evaluation of controls and procedures can provide absolute assurance that all control issues and instances of fraud, if any, within the Company have been detected. Based on the evaluation of our disclosure controls and procedures as of September 30, 2024, our Chief Executive Officer and Chief Financial Officer concluded that, as of such date, our disclosure controls and procedures were effective at the reasonable assurance level.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September 30, 2024 that has materially affected, or is reasonably likely to materially affect, our internal control over financial reporting.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subject to any material legal proceedings.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Our business is subject to numerous risks. The following important factors, among others, could cause our actual results to differ materially from those expressed in forward-looking statements made by us or on our behalf in this Quarterly Report on Form 10-Q and other filings with the Securities and Exchange Commission, or SEC,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expect to incur significant and increasing losses for the foreseeable future and may never achieve or maintain profitability.</w:t>
      </w:r>
    </w:p>
    <w:p>
      <w:pPr>
        <w:spacing w:after="0" w:line="5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have incurred significant annual net losses every year since our inception. We expect to continue to incur significant and increasing net losses for at least the next several years. Our net losses were $36.5 million and $29.1 million for the nine months ended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ind w:right="20"/>
        <w:spacing w:after="0" w:line="255" w:lineRule="auto"/>
        <w:rPr>
          <w:sz w:val="20"/>
          <w:szCs w:val="20"/>
          <w:color w:val="auto"/>
        </w:rPr>
      </w:pPr>
      <w:r>
        <w:rPr>
          <w:rFonts w:ascii="Times New Roman" w:cs="Times New Roman" w:eastAsia="Times New Roman" w:hAnsi="Times New Roman"/>
          <w:sz w:val="18"/>
          <w:szCs w:val="18"/>
          <w:color w:val="auto"/>
        </w:rPr>
        <w:t>September 30, 2024 and for the year ended December 31, 2023, respectively. As of September 30, 2024, we had an accumulated deficit of $275.6 million. We have not generated any revenues from product sales, have not completed the development of any product candidate and may never have a product candidate approved for commercialization. We have financed our operations to date primarily through private placements of our convertible preferred stock and convertible notes prior to our initial public offering, or IPO, proceeds from our IPO, sales of our common stock and warrants to purchase our common stock, and borrowings from term loans. We have devoted substantially all our financial resources and efforts to the clinical development of our product candidate Haduvio and related activities. Our net losses may fluctuate significantly from quarter to quarter and year to year. Net losses and negative cash flows have had, and will continue to have, an adverse effect on our stockholders’ equity and working capital.</w:t>
      </w:r>
    </w:p>
    <w:p>
      <w:pPr>
        <w:spacing w:after="0" w:line="8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expenses and increasing operating losses for the foreseeable future. We anticipate that our expenses will increase substantially if and as we:</w:t>
      </w:r>
    </w:p>
    <w:p>
      <w:pPr>
        <w:spacing w:after="0" w:line="54" w:lineRule="exact"/>
        <w:rPr>
          <w:sz w:val="20"/>
          <w:szCs w:val="20"/>
          <w:color w:val="auto"/>
        </w:rPr>
      </w:pPr>
    </w:p>
    <w:p>
      <w:pPr>
        <w:ind w:left="900" w:right="60" w:hanging="383"/>
        <w:spacing w:after="0" w:line="261"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and conduct clinical trials of Haduvio, including our Phase 2b CORAL clinical trial of Haduvio for the treatment of chronic cough in idiopathic pulmonary fibrosis, or IPF, our Phase 2a RIVER clinical trial of Haduvio for the treatment of refractory chronic cough, or RCC, and our human abuse potential, or HAP, study, and our Phase 1b TIDAL study to evaluate the effect of Haduvio on respiratory physiology in patients with IPF of varying disease severity;</w:t>
      </w:r>
    </w:p>
    <w:p>
      <w:pPr>
        <w:spacing w:after="0" w:line="71"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other development work required for the filing of a new drug application, or NDA, with the U.S. Food and Drug Administration, or FDA, and the filing of marketing authorization applications, or MAAs, with the European Medicines Agency, or EMA, and the Medicines and Healthcare Products Regulatory Agency in the United Kingdom, or MHRA, or other government agencies, for Haduvio;</w:t>
      </w:r>
    </w:p>
    <w:p>
      <w:pPr>
        <w:spacing w:after="0" w:line="6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Haduvio for the treatment of chronic cough in IPF, or RCC or for any future product candidate that successfully completes clinical trials, if any;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and execute pediatric development plans and complete any post-approval commitments;</w:t>
      </w:r>
    </w:p>
    <w:p>
      <w:pPr>
        <w:spacing w:after="0" w:line="117" w:lineRule="exact"/>
        <w:rPr>
          <w:rFonts w:ascii="Times New Roman" w:cs="Times New Roman" w:eastAsia="Times New Roman" w:hAnsi="Times New Roman"/>
          <w:sz w:val="18"/>
          <w:szCs w:val="18"/>
          <w:color w:val="auto"/>
        </w:rPr>
      </w:pPr>
    </w:p>
    <w:p>
      <w:pPr>
        <w:ind w:left="900" w:right="80" w:hanging="383"/>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distribution and other commercial infrastructure to commercialize any products for which we may obtain marketing approval;</w:t>
      </w:r>
    </w:p>
    <w:p>
      <w:pPr>
        <w:spacing w:after="0" w:line="53" w:lineRule="exact"/>
        <w:rPr>
          <w:rFonts w:ascii="Times New Roman" w:cs="Times New Roman" w:eastAsia="Times New Roman" w:hAnsi="Times New Roman"/>
          <w:sz w:val="18"/>
          <w:szCs w:val="18"/>
          <w:color w:val="auto"/>
        </w:rPr>
      </w:pPr>
    </w:p>
    <w:p>
      <w:pPr>
        <w:ind w:left="900" w:right="1060" w:hanging="383"/>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manufacture of larger quantities of Haduvio or any future product candidate for clinical development and, potentially, commercialization;</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rights to other potential product candidates or technologies;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research, preclinical and clinical development efforts for any future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such as clinical, regulatory and scientific personnel;</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commercialization efforts and to help us comply with our obligations as a public company;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equipment and physical infrastructure to support our development program for Haduvio and for any future product candidates.</w:t>
      </w:r>
    </w:p>
    <w:p>
      <w:pPr>
        <w:spacing w:after="0" w:line="11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Our ability to become and remain profitable depends on our ability to generate revenue. We do not expect to generate significant revenue unless and until we are able to obtain marketing approval for and successfully commercialize Haduvio or any future product candidate. Successful commercialization will require achievement of key milestones, including completing clinical trials of Haduvio or any future product candidate, obtaining marketing approval for these product candidates, manufacturing, marketing and selling those products for which we may obtain marketing approval, satisfying any post-marketing requirements and obtaining reimbursement for any such product from private insurance or government payors. For example, in order to successfully commercialize Haduvio for the treatment of chronic cough in IPF, we may be required, at a minimum, to successfully complete two additional Phase 3 clinical trials prior to submitting an NDA and MAA to regulatory authorities to obtain marketing approval. Because of the uncertainties and risks associated with these activities, we are unable to accurately predict the timing and amount of revenues and if or when we might achieve profitability. We may never succeed in these activities and, even if we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development efforts, develop a pipeline of product candidates or continue our operations.</w:t>
      </w:r>
    </w:p>
    <w:p>
      <w:pPr>
        <w:spacing w:after="0" w:line="7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no products approved for commercial sale, which may make it difficult to evaluate the prospects for our future success and viability.</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were founded and commenced operations in 2011. Our operations to date have been limited to financing and staffing our company and conducting preclinical and clinical development of Haduvio. We have not yet demonstrated an ability to successfully complete clinical development of any product candidates, obtain marketing approvals, manufacture a commercial-scale product or arrange for a third-party to do so on our behalf or conduct sales and marketing activities necessary for successful commercialization 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any products. Accordingly, you should consider our prospects in light of the costs, uncertainties, delays and difficulties frequently encountered by clinical-stage biopharmaceutical companies such as ours. Any predictions you make about our future success or viability may not be as accurate as they could be if we had a longer operating history or a history of successfully developing and commercializing pharmaceutical products.</w:t>
      </w:r>
    </w:p>
    <w:p>
      <w:pPr>
        <w:spacing w:after="0" w:line="68"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We may encounter unforeseen expenses, difficulties, complications, delays and other known or unknown factors in achieving our business objectives. If we obtain marketing approval for Haduvio or any future product candidate, we will need to transition from a company focused on clinical development to a company capable of supporting commercial activities. We may not be successful in effectuating such a transition.</w:t>
      </w:r>
    </w:p>
    <w:p>
      <w:pPr>
        <w:spacing w:after="0" w:line="68"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operating results will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6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and if we are unable to raise sufficient capital when needed on acceptable terms or at all, we could be forced to delay, reduce or abandon our product development programs or commercialization efforts.</w:t>
      </w:r>
    </w:p>
    <w:p>
      <w:pPr>
        <w:spacing w:after="0" w:line="5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and nonclinical studies and clinical trials, is a very time-consuming, expensive and uncertain process that takes years to complete. We have consumed substantial amounts of cash since our inception. For example, in the nine months ended September 30, 2024 and the year ended December 31, 2023, we used net cash of $28.7 million and $31.7 million, respectively, in our operating activities, substantially all of which related to development activities for Haduvio. As of September 30, 2024, our cash, cash equivalents and marketable securities were $65.5 million. We expect our expenses to increase substantially in connection with our ongoing activities, particularly as we continue to develop Haduvio, including if and as we:</w:t>
      </w:r>
    </w:p>
    <w:p>
      <w:pPr>
        <w:spacing w:after="0" w:line="79" w:lineRule="exact"/>
        <w:rPr>
          <w:sz w:val="20"/>
          <w:szCs w:val="20"/>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Phase 2b CORAL clinical trial and any additional trials of Haduvio for the treatment of chronic cough in IPF;</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Phase 2a RIVER clinical trial and any additional trials of Haduvio for the treatment of RCC;</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Phase 1b TIDAL study to evaluate the effect of Haduvio on respiratory physiology in patients with IPF of varying disease severity;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HAP study to compare the abuse potential of oral nalbuphine to intravenous, or IV, butorphanol.</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we may incur additional expenses:</w:t>
      </w:r>
    </w:p>
    <w:p>
      <w:pPr>
        <w:spacing w:after="0" w:line="117" w:lineRule="exact"/>
        <w:rPr>
          <w:sz w:val="20"/>
          <w:szCs w:val="20"/>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determine to conduct an additional clinical trial of Haduvio for other indications; and</w:t>
      </w:r>
    </w:p>
    <w:p>
      <w:pPr>
        <w:spacing w:after="0" w:line="117" w:lineRule="exact"/>
        <w:rPr>
          <w:rFonts w:ascii="Times New Roman" w:cs="Times New Roman" w:eastAsia="Times New Roman" w:hAnsi="Times New Roman"/>
          <w:sz w:val="18"/>
          <w:szCs w:val="18"/>
          <w:color w:val="auto"/>
        </w:rPr>
      </w:pPr>
    </w:p>
    <w:p>
      <w:pPr>
        <w:ind w:left="900" w:right="66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acquire or in-license rights to other potential product candidates or technologies and seek regulatory and marketing approvals for Haduvio or any future product candidate that successfully completes clinical trials.</w:t>
      </w:r>
    </w:p>
    <w:p>
      <w:pPr>
        <w:spacing w:after="0" w:line="54"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In addition, if we obtain marketing approval for Haduvio or any future product candidate, we may incur significant commercialization expenses related to product sales, marketing, manufacturing and distribution. For instance, we currently intend to commercialize Haduvio in the United States, or U.S., ourselves by developing a focused, specialty sales, marketing and distribution organization. Furthermore, we expect to continue to incur significant costs associated with operating as a public company. Accordingly, we will need to obtain substantial additional funding in connection with our continuing operations. If we are unable to raise sufficient capital when needed on acceptable terms or at all, we may be forced to delay, reduce or abandon our development programs or any future commercialization efforts.</w:t>
      </w:r>
    </w:p>
    <w:p>
      <w:pPr>
        <w:spacing w:after="0" w:line="7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plan to use our existing cash, cash equivalents and marketable securities to fund the development of Haduvio and for working capital and other general corporate purposes. We will be required to expend significant funds to advance the development of Haduvio in multiple indications, as well as any future product candidates we may seek to develop. Our existing cash, cash equivalents and marketable securities will not be sufficient to complete development of Haduvio for the treatment of chronic cough in IPF or RCC, or for any other condition or of any future product candidate. We do not have any committed external source of funds. Accordingly, we will be required to obtain further funding through public or private equity offerings, debt financings, collaborations and licensing arrangements or other sources to achieve our business objectives. Adequate additional financing may not be available to us on acceptable terms or at all. Our failure to raise capital as and when needed would have a negative impact on our financial condition and our ability to pursue our business strategy.</w:t>
      </w:r>
    </w:p>
    <w:p>
      <w:pPr>
        <w:spacing w:after="0" w:line="8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will enable us to fund our operating expenses and capital expenditure requirements into the second half of 2026. Our current plans do not take into account the cost of any additional clinical trials of Haduvio.</w:t>
      </w:r>
    </w:p>
    <w:p>
      <w:pPr>
        <w:spacing w:after="0" w:line="54" w:lineRule="exact"/>
        <w:rPr>
          <w:sz w:val="20"/>
          <w:szCs w:val="20"/>
          <w:color w:val="auto"/>
        </w:rPr>
      </w:pPr>
    </w:p>
    <w:p>
      <w:pPr>
        <w:jc w:val="both"/>
        <w:ind w:right="260" w:firstLine="509"/>
        <w:spacing w:after="0" w:line="261" w:lineRule="auto"/>
        <w:rPr>
          <w:sz w:val="20"/>
          <w:szCs w:val="20"/>
          <w:color w:val="auto"/>
        </w:rPr>
      </w:pPr>
      <w:r>
        <w:rPr>
          <w:rFonts w:ascii="Times New Roman" w:cs="Times New Roman" w:eastAsia="Times New Roman" w:hAnsi="Times New Roman"/>
          <w:sz w:val="18"/>
          <w:szCs w:val="18"/>
          <w:color w:val="auto"/>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However, such a financing may not be available to us on acceptable terms, on a timely basis or at all. Our failure to raise capital as and when needed would have a negative impact on our financial condition and our ability to pursue our business strategy.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68" w:lineRule="exact"/>
        <w:rPr>
          <w:sz w:val="20"/>
          <w:szCs w:val="20"/>
          <w:color w:val="auto"/>
        </w:rPr>
      </w:pPr>
    </w:p>
    <w:p>
      <w:pPr>
        <w:ind w:left="900" w:right="80" w:hanging="383"/>
        <w:spacing w:after="0" w:line="289" w:lineRule="auto"/>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progress, timing, costs and results of clinical trials of Haduvio, including our Phase 2b CORAL clinical trial of Haduvio for the treatment of chronic cough in IPF, our Phase 2a RIVER clinical trial in RCC, our HAP study, and our Phase 1b TIDAL study to evaluate the effect of Haduvio on respiratory physiology in patients with IPF of varying disease severity, as well as trials for any future product candidates;</w:t>
      </w:r>
    </w:p>
    <w:p>
      <w:pPr>
        <w:spacing w:after="0" w:line="49" w:lineRule="exact"/>
        <w:rPr>
          <w:rFonts w:ascii="Times New Roman" w:cs="Times New Roman" w:eastAsia="Times New Roman" w:hAnsi="Times New Roman"/>
          <w:sz w:val="17"/>
          <w:szCs w:val="17"/>
          <w:color w:val="auto"/>
        </w:rPr>
      </w:pPr>
    </w:p>
    <w:p>
      <w:pPr>
        <w:ind w:left="900" w:right="460" w:hanging="383"/>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indications for which we seek to develop Haduvio or any future product candidates and their respective development requirements;</w:t>
      </w:r>
    </w:p>
    <w:p>
      <w:pPr>
        <w:spacing w:after="0" w:line="53"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clinical and nonclinical trials and of seeking regulatory approvals, including the costs of supportive clinical studies such as a potential Thorough QT, or TQT, study;</w:t>
      </w:r>
    </w:p>
    <w:p>
      <w:pPr>
        <w:spacing w:after="0" w:line="53" w:lineRule="exact"/>
        <w:rPr>
          <w:rFonts w:ascii="Times New Roman" w:cs="Times New Roman" w:eastAsia="Times New Roman" w:hAnsi="Times New Roman"/>
          <w:sz w:val="18"/>
          <w:szCs w:val="18"/>
          <w:color w:val="auto"/>
        </w:rPr>
      </w:pPr>
    </w:p>
    <w:p>
      <w:pPr>
        <w:ind w:left="900" w:right="740" w:hanging="383"/>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manufacture necessary quantities of Haduvio or any future product candidate for clinical development in connection with regulatory submissions;</w:t>
      </w:r>
    </w:p>
    <w:p>
      <w:pPr>
        <w:spacing w:after="0" w:line="53"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Haduvio for the treatment of chronic cough in IPF and RCC or for any future product candidates that receive marketing approval, if any, including the costs and timing of establishing product sales, marketing, distribution and manufacturing capabilities;</w:t>
      </w:r>
    </w:p>
    <w:p>
      <w:pPr>
        <w:spacing w:after="0" w:line="6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marketing approvals, revenue, if any, received from commercial sales of Haduvio for the treatment of chronic cough in IPF or RCC or for the treatment of prurigo nodularis, or from any future product candidates;</w:t>
      </w:r>
    </w:p>
    <w:p>
      <w:pPr>
        <w:spacing w:after="0" w:line="53" w:lineRule="exact"/>
        <w:rPr>
          <w:rFonts w:ascii="Times New Roman" w:cs="Times New Roman" w:eastAsia="Times New Roman" w:hAnsi="Times New Roman"/>
          <w:sz w:val="18"/>
          <w:szCs w:val="18"/>
          <w:color w:val="auto"/>
        </w:rPr>
      </w:pPr>
    </w:p>
    <w:p>
      <w:pPr>
        <w:ind w:left="900" w:right="420" w:hanging="383"/>
        <w:spacing w:after="0" w:line="26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potential collaborators for Haduvio for the treatment of chronic cough in IPF or RCC or for the treatment of prurigo nodularis or for any future product candidates, and the terms and timing of any collaboration agreement that we may establish for the development and any commercialization of such product candidates;</w:t>
      </w:r>
    </w:p>
    <w:p>
      <w:pPr>
        <w:spacing w:after="0" w:line="67"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rights to other potential product candidates or technologies and the terms and timing of any such acquisition or licensing arrangements;</w:t>
      </w:r>
    </w:p>
    <w:p>
      <w:pPr>
        <w:spacing w:after="0" w:line="53" w:lineRule="exact"/>
        <w:rPr>
          <w:rFonts w:ascii="Times New Roman" w:cs="Times New Roman" w:eastAsia="Times New Roman" w:hAnsi="Times New Roman"/>
          <w:sz w:val="18"/>
          <w:szCs w:val="18"/>
          <w:color w:val="auto"/>
        </w:rPr>
      </w:pPr>
    </w:p>
    <w:p>
      <w:pPr>
        <w:jc w:val="both"/>
        <w:ind w:left="900" w:right="320" w:hanging="383"/>
        <w:spacing w:after="0" w:line="26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obligation to make milestone payments to Endo Pharmaceuticals Inc., or Endo, which would become due upon the successful completion of the first Phase 3 clinical trial of a licensed product candidate and the marketing approval of a licensed product in the U.S., as well as our potential obligations to pay Endo royalties on the net sales of the product;</w:t>
      </w:r>
    </w:p>
    <w:p>
      <w:pPr>
        <w:spacing w:after="0" w:line="6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activities and medical affairs activities and establish a commercial infrastructure;</w:t>
      </w:r>
    </w:p>
    <w:p>
      <w:pPr>
        <w:spacing w:after="0" w:line="53"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technologies and market developments;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healthcare coverage and adequate reimbursement for our products;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product candidates.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expenses to increase substantially in connection with our planned operations, particularly if and as we:</w:t>
      </w:r>
    </w:p>
    <w:p>
      <w:pPr>
        <w:spacing w:after="0" w:line="117" w:lineRule="exact"/>
        <w:rPr>
          <w:sz w:val="20"/>
          <w:szCs w:val="20"/>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Phase 2b CORAL clinical trial and any additional trials of Haduvio for the treatment of chronic cough in IPF;</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Phase 2a RIVER clinical trial and any additional trials of Haduvio for the treatment of RCC;</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our Phase 1b TIDAL study to evaluate the effect of Haduvio on respiratory physiology in patients with IPF of varying disease severity;</w:t>
      </w:r>
    </w:p>
    <w:p>
      <w:pPr>
        <w:spacing w:after="0" w:line="128"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HAP study to compare the abuse potential of oral nalbuphine to IV butorphanol;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Haduvio.</w:t>
      </w:r>
    </w:p>
    <w:p>
      <w:pPr>
        <w:spacing w:after="0" w:line="11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Accordingly, we will be required to obtain further funding through public or private equity offerings, debt financings, collaborations and licensing arrangements or other sources to fund these expenses. To the extent that we raise additional capital through the sale of common stock, convertible securities or other equity securities, your ownership interest may be diluted, and the terms of these securities could include liquidation or other preferences and anti-dilution protections that could adversely affect your rights as a common stockholder.</w:t>
      </w:r>
    </w:p>
    <w:p>
      <w:pPr>
        <w:spacing w:after="0" w:line="7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Debt financing, if available, would result in fixed payment obligations and may involve agreements that include grants of security interests on our assets and restrictive covenants that limit our ability to take specific actions, such as incurring additional debt,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ind w:right="100"/>
        <w:spacing w:after="0" w:line="282" w:lineRule="auto"/>
        <w:rPr>
          <w:sz w:val="20"/>
          <w:szCs w:val="20"/>
          <w:color w:val="auto"/>
        </w:rPr>
      </w:pPr>
      <w:r>
        <w:rPr>
          <w:rFonts w:ascii="Times New Roman" w:cs="Times New Roman" w:eastAsia="Times New Roman" w:hAnsi="Times New Roman"/>
          <w:sz w:val="18"/>
          <w:szCs w:val="18"/>
          <w:color w:val="auto"/>
        </w:rPr>
        <w:t>making capital expenditures, granting liens over our assets, redeeming stock or declaring dividends, that could adversely impact our ability to conduct our business.</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Securing financing could also require a substantial amount of time from our management and may divert a disproportionate amount of their attention away from daily activities, which may adversely affect our management’s ability to oversee the development of Haduvio or that of any future product candidates.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Commercialization of Haduvio and Any Future Product Candidates</w:t>
      </w:r>
    </w:p>
    <w:p>
      <w:pPr>
        <w:spacing w:after="0" w:line="11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p>
      <w:pPr>
        <w:spacing w:after="0" w:line="6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currently have no products approved for sale and are investing substantially all our efforts and financial resources to fund the development and commercialization of Haduvio for the treatment of chronic cough in IPF and RCC. Our prospects are dependent on our ability to develop, obtain marketing approval for and successfully commercialize Haduvio in one or more indications as we currently have no other product candidates under development. We may acquire or in-license rights to other potential product candidates or technologies in the future, but we are currently not developing any other product candidates.</w:t>
      </w:r>
    </w:p>
    <w:p>
      <w:pPr>
        <w:spacing w:after="0" w:line="7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are focused on the development of Haduvio for the treatment of chronic cough in IPF and RCC. As a result, if our efforts to develop and commercialize Haduvio for the treatment of chronic cough in IPF or RCC are unsuccessful or we experience significant delays in doing so, our business could also be substantially harmed.</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success of Haduvio for the treatment of chronic cough in IPF and RCC will depend on several factors, including the following:</w:t>
      </w:r>
    </w:p>
    <w:p>
      <w:pPr>
        <w:spacing w:after="0" w:line="117" w:lineRule="exact"/>
        <w:rPr>
          <w:sz w:val="20"/>
          <w:szCs w:val="20"/>
          <w:color w:val="auto"/>
        </w:rPr>
      </w:pPr>
    </w:p>
    <w:p>
      <w:pPr>
        <w:ind w:left="900" w:right="200" w:hanging="383"/>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initiating and successfully recruiting, enrolling and retaining patients in and completing additional clinical and nonclinical trials of Haduvio, including the additional clinical trials we are conducting and plan to conduct for the treatment of chronic cough in IPF and RCC;</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our HAP study;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other supportive clinical studies such as potential studies of physical dependence and TQT;</w:t>
      </w:r>
    </w:p>
    <w:p>
      <w:pPr>
        <w:spacing w:after="0" w:line="117" w:lineRule="exact"/>
        <w:rPr>
          <w:rFonts w:ascii="Times New Roman" w:cs="Times New Roman" w:eastAsia="Times New Roman" w:hAnsi="Times New Roman"/>
          <w:sz w:val="18"/>
          <w:szCs w:val="18"/>
          <w:color w:val="auto"/>
        </w:rPr>
      </w:pPr>
    </w:p>
    <w:p>
      <w:pPr>
        <w:ind w:left="900" w:right="600" w:hanging="383"/>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safety, tolerability and efficacy profiles that are satisfactory to the FDA, EMA, MHRA and other comparable regulatory authorities for marketing approval;</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timely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any required post-marketing approval commitments to applicable regulatory authorities;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arrangements with our third-party supplier of drug substance for Haduvio;</w:t>
      </w:r>
    </w:p>
    <w:p>
      <w:pPr>
        <w:spacing w:after="0" w:line="117" w:lineRule="exact"/>
        <w:rPr>
          <w:rFonts w:ascii="Times New Roman" w:cs="Times New Roman" w:eastAsia="Times New Roman" w:hAnsi="Times New Roman"/>
          <w:sz w:val="18"/>
          <w:szCs w:val="18"/>
          <w:color w:val="auto"/>
        </w:rPr>
      </w:pPr>
    </w:p>
    <w:p>
      <w:pPr>
        <w:ind w:left="900" w:right="340" w:hanging="383"/>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arrangements with third-party manufacturers of Haduvio, including developing, validating and maintaining a commercially viable manufacturing process that is compliant with current good manufacturing practices, or cGMPs;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protecting our patents, trade secrets and regulatory exclusivity in the U.S. and other countries;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focused, specialty sales organization in the U.S. and successfully launching commercial sales following any marketing approval;</w:t>
      </w:r>
    </w:p>
    <w:p>
      <w:pPr>
        <w:spacing w:after="0" w:line="117" w:lineRule="exact"/>
        <w:rPr>
          <w:rFonts w:ascii="Times New Roman" w:cs="Times New Roman" w:eastAsia="Times New Roman" w:hAnsi="Times New Roman"/>
          <w:sz w:val="18"/>
          <w:szCs w:val="18"/>
          <w:color w:val="auto"/>
        </w:rPr>
      </w:pPr>
    </w:p>
    <w:p>
      <w:pPr>
        <w:ind w:left="900" w:right="200" w:hanging="383"/>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commercial acceptance of our products, if approved, by patients, the medical community and third-party payors and obtaining and maintaining healthcare coverage and adequate reimbursement;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following any marketing approval;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w:t>
      </w:r>
    </w:p>
    <w:p>
      <w:pPr>
        <w:spacing w:after="0" w:line="11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Many of these factors are beyond our control, including the clinical development and regulatory approval process; potential threats to our intellectual property rights; and the manufacturing, marketing and sales efforts, respectively, of any current or future third-party contractors. If we are unable to develop, receive marketing approval for and successfully commercialize Haduvio or if we experience delays as a result of any of these factors or otherwise, our business would be substantially harmed.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approach to the development and commercialization of Haduvio to treat chronic cough is unproven.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currently focused on the development and commercialization of Haduvio for the treatment of chronic cough in IPF and RCC. Haduvio is an oral extended-release formulation of nalbuphine, the active drug ingredient in Haduvio. Haduvio acts on the cough reflex arc both centrally and peripherally as a kappa agonist and a mu antagonist (KAMA). Kappa and mu are opioid receptors that play a key role in controlling cough hypersensitivity. Nalbuphine has been approved and marketed as an injectable for pain</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37" w:name="page38"/>
    <w:bookmarkEnd w:id="37"/>
    <w:p>
      <w:pPr>
        <w:ind w:right="20"/>
        <w:spacing w:after="0" w:line="255" w:lineRule="auto"/>
        <w:rPr>
          <w:sz w:val="20"/>
          <w:szCs w:val="20"/>
          <w:color w:val="auto"/>
        </w:rPr>
      </w:pPr>
      <w:r>
        <w:rPr>
          <w:rFonts w:ascii="Times New Roman" w:cs="Times New Roman" w:eastAsia="Times New Roman" w:hAnsi="Times New Roman"/>
          <w:sz w:val="18"/>
          <w:szCs w:val="18"/>
          <w:color w:val="auto"/>
        </w:rPr>
        <w:t>indications for more than 30 years in the U.S. and Europe and is currently not commercially available in an oral dosage form. While we believe that nalbuphine’s dual mechanism of action, which targets both the central and peripheral nervous systems, makes Haduvio a promising potential therapy for the treatment of chronic cough and that Haduvio has the potential to be safe and well-tolerated, nalbuphine has not been approved in any indications other than pain and balanced anesthesia. Additionally, Haduvio has not been approved in any indication. No therapies have been approved for the treatment of chronic cough in IPF and no therapies have been approved in the U.S. for the treatment of RCC. Gefapixant has been approved in Europe, Switzerland, and Japan for the treatment of RCC. We can provide no assurance that Haduvio or any other future product candidate that we may seek to develop for chronic cough indications will be effective or safe, obtain regulatory approval or be commercially successful.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U.S. without obtaining marketing approval from the FDA. Foreign regulatory authorities, such as the EMA and MHRA, impose similar requirements. We must complete extensive clinical trials to demonstrate the safety and efficacy of Haduvio and any future product candidate in humans and complete required regulatory submissions before we will be able to obtain these approvals. We may never receive such approvals.</w:t>
      </w:r>
    </w:p>
    <w:p>
      <w:pPr>
        <w:spacing w:after="0" w:line="7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Clinical testing is expensive, is difficult to design and implement, can take many years to complete and is inherently uncertain as to outcome. The clinical development of Haduvio and any future product candidate is susceptible to the risk of failure at any stage of product development and we may experience numerous unforeseen events during or as a result of, clinical trials that could delay or prevent clinical development, marketing approval or commercialization of Haduvio or any future product candidate, including:</w:t>
      </w:r>
    </w:p>
    <w:p>
      <w:pPr>
        <w:spacing w:after="0" w:line="72" w:lineRule="exact"/>
        <w:rPr>
          <w:sz w:val="20"/>
          <w:szCs w:val="20"/>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may produce unfavorable or inconclusive results;</w:t>
      </w:r>
    </w:p>
    <w:p>
      <w:pPr>
        <w:spacing w:after="0" w:line="117"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may require us, to restructure clinical trials, conduct additional clinical and nonclinical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obtaining authorization to commence a clinical trial from regulators, clinical sites and institutional review boards;</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may be larger than we anticipate, as we experienced with the increase of the target number of enrolled patients for our Phase 2b/3 PRISM trial from 240 to 360 patients as a result of the sample size re-estimation analysis;</w:t>
      </w:r>
    </w:p>
    <w:p>
      <w:pPr>
        <w:spacing w:after="0" w:line="53"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enrollment in clinical trials may be slower than we anticipate or participants may discontinue their participation in these clinical trials at a higher rate than we anticipate, as we experienced in our Phase 2b/3 PRISM trial of Haduvio for the treatment of prurigo nodularis;</w:t>
      </w:r>
    </w:p>
    <w:p>
      <w:pPr>
        <w:spacing w:after="0" w:line="53" w:lineRule="exact"/>
        <w:rPr>
          <w:rFonts w:ascii="Times New Roman" w:cs="Times New Roman" w:eastAsia="Times New Roman" w:hAnsi="Times New Roman"/>
          <w:sz w:val="18"/>
          <w:szCs w:val="18"/>
          <w:color w:val="auto"/>
        </w:rPr>
      </w:pPr>
    </w:p>
    <w:p>
      <w:pPr>
        <w:ind w:left="900" w:right="58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planned clinical trials may be greater than we anticipate, such as if we are required to add additional sites, increase the target number of enrolled patients or use additional incentive strategies to address site activation and enrollment;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 sites may not have adequate staff and resources to support our trials on a timely basis;</w:t>
      </w:r>
    </w:p>
    <w:p>
      <w:pPr>
        <w:spacing w:after="0" w:line="117" w:lineRule="exact"/>
        <w:rPr>
          <w:rFonts w:ascii="Times New Roman" w:cs="Times New Roman" w:eastAsia="Times New Roman" w:hAnsi="Times New Roman"/>
          <w:sz w:val="18"/>
          <w:szCs w:val="18"/>
          <w:color w:val="auto"/>
        </w:rPr>
      </w:pPr>
    </w:p>
    <w:p>
      <w:pPr>
        <w:ind w:left="900" w:right="100" w:hanging="383"/>
        <w:spacing w:after="0" w:line="266"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any that may be manufacturing a product candidate or drug substance or conducting clinical trials on our behalf, may deviate from applicable trial protocols, fail to comply with regulatory requirements or fail to meet their contractual obligations to us in a timely manner or at all;</w:t>
      </w:r>
    </w:p>
    <w:p>
      <w:pPr>
        <w:spacing w:after="0" w:line="67"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53" w:lineRule="exact"/>
        <w:rPr>
          <w:rFonts w:ascii="Times New Roman" w:cs="Times New Roman" w:eastAsia="Times New Roman" w:hAnsi="Times New Roman"/>
          <w:sz w:val="18"/>
          <w:szCs w:val="18"/>
          <w:color w:val="auto"/>
        </w:rPr>
      </w:pPr>
    </w:p>
    <w:p>
      <w:pPr>
        <w:ind w:left="900" w:right="60" w:hanging="383"/>
        <w:spacing w:after="0" w:line="266"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who enroll in a clinical trial may misrepresent their eligibility to do so or may otherwise not comply with applicable clinical trial protocols, resulting in the need to drop the patients from the clinical trial, increase the needed enrollment size for the clinical trial or extend the clinical trial’s duration;</w:t>
      </w:r>
    </w:p>
    <w:p>
      <w:pPr>
        <w:spacing w:after="0" w:line="67" w:lineRule="exact"/>
        <w:rPr>
          <w:rFonts w:ascii="Times New Roman" w:cs="Times New Roman" w:eastAsia="Times New Roman" w:hAnsi="Times New Roman"/>
          <w:sz w:val="18"/>
          <w:szCs w:val="18"/>
          <w:color w:val="auto"/>
        </w:rPr>
      </w:pPr>
    </w:p>
    <w:p>
      <w:pPr>
        <w:ind w:left="900" w:right="36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delay, suspend or terminate clinical trials for various reasons, including a finding that the participants are being exposed to unacceptable health risks, undesirable side effects or other unexpected characteristics of a product candidate;</w:t>
      </w:r>
    </w:p>
    <w:p>
      <w:pPr>
        <w:spacing w:after="0" w:line="53" w:lineRule="exact"/>
        <w:rPr>
          <w:rFonts w:ascii="Times New Roman" w:cs="Times New Roman" w:eastAsia="Times New Roman" w:hAnsi="Times New Roman"/>
          <w:sz w:val="18"/>
          <w:szCs w:val="18"/>
          <w:color w:val="auto"/>
        </w:rPr>
      </w:pPr>
    </w:p>
    <w:p>
      <w:pPr>
        <w:ind w:left="900" w:hanging="383"/>
        <w:spacing w:after="0" w:line="261"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require that we or our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p>
      <w:pPr>
        <w:spacing w:after="0" w:line="71"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clinical trial designs or our interpretation of data from preclinical studies and clinical trials;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8" w:name="page39"/>
    <w:bookmarkEnd w:id="38"/>
    <w:p>
      <w:pPr>
        <w:ind w:left="900" w:right="460" w:hanging="383"/>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facilities of third-party manufacturers with which we enter into agreements for clinical and commercial supplies;</w:t>
      </w:r>
    </w:p>
    <w:p>
      <w:pPr>
        <w:spacing w:after="0" w:line="53" w:lineRule="exact"/>
        <w:rPr>
          <w:rFonts w:ascii="Times New Roman" w:cs="Times New Roman" w:eastAsia="Times New Roman" w:hAnsi="Times New Roman"/>
          <w:sz w:val="18"/>
          <w:szCs w:val="18"/>
          <w:color w:val="auto"/>
        </w:rPr>
      </w:pPr>
    </w:p>
    <w:p>
      <w:pPr>
        <w:ind w:left="900" w:right="60" w:hanging="383"/>
        <w:spacing w:after="0" w:line="261"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drug substance for our product candidates or the manufactured product candidate or other materials or drug substances necessary to conduct clinical trials of the product candidate may be insufficient, inadequate or not available at an acceptable cost or we may experience interruptions in supply, such as the difficulties we had in obtaining supply of IV butorphanol, the comparator drug in our HAP study;</w:t>
      </w:r>
    </w:p>
    <w:p>
      <w:pPr>
        <w:spacing w:after="0" w:line="71" w:lineRule="exact"/>
        <w:rPr>
          <w:rFonts w:ascii="Times New Roman" w:cs="Times New Roman" w:eastAsia="Times New Roman" w:hAnsi="Times New Roman"/>
          <w:sz w:val="18"/>
          <w:szCs w:val="18"/>
          <w:color w:val="auto"/>
        </w:rPr>
      </w:pPr>
    </w:p>
    <w:p>
      <w:pPr>
        <w:ind w:left="900" w:right="200" w:hanging="383"/>
        <w:spacing w:after="0" w:line="266"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of the importation or handling of drug substance and study equipment necessary to conduct clinical trials of the product candidate may significantly differ between jurisdictions, which could cause delays or prohibit us in delivering drug substance or study equipment to clinical trial sites;</w:t>
      </w:r>
    </w:p>
    <w:p>
      <w:pPr>
        <w:spacing w:after="0" w:line="67" w:lineRule="exact"/>
        <w:rPr>
          <w:rFonts w:ascii="Times New Roman" w:cs="Times New Roman" w:eastAsia="Times New Roman" w:hAnsi="Times New Roman"/>
          <w:sz w:val="18"/>
          <w:szCs w:val="18"/>
          <w:color w:val="auto"/>
        </w:rPr>
      </w:pPr>
    </w:p>
    <w:p>
      <w:pPr>
        <w:ind w:left="900" w:right="420" w:hanging="383"/>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or the landscape of available, approved therapies could change in a manner rendering our clinical data insufficient to obtain marketing approvals; and</w:t>
      </w:r>
    </w:p>
    <w:p>
      <w:pPr>
        <w:spacing w:after="0" w:line="53" w:lineRule="exact"/>
        <w:rPr>
          <w:rFonts w:ascii="Times New Roman" w:cs="Times New Roman" w:eastAsia="Times New Roman" w:hAnsi="Times New Roman"/>
          <w:sz w:val="18"/>
          <w:szCs w:val="18"/>
          <w:color w:val="auto"/>
        </w:rPr>
      </w:pPr>
    </w:p>
    <w:p>
      <w:pPr>
        <w:ind w:left="900" w:right="40" w:hanging="383"/>
        <w:spacing w:after="0" w:line="266"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refuse to accept for review any NDA, MAA or other comparable foreign regulatory application that we submit for a product candidate or may conclude after review of our data that our application is insufficient to obtain marketing approval of a product candidate.</w:t>
      </w:r>
    </w:p>
    <w:p>
      <w:pPr>
        <w:spacing w:after="0" w:line="176"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above, the COVID-19 pandemic previously adversely affected our clinical trial operations worldwide, and other outbreaks of infectious disease could in the future adversely affect our clinical trial operations worldwide, including our ability to recruit and retain principal investigators and site staff who, as healthcare providers, may have heightened exposure to infectious diseases. In the future, we may experience adverse impacts on our clinical trial activities, business operations, financial condition, and prospects as a result of outbreaks of infectious disease, among other factors.</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Haduvio or any future product candidate beyond the trials and testing that we contemplate, we are unable to successfully and timely complete clinical trials or other testing of Haduvio or any future product candidate, the results of these trials or tests are unfavorable, uncertain or are only modestly favorable or there are unacceptable safety concerns associated with the product candidate, we may:</w:t>
      </w:r>
    </w:p>
    <w:p>
      <w:pPr>
        <w:spacing w:after="0" w:line="72" w:lineRule="exact"/>
        <w:rPr>
          <w:sz w:val="20"/>
          <w:szCs w:val="20"/>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unplanned costs, which may exceed the resources that we have available or are able to obtain on reasonable terms;</w:t>
      </w:r>
    </w:p>
    <w:p>
      <w:pPr>
        <w:spacing w:after="0" w:line="117"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delays in obtaining marketing approval for the applicable product candidate for several years or more, which could shorten the periods during which we may have the exclusive right to commercialize the product candidate or allow competitors to bring products to market before us;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obtain marketing approval at all;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for indications or patient populations that are not as broad as we originally intended or desired;</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with labeling that includes significant use or distribution restrictions or significant safety warnings, including boxed warnings;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or other requirements;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remove the product from the market after obtaining marketing approval.</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If we are slow or unable to adapt to changes in existing requirements or the adoption of new requirements or policies governing clinical trials, our development plans may be impacted. For example, in December 2022, with the passage of the Food and Drug Omnibus Reform Act, or FDORA, Congress required that the FDA update or issue guidance relating to the format and content of Diversity Action Plans, or DAPs, required by sections of the Federal Food, Drug, and Cosmetic Act, or FDCA. Sponsors are required to develop and submit these plans for each Phase 3 clinical trial or any other “pivotal study” of a new drug or biological product. The FDA issued its draft guidance in June 2024, which will apply to any applicable trial for which enrollment commences after 180 days from the publication of the final guidance. These plans are meant to encourage the enrollment of more diverse patient populations in late-stage clinical trials of FDA-regulated products. Specifically, DAPs must include, among other things, the sponsor’s goals for enrollment, the underlying rationale for those goals, and an explanation of how the sponsor intends to meet them. Unlike most guidance documents issued by the FDA, the DAP guidance when finalized will have the force of law because FDORA specifically dictates that the form and manner for submission of DAPs are specified in FDA guidance.</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Similarly, the regulatory landscape related to clinical trials in the European Union, or E.U., recently evolved. The E.U. Clinical Trials Regulation, or CTR, which was adopted in April 2014 and repeals the E.U. Clinical Trials Directive, became applicable on January 31, 2022. While the Clinical Trials Directive required a separate clinical trial application, or CTA, to be submitted in each Member State of the E.U., or E.U.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39" w:name="page40"/>
    <w:bookmarkEnd w:id="39"/>
    <w:p>
      <w:pPr>
        <w:ind w:right="300"/>
        <w:spacing w:after="0" w:line="261" w:lineRule="auto"/>
        <w:rPr>
          <w:sz w:val="20"/>
          <w:szCs w:val="20"/>
          <w:color w:val="auto"/>
        </w:rPr>
      </w:pPr>
      <w:r>
        <w:rPr>
          <w:rFonts w:ascii="Times New Roman" w:cs="Times New Roman" w:eastAsia="Times New Roman" w:hAnsi="Times New Roman"/>
          <w:sz w:val="18"/>
          <w:szCs w:val="18"/>
          <w:color w:val="auto"/>
        </w:rPr>
        <w:t>requirements related to its own territory, including ethics rules. Each Member State’s decision is communicated to the sponsor via the centralized E.U. portal. Once the CTA is approved, clinical study development may proceed. If we are not able to address these changes in existing requirements or the adoption of new requirements or policies governing clinical trials or there are difficulties with the implementation of the CTR process, our development plans may be impacted.</w:t>
      </w:r>
    </w:p>
    <w:p>
      <w:pPr>
        <w:spacing w:after="0" w:line="7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failure to successfully and timely complete clinical trials of Haduvio for the treatment of chronic cough in IPF or RCC or for the treatment of prurigo nodularis or of any future product candidate and to demonstrate the efficacy and safety necessary to obtain regulatory approval to market any such product candidates would significantly harm our business and could result in the loss or impairment of our ability to generate revenues and effectuate our business strategy.</w:t>
      </w:r>
    </w:p>
    <w:p>
      <w:pPr>
        <w:spacing w:after="0" w:line="6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adequately the safety and efficacy of Haduvio or any future product candidates, which would likely prevent or delay regulatory approval and commercialization.</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Haduvio or any future product candidate we must demonstrate through lengthy, complex and expensive clinical trials that the product candidate is both safe and effective for use in the target indication. Clinical testing is expensive and can take many years to complete, and its outcome is inherently uncertain. It is possible that even if Haduvio or any future product candidate has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Haduvio or any future product candidate that is greater than the actual positive effect, if any. Similarly, in our clinical trials we may fail to detect toxicity of, or intolerability caused by, Haduvio or any future product candidate or mistakenly believe that Haduvio or any future product candidate is toxic or not well tolerated when that is not the case after the clinical evaluation is completed. Many pharmaceutical and biotechnology companies have suffered significant setbacks in late-stage clinical trials after achieving positive results in earlier development, and we cannot be certain that we will not face setbacks as we continue our clinical development of Haduvio and develop any other product candidates. It is also possible that any of our development programs could be placed on full or partial clinical hold by regulatory authorities at any point, which would delay and possibly prevent further development of those programs.</w:t>
      </w:r>
    </w:p>
    <w:p>
      <w:pPr>
        <w:spacing w:after="0" w:line="82"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In addition, even if the clinical trials we plan are successfully completed and Haduvio or any future product candidate achieves its specified endpoints in such trials, we cannot guarantee that the FDA or foreign regulatory authorities will interpret the results as we do, and more trials could be required before we are able to submit product candidates for marketing approval.</w:t>
      </w:r>
    </w:p>
    <w:p>
      <w:pPr>
        <w:spacing w:after="0" w:line="6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Use of patient-reported outcome assessments, or PROs, in our clinical trials and high placebo response rates may delay or impair the development of Haduvio or adversely impact our clinical trials.</w:t>
      </w:r>
    </w:p>
    <w:p>
      <w:pPr>
        <w:spacing w:after="0" w:line="5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Although the primary endpoint in our future clinical trials of Haduvio for the treatment of chronic cough in IPF and RCC will be measured using an objective cough monitor, we have PRO instruments as secondary endpoints. There is not currently a validated PRO instrument that has been accepted for chronic cough indications.</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PROs have an important role in the development and regulatory approval of treatments for cough. However, PROs involve patients’ subjective assessments of efficacy, and this subjectivity can increase the uncertainty of clinical trial outcomes assessing cough. Such assessments can be influenced by a number of factors and can vary widely from day to day for any particular patient and from patient to patient and site to site within a clinical trial, leading to high variability in PRO measurements.</w:t>
      </w:r>
    </w:p>
    <w:p>
      <w:pPr>
        <w:spacing w:after="0" w:line="72"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In addition, PROs have historically been observed to have high placebo group response rates. We observed this in some of our clinical trials of Haduvio. The variability of PRO measures may be greater than other measures used for clinical trial assessments, and that variability can complicate clinical trial design, adversely impact the ability of a trial to show a statistically significant improvement and generally adversely impact a clinical development program by introducing additional uncertainties.</w:t>
      </w:r>
    </w:p>
    <w:p>
      <w:pPr>
        <w:spacing w:after="0" w:line="7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variability of PRO measures and related high placebo response rates have adversely impacted clinical results of other therapies being tested and could adversely impact our clinical development of Haduvio. The FDA could also require changes in the PROs we are currently using or indicate that the PROs we are using are insufficient for demonstrating efficacy, potentially delaying clinical development of Haduvio, increasing our costs and making additional clinical trials necessary.</w:t>
      </w:r>
    </w:p>
    <w:p>
      <w:pPr>
        <w:spacing w:after="0" w:line="6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Haduvio or any future product candidate if we are unable to locate and enroll a sufficient number of eligible patients to participate in clinical trials as required by the FDA or comparable foreign regulatory authorities. Patient enrollment is a significant factor in the timing of our clinical trials and is affected by many factors, including:</w:t>
      </w:r>
    </w:p>
    <w:p>
      <w:pPr>
        <w:spacing w:after="0" w:line="68" w:lineRule="exact"/>
        <w:rPr>
          <w:sz w:val="20"/>
          <w:szCs w:val="20"/>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eligible patient population;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eligible patients to clinical sites;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0" w:name="page41"/>
    <w:bookmarkEnd w:id="40"/>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and</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risks of the product candidate being studied in relation to other available therapies, including any new drugs that may be approved for the indications under investigation.</w:t>
      </w:r>
    </w:p>
    <w:p>
      <w:pPr>
        <w:spacing w:after="0" w:line="54" w:lineRule="exact"/>
        <w:rPr>
          <w:sz w:val="20"/>
          <w:szCs w:val="20"/>
          <w:color w:val="auto"/>
        </w:rPr>
      </w:pPr>
    </w:p>
    <w:p>
      <w:pPr>
        <w:ind w:right="180" w:firstLine="515"/>
        <w:spacing w:after="0" w:line="266" w:lineRule="auto"/>
        <w:rPr>
          <w:sz w:val="20"/>
          <w:szCs w:val="20"/>
          <w:color w:val="auto"/>
        </w:rPr>
      </w:pPr>
      <w:r>
        <w:rPr>
          <w:rFonts w:ascii="Times New Roman" w:cs="Times New Roman" w:eastAsia="Times New Roman" w:hAnsi="Times New Roman"/>
          <w:sz w:val="18"/>
          <w:szCs w:val="18"/>
          <w:color w:val="auto"/>
        </w:rPr>
        <w:t>In particular, the successful completion of our clinical development program for Haduvio for the treatment of chronic cough in IPF and RCC is dependent upon our ability to enroll a sufficient number of patients with these severe conditions. We experienced delays and difficulties in the enrollment of patients in our clinical trials, including our Phase 2 CANAL trial, which delayed the completion of our trials.</w:t>
      </w:r>
    </w:p>
    <w:p>
      <w:pPr>
        <w:spacing w:after="0" w:line="68" w:lineRule="exact"/>
        <w:rPr>
          <w:sz w:val="20"/>
          <w:szCs w:val="20"/>
          <w:color w:val="auto"/>
        </w:rPr>
      </w:pPr>
    </w:p>
    <w:p>
      <w:pPr>
        <w:ind w:right="120" w:firstLine="515"/>
        <w:spacing w:after="0" w:line="258" w:lineRule="auto"/>
        <w:rPr>
          <w:sz w:val="20"/>
          <w:szCs w:val="20"/>
          <w:color w:val="auto"/>
        </w:rPr>
      </w:pPr>
      <w:r>
        <w:rPr>
          <w:rFonts w:ascii="Times New Roman" w:cs="Times New Roman" w:eastAsia="Times New Roman" w:hAnsi="Times New Roman"/>
          <w:sz w:val="18"/>
          <w:szCs w:val="18"/>
          <w:color w:val="auto"/>
        </w:rPr>
        <w:t>Other companies are conducting clinical trials or have announced plans for future clinical trials that are seeking or are likely to seek to enroll patients with IPF and RCC, and patients are generally only able to enroll in a single trial at a time. No therapies have been approved for the treatment of chronic cough in IPF and no therapies have been approved in the U.S. for the treatment of RCC. However, patients with these conditions, as well as their physicians, may be reluctant to forgo, discontinue or otherwise alter their use of the therapeutic approaches they currently use in order to participate in our clinical trials.</w:t>
      </w:r>
    </w:p>
    <w:p>
      <w:pPr>
        <w:spacing w:after="0" w:line="75" w:lineRule="exact"/>
        <w:rPr>
          <w:sz w:val="20"/>
          <w:szCs w:val="20"/>
          <w:color w:val="auto"/>
        </w:rPr>
      </w:pPr>
    </w:p>
    <w:p>
      <w:pPr>
        <w:ind w:firstLine="515"/>
        <w:spacing w:after="0" w:line="258" w:lineRule="auto"/>
        <w:rPr>
          <w:sz w:val="20"/>
          <w:szCs w:val="20"/>
          <w:color w:val="auto"/>
        </w:rPr>
      </w:pPr>
      <w:r>
        <w:rPr>
          <w:rFonts w:ascii="Times New Roman" w:cs="Times New Roman" w:eastAsia="Times New Roman" w:hAnsi="Times New Roman"/>
          <w:sz w:val="18"/>
          <w:szCs w:val="18"/>
          <w:color w:val="auto"/>
        </w:rPr>
        <w:t>Any inability to enroll a sufficient number of patients for our clinical trials could result in significant delays or may require us to abandon one or more clinical trials altogether. Enrollment delays in our clinical trials may result in increased development costs for Haduvio or any future product candidate, delay or halt the development of and approval processes for such product candidate and jeopardize our ability to commence sales of and generate revenues from such product candidate, any of which could cause the value of our company to decline and limit our ability to obtain additional financing, if needed.</w:t>
      </w:r>
    </w:p>
    <w:p>
      <w:pPr>
        <w:spacing w:after="0" w:line="7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events or undesirable side effects caused by, or other unexpected properties of, Haduvio or any future product candidate may be identified during development and could delay or prevent the marketing approval or limit the use of Haduvio or any future product candidate.</w:t>
      </w:r>
    </w:p>
    <w:p>
      <w:pPr>
        <w:spacing w:after="0" w:line="5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Adverse events or undesirable side effects caused by or other unexpected properties of, Haduvio or any future product candidate could cause us, an institutional review board or regulatory authorities to interrupt, delay or halt clinical trials of such product candidate and could result in a more restrictive label or the delay or denial of marketing approval by the FDA or comparable foreign regulatory authorities. We cannot be certain that serious adverse events will not occur in future clinical trials, which could cause the FDA or comparable foreign regulatory authorities to interrupt, delay or halt clinical trials of such product candidate, approve a more restrictive label than we desire or delay or deny regulatory approval.</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Haduvio, as a mixed kappa-opioid receptor agonist and mu-opioid receptor antagonist, may be susceptible to side effects associated with drugs having either of those mechanisms of action. kappa-opioid receptor agonists have been associated with poorly tolerated psychiatric side effects, such as feelings of emotional and mental discomfort or dysphoria and hallucinations, at high doses. While we believe that the dual kappa-opioid receptor agonist and mu-opioid receptor antagonist mechanism of action of nalbuphine reduces the likelihood of such psychiatric side effects, we have observed mild psychiatric side effects, including a few reported cases of mild euphoria, somnolence and feeling relaxed or feeling “high,” in clinical trials of Haduvio to date. mu-opioid receptor antagonists have the potential to precipitate withdrawal effects in patients, including drug addicts. To support our planned submission of an NDA to the FDA for Haduvio, due to the association of opioids with endocrine dysfunction, we may be required to conduct a clinical trial of Haduvio to evaluate potential endocrine side effects. We cannot be certain that any of these side effects often associated with opioids, or other side effects, will not be observed or observed at more severe levels in the future or that the FDA will not require additional trials or impose more severe labeling restrictions due to these side effects or other concerns. Such drug-related side effects could also affect patient recruitment or the ability of enrolled patients to complete a trial or result in potential product liability claims.</w:t>
      </w:r>
    </w:p>
    <w:p>
      <w:pPr>
        <w:spacing w:after="0" w:line="84"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our clinical trials of Haduvio for the treatment of prurigo nodularis, the most frequently reported treatment emergent adverse events associated with Haduvio were nausea, fatigue, dizziness, vomiting, headache, anxiety, depression, constipation and somnolence. In our Phase 2 CANAL trial of Haduvio for the treatment of chronic cough in IPF, the most frequently reported treatment emergent adverse events associated with Haduvio were nausea, fatigue, dizziness, vomiting, headache, constipation and somnolence.</w:t>
      </w:r>
    </w:p>
    <w:p>
      <w:pPr>
        <w:spacing w:after="0" w:line="72" w:lineRule="exact"/>
        <w:rPr>
          <w:sz w:val="20"/>
          <w:szCs w:val="20"/>
          <w:color w:val="auto"/>
        </w:rPr>
      </w:pPr>
    </w:p>
    <w:p>
      <w:pPr>
        <w:ind w:right="60" w:firstLine="515"/>
        <w:spacing w:after="0" w:line="258" w:lineRule="auto"/>
        <w:rPr>
          <w:sz w:val="20"/>
          <w:szCs w:val="20"/>
          <w:color w:val="auto"/>
        </w:rPr>
      </w:pPr>
      <w:r>
        <w:rPr>
          <w:rFonts w:ascii="Times New Roman" w:cs="Times New Roman" w:eastAsia="Times New Roman" w:hAnsi="Times New Roman"/>
          <w:sz w:val="18"/>
          <w:szCs w:val="18"/>
          <w:color w:val="auto"/>
        </w:rPr>
        <w:t>If Haduvio or any future product candidate is associated with adverse events or undesirable side effects or demonstrates unexpected properties, we may need to abandon development or limit development of that product candidate to certain uses or subpopulations in which the undesirable side effects or other characteristics are less prevalent, less severe or more acceptable from a risk-benefit perspective. Many compounds that have initially shown promise in clinical or earlier stage testing were later discovered to cause undesirable or unexpected side effects or raised other safety issues that delayed or prevented further development of the compound.</w:t>
      </w:r>
    </w:p>
    <w:p>
      <w:pPr>
        <w:spacing w:after="0" w:line="7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drug label for nalbuphine, the active ingredient in Haduvio, carries an opioid class label warning for serious, life-threatening or fatal respiratory depression.</w:t>
      </w:r>
    </w:p>
    <w:p>
      <w:pPr>
        <w:spacing w:after="0" w:line="51" w:lineRule="exact"/>
        <w:rPr>
          <w:sz w:val="20"/>
          <w:szCs w:val="20"/>
          <w:color w:val="auto"/>
        </w:rPr>
      </w:pPr>
    </w:p>
    <w:p>
      <w:pPr>
        <w:ind w:right="40" w:firstLine="515"/>
        <w:spacing w:after="0" w:line="256" w:lineRule="auto"/>
        <w:rPr>
          <w:sz w:val="20"/>
          <w:szCs w:val="20"/>
          <w:color w:val="auto"/>
        </w:rPr>
      </w:pPr>
      <w:r>
        <w:rPr>
          <w:rFonts w:ascii="Times New Roman" w:cs="Times New Roman" w:eastAsia="Times New Roman" w:hAnsi="Times New Roman"/>
          <w:sz w:val="18"/>
          <w:szCs w:val="18"/>
          <w:color w:val="auto"/>
        </w:rPr>
        <w:t>Opioids as a class are associated with respiratory depression. The drug label for nalbuphine, the active ingredient in Haduvio, carries an opioid class label warning for serious, life-threatening or fatal respiratory depression and Haduvio, if approved for marketing in any indication, will likely carry a similar opioid class label. We have initiated our Phase 1b TIDAL study to evaluate the effect of Haduvio on respiratory physiology in patients with IPF of varying disease severity. We cannot be certain that respiratory depression will not be observed or that the FDA will not require additional trials or impose more severe labeling restrictions related to respiratory depression. If there is a safety signal in the Phase 1b study, it could affect our ability to conduct a trial in this patient population.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currently approved mu-opioid products are subject to restrictive marketing and distribution regulations which, if applied to Haduvio, could potentially restrict its use and harm our ability to generate profits.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Many currently approved mu-opioid receptor agonists require a Risk Evaluation and Mitigation Strategy, or REMS, as part of their approval by the FDA. REMS programs may require medication guides for patients, special communication plans to healthcare professionals or elements to assure safe use, such as restricted distribution methods, patient registries and/or other risk minimization tools. While Haduvio has a mu-antagonist mechanism of action and has been well-tolerated in clinical trials to date, we have observed a few cases of mild euphoria, somnolence and feeling relaxed or feeling “high,” which are characteristics that have led to misuse, abuse and addiction of mu-opioids. We are conducting a HAP study to compare the abuse potential of oral nalbuphine to IV butorphanol. If the results of the HAP study suggest that Haduvio may carry risks of misuse, abuse or addiction or even if the study indicates that Haduvio does not carry such risks, the FDA may require us to implement a REMS program in connection with any commercialization of Haduvio. We cannot predict whether a REMS program would be required as part of FDA approval of Haduvio and, if required, what requirements it might entail. Any limitations on approval or marketing could restrict the commercial promotion, distribution, prescription or dispensation of Haduvio, if approved. If a REMS program is required, depending on the extent of the REMS requirements, the program might significantly increase our costs to commercialize Haduvio. Furthermore, risks of Haduvio that are not adequately addressed through a proposed REMS program for Haduvio may also prevent or delay any approval for commercialization.</w:t>
      </w:r>
    </w:p>
    <w:p>
      <w:pPr>
        <w:spacing w:after="0" w:line="8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addition, the parenteral formulation of nalbuphine is currently not scheduled as a controlled substance under the federal Controlled Substances Act of 1970 or the regulations of the U.S. Drug Enforcement Agency, or the DEA, in the U.S. It is possible that, based on the results of our HAP study, adverse events in our clinical trials or for other reasons, the DEA could determine that Haduvio, which is an oral, extended-release formulation, should be classified as a controlled substance. The DEA regulates controlled substances as Schedule I, II, III, IV or V substances. Schedule I substances by definition have no established medicinal use and may not be marketed or sold in the U.S. A pharmaceutical product may be listed as Schedule II, III, IV or V, with Schedule II substances considered to present the highest risk of abuse and carrying the greater level of regulatory control and Schedule V substances considered to present the lowest relative risk of abuse among such substances and, accordingly, the lowest level of regulatory control. Various states also independently regulate controlled substances. Though state-controlled substance laws often mirror federal law, because the states are separate jurisdictions, they may separately regulate drugs as well. While some states automatically classify a drug when the DEA does so, in other states there must be rulemaking or a legislative action. Regulatory authorities in foreign jurisdictions may also determine to classify Haduvio as a controlled substance under different, but potentially no less burdensome, regulations.</w:t>
      </w:r>
    </w:p>
    <w:p>
      <w:pPr>
        <w:spacing w:after="0" w:line="8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If Haduvio is classified as a controlled substance, the level of regulation would depend on how it is scheduled and we and our suppliers, manufacturers, contractors, distributors and any future customers would be required to obtain and maintain any applicable registrations from state, federal and foreign law enforcement and regulatory agencies and comply with any applicable state, federal and foreign laws and regulations regarding the manufacture, use, sale, importation, exportation and distribution of controlled substances. Also, if Haduvio is classified as a controlled substance, there is a risk that such regulations could limit its supply for use in clinical trials and, in the future, limit our ability to produce and distribute Haduvio in the volume needed to meet potential commercial demand.</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Regulations associated with controlled substances govern manufacturing, labeling, packaging, testing, dispensing, production and procurement quotas, record 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If Haduvio is classified as a controlled substance, failure to obtain and maintain required registrations or comply with any applicable regulations could delay or preclude us from developing and commercializing Haduvio and subject us to enforcement action. The DEA may seek civil penalties, refuse to renew necessary registrations or initiate proceedings to revoke those registrations. In some circumstances, violations could lead to criminal proceedings. Because of the restrictive nature of these regulations, if Haduvio is classified as a controlled substance, depending on how it is scheduled, its commercial prospects could be limited.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preclinical studies and clinical trials may not be predictive of results of later clinical trials.</w:t>
      </w:r>
    </w:p>
    <w:p>
      <w:pPr>
        <w:spacing w:after="0" w:line="121" w:lineRule="exact"/>
        <w:rPr>
          <w:sz w:val="20"/>
          <w:szCs w:val="20"/>
          <w:color w:val="auto"/>
        </w:rPr>
      </w:pPr>
    </w:p>
    <w:p>
      <w:pPr>
        <w:ind w:right="20" w:firstLine="509"/>
        <w:spacing w:after="0" w:line="272" w:lineRule="auto"/>
        <w:rPr>
          <w:sz w:val="20"/>
          <w:szCs w:val="20"/>
          <w:color w:val="auto"/>
        </w:rPr>
      </w:pPr>
      <w:r>
        <w:rPr>
          <w:rFonts w:ascii="Times New Roman" w:cs="Times New Roman" w:eastAsia="Times New Roman" w:hAnsi="Times New Roman"/>
          <w:sz w:val="17"/>
          <w:szCs w:val="17"/>
          <w:color w:val="auto"/>
        </w:rPr>
        <w:t>The outcome of preclinical studies and clinical trials may not be predictive of the success of later clinical trials and preliminary or interim results of clinical trials do not necessarily predict final results. For instance, Haduvio or any future product candidate may fail to show the desired safety and efficacy in future clinical trials despite demonstrating positive results in preclinical studies or earlier clinical trials. The results of our Phase 2 CANAL trial for the treatment of chronic cough in IPF may not be predictive of the results of future trials of Haduvio for the treatment of chronic cough in IPF or RCC, and the results of our Phase 2b/3 PRISM trial of Haduvio for the treatment of prurigo nodularis may not be predictive of the results of any future clinical trial in prurigo nodularis. Many pharmaceutical and biotechnology companies have suffered significant setbacks in late-stage clinical trials after achieving positive results in earlier stages of clinical development and we could face similar setbacks. Similarly, the design of a clinical trial can determine whether its results will support marketing approval of a product and adjustments in the design of a clinical trial may not be possible once the clinical trial has commenced.</w:t>
      </w:r>
    </w:p>
    <w:p>
      <w:pPr>
        <w:spacing w:after="0" w:line="6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have limited experience in designing pivotal clinical trials and flaws in the design of a clinical trial could result in significant delays in completing the clinical trial or may require us to abandon the clinical trial altogether or conduct additional clinical trials. Preclinical and clinical data are also often susceptible to varying interpretations and analyses. Many pharmaceutical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42" w:name="page43"/>
    <w:bookmarkEnd w:id="42"/>
    <w:p>
      <w:pPr>
        <w:ind w:right="120"/>
        <w:spacing w:after="0" w:line="261" w:lineRule="auto"/>
        <w:rPr>
          <w:sz w:val="20"/>
          <w:szCs w:val="20"/>
          <w:color w:val="auto"/>
        </w:rPr>
      </w:pPr>
      <w:r>
        <w:rPr>
          <w:rFonts w:ascii="Times New Roman" w:cs="Times New Roman" w:eastAsia="Times New Roman" w:hAnsi="Times New Roman"/>
          <w:sz w:val="18"/>
          <w:szCs w:val="18"/>
          <w:color w:val="auto"/>
        </w:rPr>
        <w:t>biotechnology companies that believed their product candidates performed satisfactorily in preclinical studies and clinical trials have nonetheless failed to obtain marketing approval for those product candidates. Even if we believe that the results of clinical trials for Haduvio or any future product candidate warrant marketing approval, the FDA or comparable foreign regulatory authorities may disagree and may not grant marketing approval of the product candidate.</w:t>
      </w:r>
    </w:p>
    <w:p>
      <w:pPr>
        <w:spacing w:after="0" w:line="7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addition, some of our data for Haduvio for the treatment of cough and prurigo nodularis is drawn from </w:t>
      </w:r>
      <w:r>
        <w:rPr>
          <w:rFonts w:ascii="Times New Roman" w:cs="Times New Roman" w:eastAsia="Times New Roman" w:hAnsi="Times New Roman"/>
          <w:sz w:val="18"/>
          <w:szCs w:val="18"/>
          <w:i w:val="1"/>
          <w:iCs w:val="1"/>
          <w:color w:val="auto"/>
        </w:rPr>
        <w:t>post hoc</w:t>
      </w:r>
      <w:r>
        <w:rPr>
          <w:rFonts w:ascii="Times New Roman" w:cs="Times New Roman" w:eastAsia="Times New Roman" w:hAnsi="Times New Roman"/>
          <w:sz w:val="18"/>
          <w:szCs w:val="18"/>
          <w:color w:val="auto"/>
        </w:rPr>
        <w:t xml:space="preserve"> analyses of data subsets from the Phase 2 CANAL trial and a Phase 2 trial in prurigo nodularis. While we believe these data may be useful in informing the design of future Phase 3 clinical trials for Haduvio, </w:t>
      </w:r>
      <w:r>
        <w:rPr>
          <w:rFonts w:ascii="Times New Roman" w:cs="Times New Roman" w:eastAsia="Times New Roman" w:hAnsi="Times New Roman"/>
          <w:sz w:val="18"/>
          <w:szCs w:val="18"/>
          <w:i w:val="1"/>
          <w:iCs w:val="1"/>
          <w:color w:val="auto"/>
        </w:rPr>
        <w:t>post hoc</w:t>
      </w:r>
      <w:r>
        <w:rPr>
          <w:rFonts w:ascii="Times New Roman" w:cs="Times New Roman" w:eastAsia="Times New Roman" w:hAnsi="Times New Roman"/>
          <w:sz w:val="18"/>
          <w:szCs w:val="18"/>
          <w:color w:val="auto"/>
        </w:rPr>
        <w:t xml:space="preserve"> analyses performed after unmasking trial results can result in the introduction of bias and may not be predictive of success in Phase 3 clinical trials.</w:t>
      </w:r>
    </w:p>
    <w:p>
      <w:pPr>
        <w:spacing w:after="0" w:line="7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patient populations, changes in and adherence to dosing regimens and other clinical trial protocols, as well as the rate of discontinuation among clinical trial participants. If we fail to receive positive results in clinical trials of Haduvio or any future product candidate, the development timeline and regulatory approval and commercialization prospects for those product candidates and, correspondingly, our business and financial prospects would be negatively impacted.</w:t>
      </w:r>
    </w:p>
    <w:p>
      <w:pPr>
        <w:spacing w:after="0" w:line="71"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Haduvio or any future product candidate receives marketing approval, we or others may later discover that the product is less effective than previously believed or that it causes undesirable side effects that were not previously identified, which could compromise our ability to market the product.</w:t>
      </w:r>
    </w:p>
    <w:p>
      <w:pPr>
        <w:spacing w:after="0" w:line="6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Clinical trials are conducted in carefully defined sets of patients who have agreed to participate in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adverse events could occur:</w:t>
      </w:r>
    </w:p>
    <w:p>
      <w:pPr>
        <w:spacing w:after="0" w:line="72" w:lineRule="exact"/>
        <w:rPr>
          <w:sz w:val="20"/>
          <w:szCs w:val="20"/>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the product, change the way the product is administered or conduct additional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for, the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the previously unidentified side effects for distribution to patients;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events could harm our business and operations and could negatively impact our stock price.</w:t>
      </w:r>
    </w:p>
    <w:p>
      <w:pPr>
        <w:spacing w:after="0" w:line="11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Haduvio or any future product candidate receives marketing approval, it may fail to achieve the degree of market acceptance by physicians, patients, third-party payors and others in the medical community necessary for commercial success, in which case the market opportunity for Haduvio may be smaller than we estimate and we may not generate significant revenues or become profitable.</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never commercialized a product and even if Haduvio or any future product candidate is approved by the appropriate regulatory authorities for marketing and sale, it may nonetheless fail to gain sufficient market acceptance by physicians, patients, third-party payors and others in the medical community. Physicians are often reluctant to switch their patients from existing therapies even when new and potentially more effective or convenient treatments enter the market and may be reluctant to prescribe opioid-based therapies due to perceived risks of misuse, abuse and addiction. Further, patients often acclimate to their current therapies and do not want to switch unless their physicians recommend changing products or they are required to switch therapies due to lack of reimbursement for existing therapies.</w:t>
      </w:r>
    </w:p>
    <w:p>
      <w:pPr>
        <w:spacing w:after="0" w:line="7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Haduvio or any future product candidate may require significant resources and may not be successful. If Haduvio or any future product candidate is approved but does not achieve an adequate level of market acceptance, we may not generate significant revenues and we may not become profitable. The degree of market acceptance of Haduvio or any future product candidate, if approved for commercial sale, will depend on a number of factors, including:</w:t>
      </w:r>
    </w:p>
    <w:p>
      <w:pPr>
        <w:spacing w:after="0" w:line="72" w:lineRule="exact"/>
        <w:rPr>
          <w:sz w:val="20"/>
          <w:szCs w:val="20"/>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the product compared to other therapies;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3" w:name="page44"/>
    <w:bookmarkEnd w:id="43"/>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the DEA could determine that Haduvio should be classified as a controlled substance;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 second- or third-line therapy;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the product for sale at competitive prices;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and ease of administration;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physicians to prescribe the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 for the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 for the same indications;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as well as competitive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the product;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amount of coverage and reimbursement from government payors, managed care plans and other third-party payors.</w:t>
      </w:r>
    </w:p>
    <w:p>
      <w:pPr>
        <w:spacing w:after="0" w:line="11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 For example, we currently intend to focus our resources on the development of Haduvio for certain indications. However, the development of Haduvio for these indications may ultimately prove to be unsuccessful or less successful than another product candidate or other indications that we might have chosen to pursue with our limited resources.</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spacing w:after="0" w:line="7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do not currently have a sales, marketing or distribution infrastructure and have no experience in the sale, marketing or distribution of pharmaceutical products. To achieve commercial success for any approved product, we must either develop a sales and marketing organization or outsource these functions to third parties. If Haduvio receives marketing approval from the FDA for chronic cough in IPF, we plan to market and commercialize Haduvio in the U.S. with our own focused, specialty sales organization targeting pulmonologists who specialize in IPF. If Haduvio receives marketing approval from the FDA for other larger chronic conditions, such as RCC or prurigo nodularis, we may plan to market and commercialize Haduvio in the U.S. with our own focused, specialty sales organization, or seek to enter into a strategic alliance for commercialization for such indication or indications. We also expect to utilize a variety of collaboration, distribution and other marketing arrangements with one or more third parties to commercialize Haduvio outside the U.S.</w:t>
      </w:r>
    </w:p>
    <w:p>
      <w:pPr>
        <w:spacing w:after="0" w:line="84"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plan to build focused capabilities to commercialize development programs for certain indications where we believe that medical specialists are sufficiently concentrated to allow us to effectively promote products with a specialty sales team. The development of sales, marketing and distribution capabilities will require substantial resources, will be time-consuming and could delay any product launch. We could prematurely or unnecessarily incur commercialization costs if the commercial launch of a product candidate for which we recruit a sales force and establish marketing and distribution capabilities is delayed or does not occur for any reason. This may be costly, and our business and financial prospects could be significantly affected if we could not retain or reposition our sales and marketing personnel. In addition, we may not be able to hire or retain a sales force in the U.S. that is sufficient in size or has adequate expertise in the medical markets that we plan to target. If we are unable to establish or retain an adequate sales force and marketing and distribution capabilities, our operating results may be adversely affected. If a potential partner has development or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4" w:name="page45"/>
    <w:bookmarkEnd w:id="44"/>
    <w:p>
      <w:pPr>
        <w:ind w:right="80"/>
        <w:spacing w:after="0" w:line="282" w:lineRule="auto"/>
        <w:rPr>
          <w:sz w:val="20"/>
          <w:szCs w:val="20"/>
          <w:color w:val="auto"/>
        </w:rPr>
      </w:pPr>
      <w:r>
        <w:rPr>
          <w:rFonts w:ascii="Times New Roman" w:cs="Times New Roman" w:eastAsia="Times New Roman" w:hAnsi="Times New Roman"/>
          <w:sz w:val="18"/>
          <w:szCs w:val="18"/>
          <w:color w:val="auto"/>
        </w:rPr>
        <w:t>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54"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certain indications and markets, we may seek to enter into collaborations that we believe may contribute to our ability to advance development and ultimately commercialize Haduvio or any future product candidate.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8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If we do not establish sales, marketing and distribution capabilities, either on our own or in collaboration with third parties, we will not be successful in commercializing any product candidate that receives marketing approval.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developing or commercializing products before or more successfully than we do.</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new products is highly competitive. We expect that we will face significant competition from major pharmaceutical companies, specialty pharmaceutical companies and biotechnology companies worldwide with respect to Haduvio or any future product candidate that we may seek to develop or commercialize. Our competitors may succeed in developing, acquiring or licensing technologies and products that are more effective, have fewer or more tolerable side effects or are more convenient or less costly than Haduvio or any future product candidate we may develop, which could render any product candidates obsolete and noncompetitive. Our competitors also may obtain FDA or other marketing approval for their products before we are able to obtain approval for ours, which could result in competitors establishing a strong market position before we are able to enter the applicable market.</w:t>
      </w:r>
    </w:p>
    <w:p>
      <w:pPr>
        <w:spacing w:after="0" w:line="81"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If Haduvio is approved for the treatment of chronic cough in IPF, we expect that it may compete with product candidates currently in clinical development for the treatment of chronic cough in IPF, such as orvepitant, a NK1 receptor antagonist, which is being developed by Nerre Therapeutics, ME-015, a reactive oxygen species scavenger, which is being developed by Melius Pharma, BI 1839100, which is being developed by Boehringer Ingelheim, and ifenprodil, a NMDA receptor antagonist, which is being developed by Seyltx, Inc. In addition, it is possible that product candidates currently in development for the treatment of IPF could, if approved, reduce the need for therapies to treat chronic cough in IPF. We expect that Haduvio might also compete with other product candidates currently in development, or submitted for approval to the FDA, for the treatment of RCC and unexplained chronic cough that might be used off-label to treat chronic cough in IPF.</w:t>
      </w:r>
    </w:p>
    <w:p>
      <w:pPr>
        <w:spacing w:after="0" w:line="8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If Haduvio is approved for the treatment of RCC, we expect that it may compete with product candidates currently in clinical development for the treatment of RCC such as gefapixant, a P2X3 antagonist, which is being developed by Merck. However, in December 2023, Merck received a Complete Response Letter from the FDA which concluded that Merck’s application did not meet substantial evidence of effectiveness for treating RCC and unexplained chronic cough. Other product candidates that are currently in development for the treatment of RCC include camlipixant, a P2X3 antagonist, which is being developed by GSK plc, taplucainium (formerly NTX-1175), a charged sodium channel blocker, which is being developed by Nocion, AX-8, a TRPM8 antagonist, which is being developed by Axalbion, GABAB PAM, a GABA agonist, which is being developed by Addex Therapeutics, and ifenprodil, a NMDA receptor antagonist, which is being developed by Seyltx, Inc.</w:t>
      </w:r>
    </w:p>
    <w:p>
      <w:pPr>
        <w:spacing w:after="0" w:line="8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also expect that Haduvio would compete with a number of therapeutics that are used off-label to treat chronic cough, including opioids, proton-pump inhibitors, and neuromodulators.</w:t>
      </w:r>
    </w:p>
    <w:p>
      <w:pPr>
        <w:spacing w:after="0" w:line="54"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Many of our competitors and potential competitors, either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biotechnology and 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w:t>
      </w:r>
    </w:p>
    <w:p>
      <w:pPr>
        <w:spacing w:after="0" w:line="7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 product candidate, the product may become subject to unfavorable pricing regulations, third-party payor reimbursement practices or healthcare reform initiatives, any of which could harm our business.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commercial success of any product we develop will depend substantially, both in the U.S. and other countries, on the extent to which the costs of the product will be paid by third-party payors, including government health administration authorities and private health coverage insurers. If coverage and reimbursement are not available or reimbursement is available only to limited levels, we may not be able to successfully commercialize that product. Even if coverage is provided for the product, the approved reimbursement amount may not be high enough to allow us to establish or maintain pricing sufficient to realize a return on our investments. In the U.S.,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any product we commercialize to each</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payor separately, with no assurance that coverage and adequate reimbursement will be applied consistently or obtained in the first instance.</w:t>
      </w:r>
    </w:p>
    <w:p>
      <w:pPr>
        <w:spacing w:after="0" w:line="11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those product candidates obtain marketing approval.</w:t>
      </w:r>
    </w:p>
    <w:p>
      <w:pPr>
        <w:spacing w:after="0" w:line="8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Patients who are provided medical treatment for their conditions generally rely on third-party payors to reimburse all or part of the costs associated with their treatment. Therefore, our ability to commercialize any product candidate will depend in part on the 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U.S. and other countries. Government authorities and other third-party payors have attempted to control costs by limiting coverage and the amount of reimbursement for particular medications, which could affect our ability to sell products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p>
    <w:p>
      <w:pPr>
        <w:spacing w:after="0" w:line="8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commercial potential of any products we are able to commercialize depends in part on reimbursement by government health administration authorities, private health insurers and other organizations. If we are unable to obtain coverage or reimbursement for those products at the levels anticipated, our financial condition could be harmed. Additionally, if new compounds currently in development by potential competitors obtain marketing approval, there may be downward pressure on reimbursement levels for therapies in our target indications, which could have a negative impact on our ability to achieve and maintain profitability.</w:t>
      </w:r>
    </w:p>
    <w:p>
      <w:pPr>
        <w:spacing w:after="0" w:line="75"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spacing w:after="0" w:line="7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addition, increasingly, third-party payors are requiring higher levels of evidence of the benefits and clinical outcomes of new therapies and are challenging the prices charged for new products. We cannot be sure that coverage will be available for any product candidate that we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of our product candidates for which we obtain marketing approval could significantly harm our operating results, our ability to raise capital needed to commercialize products and our overall financial condition.</w:t>
      </w:r>
    </w:p>
    <w:p>
      <w:pPr>
        <w:spacing w:after="0" w:line="7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could divert our resources, cause us to incur substantial liabilities and limit commercialization of any products that we may develop or in-license.</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claims as a result of our clinical trials, despite obtaining appropriate informed consents from our clinical trial participants. We will face an even greater risk if we commercialize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81" w:lineRule="exact"/>
        <w:rPr>
          <w:sz w:val="20"/>
          <w:szCs w:val="20"/>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products that we may develop or in-license;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resulting litigation;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6" w:name="page47"/>
    <w:bookmarkEnd w:id="46"/>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17"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Although we maintain product and clinical trial liability insurance of at least $10.0 million in the aggregate, our insurance coverage may not fully cover potential liabilities that we may incur. The cost of any product or clinical trial liability litigation or other proceeding, even if resolved in our favor, could be substantial. We will need to increase our insurance coverage if we commercialize any product that receives marketing approval. If we are unable to maintain sufficient insurance coverage at an acceptable cost or otherwise protect against potential clinical trial liability or product liability claims, the development and commercial production and sale of Haduvio or any future product candidate could be prevented or inhibited, which could harm our business, financial condition, results of operations and prospects.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If they do not perform satisfactorily, our business could be harmed.</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do not independently conduct clinical trials of our product candidate. We rely on and expect to continue to rely on third parties, such as contract research organizations, or CROs, clinical data management organizations, medical institutions and clinical investigators, to conduct our clinical trials of Haduvio and any future product candidate that we may develop. These third parties may terminate their engagements with us under certain circumstances. We may not be able to enter into alternative arrangements or do so on commercially reasonable terms. In addition, there is a natural transition period when a new CRO begins work on a clinical trial. As a result, delays would likely occur, which could negatively impact our ability to meet our expected clinical development timelines and harm our business, financial condition and prospects.</w:t>
      </w:r>
    </w:p>
    <w:p>
      <w:pPr>
        <w:spacing w:after="0" w:line="7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Further, although our reliance on these third parties for clinical development activities limits our control over these activities, we remain responsible for ensuring that each of our clinical trials is conducted in accordance with the approved protocol, as well as applicable legal, regulatory and scientific standards. Moreover, the FDA and/or other regulatory authorities require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clinical trial participants are protected. The FDA and other regulatory authorities enforce these cGCPs through periodic inspections of clinical trial sponsors, principal investigators, clinical trial sites and institutional review boards. If we or our third-party contractors fail to comply with applicable cGCPs, the clinical data generated in our clinical trials may be deemed unreliable and the FDA and other regulatory authorities may require us to perform additional clinical trials before approving the applicable product candidate, which would delay the marketing approval process. We cannot be certain that, upon inspection, the FDA and other regulatory authorities will determine that any of our clinical trials complies with cGCPs. Similar regulatory requirements apply outside the U.S., including the International Council for Harmonisation of Technical Requirements for the Registration of Pharmaceuticals for Human Use, or ICH. We are also required to register our clinical trials and post the results of our completed clinical trials on a government-sponsored database, ClinicalTrials.gov, and other registries within certain timeframes. Failure to do so can result in fines, adverse publicity and civil and criminal sanctions.</w:t>
      </w:r>
    </w:p>
    <w:p>
      <w:pPr>
        <w:spacing w:after="0" w:line="7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Furthermore, the third parties conducting clinical trials on our behalf are not our employees and except for remedies available to us under our agreements with our contractors, we cannot control whether they devote sufficient time, skill and resources to our ongoing development programs. Additionally, these third parties may have relationships with other commercial entities, including potential competitors, for which they may also be conducting clinical trials or other drug development activities, which could impede their ability to devote appropriate time to our clinical programs. Third parties may not successfully carry out their contractual duties, meet expected deadlines or conduct our clinical trials in accordance with regulatory requirements or our protocols. For example, we have terminated clinical investigators from our previous clinical trials due to suspected non-compliance with regulatory requirements. If the third parties on which we rely do not carry out their duties, meet their deadlines or comply with regulatory requirements, we will not be able to, or may be delayed in our efforts to, successfully commercialize Haduvio or any future product candidate. In such an event, our financial results and the commercial prospects for any product candidates that we seek to develop could be harmed, our costs could increase and we may not be able to generate revenues or become profitable.</w:t>
      </w:r>
    </w:p>
    <w:p>
      <w:pPr>
        <w:spacing w:after="0" w:line="8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storage, packaging and distribution of Haduvio and other drug product for clinical trials, including a single supplier for the active ingredient in Haduvio and expect to continue to rely on third parties for these services in connection with our future development and commercialization efforts for Haduvio and any future product candidates.</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currently have no manufacturing facilities and a relatively small number of personnel with sufficient experience to oversee the manufacturing process. We rely and plan to continue to rely, on contract manufacturers and other third-party contractors to manufacture, store, package and distribute both drug substance and drug product for our clinical trials. If any of our product candidates receive regulatory approval, we plan to continue to rely upon contract manufacturers and, potentially, collaboration partners, to manufacture commercial quantities of such products. We may be unable to establish any further agreements with contract manufacturers or any other third-party contractors or may fail to do so on acceptable terms or when needed. Even if we are able to establish agreements with such third-party contractors, reliance on third-party contractors entails additional risks, including:</w:t>
      </w:r>
    </w:p>
    <w:p>
      <w:pPr>
        <w:spacing w:after="0" w:line="79" w:lineRule="exact"/>
        <w:rPr>
          <w:sz w:val="20"/>
          <w:szCs w:val="20"/>
          <w:color w:val="auto"/>
        </w:rPr>
      </w:pPr>
    </w:p>
    <w:p>
      <w:pPr>
        <w:ind w:left="900" w:right="160" w:hanging="383"/>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if our third-party contractors experience supply chain-related delays, prioritize the supply of other companies’ products over Haduvio or any other drug product needed for our clinical trials or any future product candidates,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7" w:name="page48"/>
    <w:bookmarkEnd w:id="47"/>
    <w:p>
      <w:pPr>
        <w:ind w:left="900" w:right="700"/>
        <w:spacing w:after="0" w:line="282" w:lineRule="auto"/>
        <w:rPr>
          <w:sz w:val="20"/>
          <w:szCs w:val="20"/>
          <w:color w:val="auto"/>
        </w:rPr>
      </w:pPr>
      <w:r>
        <w:rPr>
          <w:rFonts w:ascii="Times New Roman" w:cs="Times New Roman" w:eastAsia="Times New Roman" w:hAnsi="Times New Roman"/>
          <w:sz w:val="18"/>
          <w:szCs w:val="18"/>
          <w:color w:val="auto"/>
        </w:rPr>
        <w:t>or otherwise fail to satisfactorily perform according to the terms of the agreements between us and them or if unforeseen events in the manufacturing process arise;</w:t>
      </w:r>
    </w:p>
    <w:p>
      <w:pPr>
        <w:spacing w:after="0" w:line="54" w:lineRule="exact"/>
        <w:rPr>
          <w:sz w:val="20"/>
          <w:szCs w:val="20"/>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agreements by our third-party contractors at a time that is costly or inconvenient for us;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by third-party contractors of our agreements with them;</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third-party contractors to comply with applicable regulatory requirements;</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mislabeling of clinical supplies, potentially resulting in the wrong dose amounts being supplied or active drug or placebo not being properly identified;</w:t>
      </w:r>
    </w:p>
    <w:p>
      <w:pPr>
        <w:spacing w:after="0" w:line="53" w:lineRule="exact"/>
        <w:rPr>
          <w:rFonts w:ascii="Times New Roman" w:cs="Times New Roman" w:eastAsia="Times New Roman" w:hAnsi="Times New Roman"/>
          <w:sz w:val="18"/>
          <w:szCs w:val="18"/>
          <w:color w:val="auto"/>
        </w:rPr>
      </w:pPr>
    </w:p>
    <w:p>
      <w:pPr>
        <w:ind w:left="900" w:right="420" w:hanging="383"/>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clinical supplies not being delivered to clinical sites on time, leading to clinical trial interruptions or of drug supplies not being distributed to commercial vendors in a timely manner, resulting in lost sales;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do not have long-term supply agreements with any of our contract manufacturers. If any of our existing manufacturers should become unavailable to us for any reason or fail to supply us with the ordered quantities, we may incur delays in identifying or qualifying replacement manufacturers or in obtaining replacement supply. Any performance failure on the part of our contract manufacturers or the other third-party contractors that we use to store and distribute drug substance and drug product could be disruptive to our operations and delay clinical development or marketing approval of Haduvio or any future product candidates of ours or commercialization of any resulting products, producing additional losses and depriving us of potential product revenue.</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also rely, and plan to continue to rely, on a single supplier, Mallinckrodt, for nalbuphine hydrochloride drug substance. We do not have agreements in place with Mallinckrodt that guarantee supply quantities or pricing. In 2020 and again in 2023, Mallinckrodt and certain of its subsidiaries filed for bankruptcy protection in the U.S. Bankruptcy Court for the District of Delaware, or the Bankruptcy Court. While these bankruptcy proceedings have resulted in reorganization plans approved by the Bankruptcy Court, it is currently uncertain what remaining impact, if any, Mallinckrodt’s bankruptcy filings and the associated reorganization plans may have on its ability to continue supplying nalbuphine hydrochloride drug substance to us. Any significant delay in acquisition, increase in cost or decrease in availability of nalbuphine hydrochloride drug substance could considerably delay the manufacture of Haduvio, which could adversely impact the timing of our current and planned clinical trials and potential regulatory approval and commercialization of Haduvio. Although we are evaluating alternate sources of supply that could satisfy our clinical and commercial requirements for nalbuphine drug substance, we have not qualified any alternate sources and cannot assure you that we would be able to establish relationships with any such sources in a timely fashion, on commercially reasonable terms or at all.</w:t>
      </w:r>
    </w:p>
    <w:p>
      <w:pPr>
        <w:spacing w:after="0" w:line="8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Haduvio or any future product candidates are approved by any regulatory agency, we will need to enter into agreements with third-party contract manufacturers for the commercial production and distribution of those products. In addition, we may face competition for access to manufacturing facilities as there may be a limited number of contract manufacturers operating under cGMPs that are able to manufacture any such product. Consequently, we may not be able to reach agreement with third-party manufacturers on satisfactory terms, in a timely manner or at all, which could delay our commercialization efforts.</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Third-party manufacturers are required to comply with cGMPs and similar regulatory requirements outside the U.S., such as the ICH. Facilities used by our third-party manufacturers must be approved by the FDA after we submit an NDA and before potential approval of the applicable product candidate. Similar regulations apply to manufacturers of product candidates for use or sale in foreign countries. We do not control the manufacturing process and are completely dependent on our third-party manufacturers for compliance with the applicable regulatory requirements for the manufacture of Haduvio. We expect that we would be similarly dependent on third-party manufacturers of Haduvio at commercial scale or any future product candidate. If our manufacturers cannot successfully manufacture drug substance or drug product that conforms to our specifications or the strict regulatory requirements of the FDA and any applicable foreign regulatory authority, they will not be able to secure the applicable approval for their manufacturing facilities. If these facilities are not approved for commercial manufacture, we may need to find alternative manufacturing facilities, which could result in delays in obtaining approval for the applicable product candidate and any future commercialization efforts.</w:t>
      </w:r>
    </w:p>
    <w:p>
      <w:pPr>
        <w:spacing w:after="0" w:line="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our manufacturers are subject to ongoing periodic inspections by the FDA and corresponding state and foreign agencies for compliance with cGMPs and similar regulatory requirements both prior to and following the receipt of marketing approval for any product candidate.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seizures or recalls of product candidates, interruptions in supply and criminal prosecutions, any of which could significantly impact the available supplies of Haduvio or any future product candidate and harm our business, financial condition and results of operations.</w:t>
      </w:r>
    </w:p>
    <w:p>
      <w:pPr>
        <w:spacing w:after="0" w:line="7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Haduvio, any other drug product needed for our clinical trials or any future product candidate may harm our future profit margins and our ability to commercialize any products that receive marketing approval on a timely and competitive basis.</w:t>
      </w:r>
    </w:p>
    <w:p>
      <w:pPr>
        <w:spacing w:after="0" w:line="64"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8" w:name="page49"/>
    <w:bookmarkEnd w:id="48"/>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While we have not entered into any collaborations to date, we may seek to establish one or more collaborations for the development and commercialization of Haduvio or any future product candidate. Potential collaborators may include large and mid-size pharmaceutical companies, regional and national pharmaceutical companies, biotechnology companies and academic research institutions. If Haduvio receives marketing approval from the FDA for chronic cough in IPF, we plan to market and commercialize Haduvio in the U.S. with our own focused, specialty sales organization targeting pulmonologists who specialize in IPF. If Haduvio receives marketing approval from the FDA for other larger chronic conditions, such as RCC or prurigo nodularis, we may plan to market and commercialize Haduvio in the U.S. with our own focused, specialty sales organization, or seek to enter into a strategic alliance for commercialization for such indication or indications. We also expect to utilize a variety of collaboration, distribution and other marketing arrangements with one or more third parties to commercialize Haduvio outside the U.S.</w:t>
      </w:r>
    </w:p>
    <w:p>
      <w:pPr>
        <w:spacing w:after="0" w:line="84"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candidates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existing or potential competing products. The collaborator may also consider alternative product candidates or technologies for similar indications that may be available for collaboration and whether such a collaboration could be more attractive than a collaboration with us. Any collaboration agreements that we enter into in the future may also contain restrictions on our ability to enter into other potential collaborations or to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the potential commercialization of such product candidate,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8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If we establish one or more collaborations, all the risks relating to product development, regulatory approval and commercialization described in this Quarterly Report on Form 10-Q would also apply to the activities of any such future collaborators.</w:t>
      </w:r>
    </w:p>
    <w:p>
      <w:pPr>
        <w:spacing w:after="0" w:line="5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enter into collaborations with third parties for the development or commercialization of Haduvio or any future product candidate, our prospects with respect to those product candidates will depend in significant part on the success of those collaborations.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may seek to enter into collaborations with third parties for the development or commercialization of Haduvio or any future product candidate. If we enter into any such collaborations, we would have limited control over the amount and timing of resources that our collaborators will dedicate to the development or commercialization of any such product candidates. Our ability to generate revenues from these arrangements would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a product candidate would pose a number of risks, including the following:</w:t>
      </w:r>
    </w:p>
    <w:p>
      <w:pPr>
        <w:spacing w:after="0" w:line="117" w:lineRule="exact"/>
        <w:rPr>
          <w:sz w:val="20"/>
          <w:szCs w:val="20"/>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900" w:right="160" w:hanging="383"/>
        <w:spacing w:after="0" w:line="266"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the product candidates under the collaboration or may elect not to continue or renew development or commercialization programs, based on clinical trial results, changes in the collaborators’ strategic focus or available funding or external factors, such as an acquisition of the collaborator,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900" w:right="1300" w:hanging="383"/>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be involved in a business combination and could decide to delay, diminish or terminate the development or commercialization of any product candidate licensed by us;</w:t>
      </w:r>
    </w:p>
    <w:p>
      <w:pPr>
        <w:spacing w:after="0" w:line="53" w:lineRule="exact"/>
        <w:rPr>
          <w:rFonts w:ascii="Times New Roman" w:cs="Times New Roman" w:eastAsia="Times New Roman" w:hAnsi="Times New Roman"/>
          <w:sz w:val="18"/>
          <w:szCs w:val="18"/>
          <w:color w:val="auto"/>
        </w:rPr>
      </w:pPr>
    </w:p>
    <w:p>
      <w:pPr>
        <w:ind w:left="900" w:right="600" w:hanging="383"/>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900" w:right="760" w:hanging="383"/>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the product candidates under the collaboration;</w:t>
      </w:r>
    </w:p>
    <w:p>
      <w:pPr>
        <w:spacing w:after="0" w:line="53" w:lineRule="exact"/>
        <w:rPr>
          <w:rFonts w:ascii="Times New Roman" w:cs="Times New Roman" w:eastAsia="Times New Roman" w:hAnsi="Times New Roman"/>
          <w:sz w:val="18"/>
          <w:szCs w:val="18"/>
          <w:color w:val="auto"/>
        </w:rPr>
      </w:pPr>
    </w:p>
    <w:p>
      <w:pPr>
        <w:ind w:left="900" w:right="660" w:hanging="383"/>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products may not commit sufficient resources to the marketing and distribution of such product or products;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ind w:left="900" w:right="340" w:hanging="383"/>
        <w:spacing w:after="0" w:line="261"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53" w:lineRule="exact"/>
        <w:rPr>
          <w:rFonts w:ascii="Times New Roman" w:cs="Times New Roman" w:eastAsia="Times New Roman" w:hAnsi="Times New Roman"/>
          <w:sz w:val="18"/>
          <w:szCs w:val="18"/>
          <w:color w:val="auto"/>
        </w:rPr>
      </w:pPr>
    </w:p>
    <w:p>
      <w:pPr>
        <w:ind w:left="900" w:right="780" w:hanging="383"/>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 or misappropriate our intellectual property or other proprietary information;</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engage in misconduct or other improper activities, including non-compliance with regulatory standards and requirements;</w:t>
      </w:r>
    </w:p>
    <w:p>
      <w:pPr>
        <w:spacing w:after="0" w:line="11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regarding ownership of or other rights in the intellectual property generated in the course of the collaborations; and</w:t>
      </w:r>
    </w:p>
    <w:p>
      <w:pPr>
        <w:spacing w:after="0" w:line="53" w:lineRule="exact"/>
        <w:rPr>
          <w:rFonts w:ascii="Times New Roman" w:cs="Times New Roman" w:eastAsia="Times New Roman" w:hAnsi="Times New Roman"/>
          <w:sz w:val="18"/>
          <w:szCs w:val="18"/>
          <w:color w:val="auto"/>
        </w:rPr>
      </w:pPr>
    </w:p>
    <w:p>
      <w:pPr>
        <w:ind w:left="900" w:right="1080" w:hanging="383"/>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54" w:lineRule="exact"/>
        <w:rPr>
          <w:sz w:val="20"/>
          <w:szCs w:val="20"/>
          <w:color w:val="auto"/>
        </w:rPr>
      </w:pPr>
    </w:p>
    <w:p>
      <w:pPr>
        <w:ind w:right="820" w:firstLine="509"/>
        <w:spacing w:after="0" w:line="373" w:lineRule="auto"/>
        <w:rPr>
          <w:sz w:val="20"/>
          <w:szCs w:val="20"/>
          <w:color w:val="auto"/>
        </w:rPr>
      </w:pPr>
      <w:r>
        <w:rPr>
          <w:rFonts w:ascii="Times New Roman" w:cs="Times New Roman" w:eastAsia="Times New Roman" w:hAnsi="Times New Roman"/>
          <w:sz w:val="18"/>
          <w:szCs w:val="18"/>
          <w:color w:val="auto"/>
        </w:rPr>
        <w:t xml:space="preserve">Collaboration agreements may not lead to development or commercialization of product candidates in the most efficient manner or at all. </w:t>
      </w:r>
      <w:r>
        <w:rPr>
          <w:rFonts w:ascii="Times New Roman" w:cs="Times New Roman" w:eastAsia="Times New Roman" w:hAnsi="Times New Roman"/>
          <w:sz w:val="18"/>
          <w:szCs w:val="18"/>
          <w:b w:val="1"/>
          <w:bCs w:val="1"/>
          <w:color w:val="auto"/>
        </w:rPr>
        <w:t>Risks Related to Our Intellectual Property</w:t>
      </w:r>
    </w:p>
    <w:p>
      <w:pPr>
        <w:spacing w:after="0" w:line="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existing and any future intellectual property licenses with third parties, we could lose license rights that are critical to our business or owe damages to the licensor of such intellectual property.</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are party to an exclusive license agreement with Endo under which we have licensed certain patent rights and know-how to develop and commercialize products incorporating nalbuphine hydrochloride in any formulation, including an extended-release formulation such as Haduvio. We may in the future seek additional licenses from others to develop and commercialize additional product candidates or technologies. These licenses may not provide exclusive rights to use the relevant intellectual property in all desired fields of use and in all territories in which we may wish to develop or commercialize product candidates in the future. It is also possible that we may be unable to obtain additional licenses at a reasonable cost or on reasonable terms, if at all.</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existing license agreements impose and we expect that future license agreements will impose, various diligence, development and commercialization, milestone payment, royalty and other obligations on us. If we fail to comply with our material obligations under these agreements or if we are subject to a bankruptcy event, the licensor may have the right to terminate the license or convert the license to a non-exclusive license, in which event we may be required to negotiate a new or reinstated license with less favorable terms or would not be able to exclusively market or market at all, products covered by the license. Any termination of our license agreements could have a material adverse impact on our business.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also arise regarding intellectual property subject to a license agreement, including:</w:t>
      </w:r>
    </w:p>
    <w:p>
      <w:pPr>
        <w:spacing w:after="0" w:line="117" w:lineRule="exact"/>
        <w:rPr>
          <w:sz w:val="20"/>
          <w:szCs w:val="20"/>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activities or product candidates may infringe the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any collaborative development relationships;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or ownership of inventions and know-how resulting from joint creation or use of intellectual property by licensors and us;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any patented technology.</w:t>
      </w:r>
    </w:p>
    <w:p>
      <w:pPr>
        <w:spacing w:after="0" w:line="11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If disputes over intellectual property that we license prevent or impair our ability to maintain those license arrangements on acceptable terms or at all, we may be unable to successfully develop and commercialize any affected product candidates.</w:t>
      </w:r>
    </w:p>
    <w:p>
      <w:pPr>
        <w:spacing w:after="0" w:line="5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patent protection for Haduvio or any future product candidate and the disease indications for which we are developing or may in the future develop, Haduvio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U.S. and other countries with respect to Haduvio and any future product candidates and their use for indications for which we are developing or may develop, them in the future. If we do not adequately protect our intellectual property rights, competitors may erode or negate any competitive advantage we may have, which could harm our business and ability to achieve profitability. To protect our proprietary position, we</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50" w:name="page51"/>
    <w:bookmarkEnd w:id="50"/>
    <w:p>
      <w:pPr>
        <w:ind w:right="180"/>
        <w:spacing w:after="0" w:line="266" w:lineRule="auto"/>
        <w:rPr>
          <w:sz w:val="20"/>
          <w:szCs w:val="20"/>
          <w:color w:val="auto"/>
        </w:rPr>
      </w:pPr>
      <w:r>
        <w:rPr>
          <w:rFonts w:ascii="Times New Roman" w:cs="Times New Roman" w:eastAsia="Times New Roman" w:hAnsi="Times New Roman"/>
          <w:sz w:val="18"/>
          <w:szCs w:val="18"/>
          <w:color w:val="auto"/>
        </w:rPr>
        <w:t>have licensed exclusive rights under patents, prosecuted additional patents and filed patent applications in the U.S. and other countries related to methods of use and formulations of Haduvio. The patent application and approval process is expensive and time-consuming. We may not be able to file and prosecute all necessary or desirable patent applications at a reasonable cost, in a timely manner or at all.</w:t>
      </w:r>
    </w:p>
    <w:p>
      <w:pPr>
        <w:spacing w:after="0" w:line="68" w:lineRule="exact"/>
        <w:rPr>
          <w:sz w:val="20"/>
          <w:szCs w:val="20"/>
          <w:color w:val="auto"/>
        </w:rPr>
      </w:pPr>
    </w:p>
    <w:p>
      <w:pPr>
        <w:ind w:right="160" w:firstLine="509"/>
        <w:spacing w:after="0" w:line="252" w:lineRule="auto"/>
        <w:rPr>
          <w:sz w:val="20"/>
          <w:szCs w:val="20"/>
          <w:color w:val="auto"/>
        </w:rPr>
      </w:pPr>
      <w:r>
        <w:rPr>
          <w:rFonts w:ascii="Times New Roman" w:cs="Times New Roman" w:eastAsia="Times New Roman" w:hAnsi="Times New Roman"/>
          <w:sz w:val="18"/>
          <w:szCs w:val="18"/>
          <w:color w:val="auto"/>
        </w:rPr>
        <w:t>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may not have primary control over patent prosecution and maintenance for certain of the patents and patent applications we may license and therefore cannot guarantee that these patents and applications will be prosecuted in a manner consistent with the best interests of our business. We cannot be certain that patent prosecution and maintenance activities by our licensors or other responsible third parties have been or will be conducted in compliance with applicable laws and regulations or will result in valid and enforceable patents. It is possible that defects of form in the preparation or filing of our patents or patent applications may exist or may arise in the future, for example with respect to proper priority claims, inventorship, claim scope or patent term adjustments, or PTA. If we, our licensors or any future partners, collaborators, licensors or licensees fail to establish, maintain or protect such patents and other intellectual property rights, such rights may be reduced or eliminated. If our licensors or any future partners, collaborators, licensors or licensees disagree or do not fully cooperate with us as to the prosecution, maintenance or enforcement of any patent rights, those patent rights could be compromised. We, our licensors and any future partners, collaborators, licensors and licensees may also fail to identify patentable aspects of inventions made in the course of development and commercialization activities before it is too late to obtain patent protection on them. Therefore, we may miss potential opportunities to strengthen our patent position. Any of these outcomes could impair our ability to prevent competition from third parties, which may have an adverse impact on our business.</w:t>
      </w:r>
    </w:p>
    <w:p>
      <w:pPr>
        <w:spacing w:after="0" w:line="8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No consistent policy regarding the breadth of claims allowed in biotechnology and pharmaceutical patents has emerged to date in the U.S. or in many foreign jurisdictions. In addition, the determination of patent rights with respect to pharmaceutical compounds commonly involves complex legal and factual questions, which in recent years have been the subject of much litigation. As a result, the issuance, scope, validity, enforceability and commercial value of our patent rights are highly uncertain.</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U.S., the first to invent was entitled to the patent.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U.S. can be initiated by such third parties to determine who was the first to invent any of the subject matter covered by the patent claims of our applications. If third parties have filed such applications after March 15, 2013, a derivation proceeding in the U.S. can be initiated by such third parties to determine whether our invention was derived from theirs.</w:t>
      </w:r>
    </w:p>
    <w:p>
      <w:pPr>
        <w:spacing w:after="0" w:line="8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Moreover, because the issuance of a patent is not conclusive as to its inventorship, scope, validity or enforceability, our patents or pending patent applications may be challenged in the courts or patent offices in the U.S. and other countries.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Alternatively or additionally, we may become involved in post-grant review procedures, oppositions, derivation proceedings, reexaminations, inter partes review or interference proceedings, in the U.S. or other countries, challenging patents or patent applications in which we have rights, including patents on which we rely to protect our business. An adverse determination in any such challenge may result in loss of exclusivity or in patent claims being narrowed, invalidated or held unenforceable, in whole or in part, which could limit our ability to stop others from using or commercializing similar or identical products or product candidates or limit the duration of the patent protection of Haduvio or any future product candidates of ours. In addition, given the amount of time required for the development, testing and regulatory review of new product candidates, patents 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As a result, the inventorship or ownership of our intellectual property may be challenged in the future.</w:t>
      </w:r>
    </w:p>
    <w:p>
      <w:pPr>
        <w:spacing w:after="0" w:line="88"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U.S. and other countries may diminish the value of our patents or narrow the scope of our patent protection. In addition, the laws of foreign countries may not protect our rights to the same extent or in the same manner as the laws of the U.S. For example, patent laws in various jurisdictions, including significant commercial markets such as Europe, restrict the patentability of methods of treatment of the human body more than U.S. law does.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1" w:name="page52"/>
    <w:bookmarkEnd w:id="51"/>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Issued patents that we have, may obtain or license may not provide us with any meaningful protection, prevent competitors from competing with us or otherwise provide us with any competitive advantage. Our competitors may be able to circumvent patents by developing similar or alternative technologies or products in a non-infringing manner. Our competitors may also seek approval to market their own products similar to or otherwise competitive with any products that we are able to develop and commercialize. Alternatively, our competitors may seek to market generic versions of any approved products by submitting abbreviated new drug applications, or ANDAs, to the FDA claiming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competitors are competing in a non-infringing manner. Thus, even if we have valid and enforceable patents, these patents still may not provide protection against competing products or processes sufficient to achieve our business objectives.</w:t>
      </w:r>
    </w:p>
    <w:p>
      <w:pPr>
        <w:spacing w:after="0" w:line="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Pursuant to the terms of our license agreements with third parties, we have the right, but not the obligation, to control enforcement of our licensed patents or defense of any claims asserting the invalidity of these patents. Even if we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p>
    <w:p>
      <w:pPr>
        <w:spacing w:after="0" w:line="7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products could be negatively impacted and our business would be harmed.</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spacing w:after="0" w:line="8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time-consuming and unsuccessful.</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competitors may infringe our patents,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one of our patents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8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and require substantial resources. Even if we ultimately prevail in such claims, the monetary cost of such litigation and the diversion of the attention of our management and scientific personnel could outweigh any benefit we receive as a result of the proceedings.</w:t>
      </w:r>
    </w:p>
    <w:p>
      <w:pPr>
        <w:spacing w:after="0" w:line="8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intellectual property rights of third parties, such litigation could be costly and time-consuming, its outcome would be uncertain and it could prevent or delay us from developing or commercializing Haduvio or any future product candidate.</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2" w:name="page53"/>
    <w:bookmarkEnd w:id="52"/>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products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or may in the future develop, Haduvio or any future product candidate. If any third-party patents or patent applications are found to cover Haduvio or any future product candidate or their methods of use, we may not be free to manufacture or market the product candidates as planned without obtaining a license, which may not be available on commercially reasonable terms or at all.</w:t>
      </w:r>
    </w:p>
    <w:p>
      <w:pPr>
        <w:spacing w:after="0" w:line="79" w:lineRule="exact"/>
        <w:rPr>
          <w:sz w:val="20"/>
          <w:szCs w:val="20"/>
          <w:color w:val="auto"/>
        </w:rPr>
      </w:pPr>
    </w:p>
    <w:p>
      <w:pPr>
        <w:ind w:right="120" w:firstLine="515"/>
        <w:spacing w:after="0" w:line="252"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Haduvio or any future product candidates, including interference proceedings before the USPTO. There may be third-party patents or patent applications with claims to materials, formulations, methods of manufacture or methods for treatment related to Haduvio or any future product candidate. Because patent applications can take many years to issue, there may be currently pending patent applications which may later result in issued patents that Haduvio or any future product candidate may be accused of infringing.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relevant patent claims are invalid or unenforceable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spacing w:after="0" w:line="89" w:lineRule="exact"/>
        <w:rPr>
          <w:sz w:val="20"/>
          <w:szCs w:val="20"/>
          <w:color w:val="auto"/>
        </w:rPr>
      </w:pPr>
    </w:p>
    <w:p>
      <w:pPr>
        <w:ind w:right="80" w:firstLine="515"/>
        <w:spacing w:after="0" w:line="254" w:lineRule="auto"/>
        <w:rPr>
          <w:sz w:val="20"/>
          <w:szCs w:val="20"/>
          <w:color w:val="auto"/>
        </w:rPr>
      </w:pPr>
      <w:r>
        <w:rPr>
          <w:rFonts w:ascii="Times New Roman" w:cs="Times New Roman" w:eastAsia="Times New Roman" w:hAnsi="Times New Roman"/>
          <w:sz w:val="18"/>
          <w:szCs w:val="18"/>
          <w:color w:val="auto"/>
        </w:rPr>
        <w:t>If we are found to infringe a third-party’s intellectual property rights, we could be forced, including by court order, to cease developing, manufacturing or commercializing the infringing product candidate or product. Alternatively, we may be required to obtain a license from such third-party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eliminate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Haduvio or any future product candidate or force us to cease some of our business operations, which could harm our business. Claims that we have misappropriated the confidential information or trade secrets of third parties could have a similar negative impact on our business.</w:t>
      </w:r>
    </w:p>
    <w:p>
      <w:pPr>
        <w:spacing w:after="0" w:line="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U.S. and other jurisdictions could diminish the value of patents in general, thereby impairing our ability to protect our products.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Recent patent reform legislation in the U.S.,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U.S. patent law in part by changing the U.S. patent system from a “first to invent” system to a “first inventor to file” system, expanding the definition of prior art and developing a post-grant review system. This legislation changes U.S. patent law in a way that may weaken our ability to obtain patent protection in the U.S. for those applications filed after March 16, 2013.</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 the America Invents Act created new procedures to challenge the validity of issued patents in the U.S.,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grounds of invalidity based on lack of novelty or obviousness using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third-party to have a U.S. patent invalidated in a USPTO post-grant review or inter partes review proceeding than invalidated in a litigation in a U.S. federal court. If any of our patents are challenged by a third-party in such a USPTO proceeding, there is no guarantee that we or our licensors or collaborators will be successful in defending the patent, which would result in a loss of the challenged patent right to us.</w:t>
      </w:r>
    </w:p>
    <w:p>
      <w:pPr>
        <w:spacing w:after="0" w:line="8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3" w:name="page54"/>
    <w:bookmarkEnd w:id="53"/>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For example, recent decisions, including by the U.S. Court of Appeals for the Federal Circuit, raise questions regarding the award of PTA for patents in families where related patents have issued without PTA. Thus, it cannot be said with certainty how PTA will/will not be viewed in the future and whether patent expiration dates may be impacted.</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Further, in Europe, a new unitary patent system took effect June 1, 2023, which significantly impacts European patents, including those granted before the introduction of such a system. Under the unitary patent system, European applications have the option, upon grant of a patent, of becoming a Unitary Patent which will be subject to the jurisdiction of the Unitary Patent Court, or the UPC.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Filing, prosecuting and defending patents on our product candidates in all countries throughout the world would be prohibitively expensive and our intellectual property rights in some countries outside the U.S. are less extensive than those in the U.S. The requirements for patentability may differ in certain countries, particularly in developing countries; thus, even in countries where we do pursue patent protection, there can be no assurance that any patents will issue with claims that cover our products. Our competitors may export otherwise infringing products to territories where we have no patent protection or where we may obtain patent protection, but where patent enforcement is not as strong as that in the U.S. and our issued or licensed patents and any future patent claims or other intellectual property rights may not be effective or sufficient to prevent them from so competing.</w:t>
      </w:r>
    </w:p>
    <w:p>
      <w:pPr>
        <w:spacing w:after="0" w:line="7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Moreover, our ability to protect and enforce our intellectual property rights may be adversely affected by unforeseen changes in foreign intellectual property laws. Additionally, laws of some countries outside of the U.S. and Europe do not afford intellectual property protection to the same extent as the laws of the U.S.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U.S. and Europe.</w:t>
      </w:r>
    </w:p>
    <w:p>
      <w:pPr>
        <w:spacing w:after="0" w:line="81"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In addition, geopolitical actions in the U.S. and in foreign countries could increase the uncertainties and costs surrounding the prosecution or maintenance of our patent applications and the maintenance, enforcement or defense of our issued patents.</w:t>
      </w:r>
    </w:p>
    <w:p>
      <w:pPr>
        <w:spacing w:after="0" w:line="5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any products that we are able to develop, we cannot ensure that we will be able to initiate or maintain similar efforts in all jurisdictions in which we may wish to market any such products. Accordingly, our efforts to protect our intellectual property rights in such countries may be inadequate.</w:t>
      </w:r>
    </w:p>
    <w:p>
      <w:pPr>
        <w:spacing w:after="0" w:line="7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Many of our employees and our licensors’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third-party and we could be required to obtain a license from such third-party to commercialize Haduvio or any future product candidate. Such a license may not be available on commercially reasonable terms or at all. Even if we are successful in defending against such claims, litigation could result in substantial costs and be a distraction to management.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4" w:name="page55"/>
    <w:bookmarkEnd w:id="54"/>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75"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 applications are required to be paid to the USPTO and various governmental patent agencies outside of the U.S.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Haduvio or any future product candidate, our competitive position would be adversely affected.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our business could be harmed.</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Haduvio or any future product candidate,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in connection with any sales we make. Even if we are able to obtain a license, it may be non-exclusive, which could enable our competitors to obtain access to the same technologies licensed to us.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Other Legal Compliance Matters</w:t>
      </w:r>
    </w:p>
    <w:p>
      <w:pPr>
        <w:spacing w:after="0" w:line="117"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FDA does not conclude that Haduvio for the treatment of chronic cough in IPF or RCC or for the treatment of prurigo nodularis, or any other development program, satisfies the requirements under Section 505(b)(2) of the FDCA or if the requirements for such programs are not as we expect, the approval pathway for these programs will likely take significantly longer, cost significantly more and entail significantly greater complications and risks than anticipated and in any case may not be successful.</w:t>
      </w:r>
    </w:p>
    <w:p>
      <w:pPr>
        <w:spacing w:after="0" w:line="72" w:lineRule="exact"/>
        <w:rPr>
          <w:sz w:val="20"/>
          <w:szCs w:val="20"/>
          <w:color w:val="auto"/>
        </w:rPr>
      </w:pPr>
    </w:p>
    <w:p>
      <w:pPr>
        <w:ind w:firstLine="515"/>
        <w:spacing w:after="0" w:line="254" w:lineRule="auto"/>
        <w:rPr>
          <w:sz w:val="20"/>
          <w:szCs w:val="20"/>
          <w:color w:val="auto"/>
        </w:rPr>
      </w:pPr>
      <w:r>
        <w:rPr>
          <w:rFonts w:ascii="Times New Roman" w:cs="Times New Roman" w:eastAsia="Times New Roman" w:hAnsi="Times New Roman"/>
          <w:sz w:val="18"/>
          <w:szCs w:val="18"/>
          <w:color w:val="auto"/>
        </w:rPr>
        <w:t>We intend to pursue FDA approval of Haduvio for the treatment of chronic cough in IPF under the FDA’s Section 505(b)(2) regulatory pathway. The Drug Price Competition and Patent Term Restoration Act of 1984 or the Hatch-Waxman Act, added Section 505(b)(2) to the FDCA. Section 505(b)(2) permits the filing of an NDA where at least some of the information required for approval comes from studies that were not conducted by or for the sponsor and for which the sponsor has not received a right of reference, which could expedite the development program for Haduvio by potentially decreasing the amount of preclinical and clinical data that we would need to generate in order to obtain FDA approval. However, while we believe that Haduvio is a reformulation of an existing drug and, therefore, its active moiety will not be treated as a new chemical entity, or NCE, the submission of an NDA under the Section 505(b)(2) regulatory pathway does not preclude the FDA from determining that Haduvio contains an active moiety that is an NCE and, therefore, is not eligible for review under such regulatory pathway.</w:t>
      </w:r>
    </w:p>
    <w:p>
      <w:pPr>
        <w:spacing w:after="0" w:line="84" w:lineRule="exact"/>
        <w:rPr>
          <w:sz w:val="20"/>
          <w:szCs w:val="20"/>
          <w:color w:val="auto"/>
        </w:rPr>
      </w:pPr>
    </w:p>
    <w:p>
      <w:pPr>
        <w:ind w:firstLine="515"/>
        <w:spacing w:after="0" w:line="255" w:lineRule="auto"/>
        <w:rPr>
          <w:sz w:val="20"/>
          <w:szCs w:val="20"/>
          <w:color w:val="auto"/>
        </w:rPr>
      </w:pPr>
      <w:r>
        <w:rPr>
          <w:rFonts w:ascii="Times New Roman" w:cs="Times New Roman" w:eastAsia="Times New Roman" w:hAnsi="Times New Roman"/>
          <w:sz w:val="18"/>
          <w:szCs w:val="18"/>
          <w:color w:val="auto"/>
        </w:rPr>
        <w:t>If the FDA does not allow us to pursue the Section 505(b)(2) or similar regulatory pathway as anticipated, we may need to conduct additional preclinical experiments and clinical trials, provide additional data and information and meet additional standards for regulatory approval. If this were to occur, the time and financial resources required to obtain FDA approval for Haduvio for the treatment of chronic cough in IPF and any future product candidates and complications and risks associated with these product candidates, would likely increase significantly. Moreover, our inability to pursue the Section 505(b)(2) regulatory pathway could result in new competitive products reaching the market more quickly than our product candidates, which would likely harm our competitive position and prospects. Even if we are allowed to pursue the Section 505(b)(2) regulatory pathway, our product candidates may not receive the requisite approvals for commercialization.</w:t>
      </w:r>
    </w:p>
    <w:p>
      <w:pPr>
        <w:spacing w:after="0" w:line="81" w:lineRule="exact"/>
        <w:rPr>
          <w:sz w:val="20"/>
          <w:szCs w:val="20"/>
          <w:color w:val="auto"/>
        </w:rPr>
      </w:pPr>
    </w:p>
    <w:p>
      <w:pPr>
        <w:ind w:right="120" w:firstLine="515"/>
        <w:spacing w:after="0" w:line="254" w:lineRule="auto"/>
        <w:rPr>
          <w:sz w:val="20"/>
          <w:szCs w:val="20"/>
          <w:color w:val="auto"/>
        </w:rPr>
      </w:pPr>
      <w:r>
        <w:rPr>
          <w:rFonts w:ascii="Times New Roman" w:cs="Times New Roman" w:eastAsia="Times New Roman" w:hAnsi="Times New Roman"/>
          <w:sz w:val="18"/>
          <w:szCs w:val="18"/>
          <w:color w:val="auto"/>
        </w:rPr>
        <w:t>In addition, notwithstanding the approval of a number of products by the FDA under Section 505(b)(2) over the last few years, certain competitors and others have objected to the FDA’s interpretation of Section 505(b)(2). If the FDA’s interpretation of Section 505(b)(2) is successfully challenged, the FDA may be required to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5" w:name="page56"/>
    <w:bookmarkEnd w:id="55"/>
    <w:p>
      <w:pPr>
        <w:ind w:right="100"/>
        <w:spacing w:after="0" w:line="266" w:lineRule="auto"/>
        <w:rPr>
          <w:sz w:val="20"/>
          <w:szCs w:val="20"/>
          <w:color w:val="auto"/>
        </w:rPr>
      </w:pPr>
      <w:r>
        <w:rPr>
          <w:rFonts w:ascii="Times New Roman" w:cs="Times New Roman" w:eastAsia="Times New Roman" w:hAnsi="Times New Roman"/>
          <w:sz w:val="18"/>
          <w:szCs w:val="18"/>
          <w:color w:val="auto"/>
        </w:rPr>
        <w:t>prevent, the approval of the new product. However, even if the FDA ultimately denies such a petition, the FDA may substantially delay approval while it considers and responds to the petition. In addition, even if we are able to utilize the Section 505(b)(2) regulatory pathway for our product candidates, there is no guarantee this would ultimately lead to faster product development or earlier approval.</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Moreover, even if our product candidates are approved under the Section 505(b)(2) pathway,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6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regulatory approval process is expensive, time-consuming and uncertain and may prevent us from obtaining approvals for the commercialization of Haduvio or any future product candidate. As a result, we cannot predict when or if and in which territories, we will obtain marketing approval to commercialize a product candidate.</w:t>
      </w:r>
    </w:p>
    <w:p>
      <w:pPr>
        <w:spacing w:after="0" w:line="67" w:lineRule="exact"/>
        <w:rPr>
          <w:sz w:val="20"/>
          <w:szCs w:val="20"/>
          <w:color w:val="auto"/>
        </w:rPr>
      </w:pPr>
    </w:p>
    <w:p>
      <w:pPr>
        <w:ind w:right="60" w:firstLine="509"/>
        <w:spacing w:after="0" w:line="277" w:lineRule="auto"/>
        <w:rPr>
          <w:sz w:val="20"/>
          <w:szCs w:val="20"/>
          <w:color w:val="auto"/>
        </w:rPr>
      </w:pPr>
      <w:r>
        <w:rPr>
          <w:rFonts w:ascii="Times New Roman" w:cs="Times New Roman" w:eastAsia="Times New Roman" w:hAnsi="Times New Roman"/>
          <w:sz w:val="17"/>
          <w:szCs w:val="17"/>
          <w:color w:val="auto"/>
        </w:rPr>
        <w:t>The research, testing, manufacturing, labeling, approval, selling, marketing, promotion and distribution of products are subject to extensive regulation by the FDA and comparable foreign regulatory authorities. We are not permitted to market Haduvio or any other product candidate in the U.S. until we receive approval of an NDA from the FDA or in other countries until we receive marketing approval from the applicable regulatory authorities outside the U.S. We have not submitted an application for or received marketing approval for any product candidate in the U.S. or in any other jurisdiction. We have limited experience in conducting and managing the clinical trials necessary to obtain marketing approvals, including FDA approval of an NDA.</w:t>
      </w:r>
    </w:p>
    <w:p>
      <w:pPr>
        <w:spacing w:after="0" w:line="6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U.S. and other countries,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relevant regulatory authorities. The FDA or other regulatory authorities may determine that Haduvio or any future product candidate is not safe and effective, only moderately effective or has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FDA may also require that NDA submissions for our product candidates include pediatric data. Under the Pediatric Research Equity Act, an NDA, BLA or supplement to an NDA or BLA for certain drugs and biological products must contain data to assess the safety and effectiveness of the drug or biological product in all relevant pediatric subpopulations and to support dosing and administration for each pediatric subpopulation for which the product is safe and effective, unless the sponsor receives a deferral or waiver from the FDA. The applicable legislation in the E.U. also requires sponsors to either conduct clinical trials in a pediatric population in accordance with a Pediatric Investigation Plan approved by the Pediatric Committee of the European Medicines Agency, or EMA, or to obtain a waiver or deferral from the conduct of these studies by this Committee. For any of our product candidates for which we are seeking regulatory approval in the U.S. or the E.U., we cannot guarantee that we will be able to obtain a waiver or alternatively complete any required studies and other requirements in a timely manner, or at all, which could result in associated reputational harm and subject us to enforcement action.</w:t>
      </w:r>
    </w:p>
    <w:p>
      <w:pPr>
        <w:spacing w:after="0" w:line="80"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Any delay in obtaining or failure to obtain required approvals and clearances could negatively impact our ability to generate revenue from the particular product candidate, which likely would result in significant harm to our financial position and adversely impact our stock price.</w:t>
      </w:r>
    </w:p>
    <w:p>
      <w:pPr>
        <w:spacing w:after="0" w:line="50"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are conducting and intend in the future to conduct clinical trials for Haduvio and may conduct clinical trials for any future product candidates, at sites outside the U.S. The FDA may not accept data from trials conducted in such locations and the conduct of trials outside the U.S. could subject us to additional delays and expense.</w:t>
      </w:r>
    </w:p>
    <w:p>
      <w:pPr>
        <w:spacing w:after="0" w:line="67"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We have conducted, are conducting and intend in the future to conduct clinical trials for Haduvio, and may conduct clinical trials for any future product candidates, at trial sites that are located outside the U.S. Although the FDA may accept data from clinical trials conducted outside the U.S., acceptance of these data is subject to certain conditions imposed by the FDA.</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FDA will not accept foreign study data as support for an application for marketing approval unless the study satisfies certain conditions. For example, the clinical trial must be well designed and conducted and performed by qualified investigators in accordance with cGCPs. The FDA must be able to validate the data from the trial, including, if necessary, through an onsite inspection. The trial population must also have a similar profile to the U.S. population and the data must be applicable to the U.S. population and U.S. medical practice in ways that the FDA deems clinically meaningful, except to the extent the disease being studied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6" w:name="page57"/>
    <w:bookmarkEnd w:id="56"/>
    <w:p>
      <w:pPr>
        <w:ind w:right="240"/>
        <w:spacing w:after="0" w:line="258" w:lineRule="auto"/>
        <w:rPr>
          <w:sz w:val="20"/>
          <w:szCs w:val="20"/>
          <w:color w:val="auto"/>
        </w:rPr>
      </w:pPr>
      <w:r>
        <w:rPr>
          <w:rFonts w:ascii="Times New Roman" w:cs="Times New Roman" w:eastAsia="Times New Roman" w:hAnsi="Times New Roman"/>
          <w:sz w:val="18"/>
          <w:szCs w:val="18"/>
          <w:color w:val="auto"/>
        </w:rPr>
        <w:t>does not typically occur in the U.S. In addition, while these clinical trials are subject to the applicable local laws, FDA acceptance of the data will be dependent upon its determination that the trials also complied with all applicable U.S. laws and regulations. There can be no assurance that the FDA will accept data from trials conducted outside of the U.S. If the FDA does not accept the data from any trial that we conduct outside the U.S., it would likely result in the need for additional trials, which would be costly and time-consuming and delay or permanently halt our development of Haduvio or the applicable future product candidate.</w:t>
      </w:r>
    </w:p>
    <w:p>
      <w:pPr>
        <w:spacing w:after="0" w:line="7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 addition, the conduct of clinical trials outside the U.S. could have a significant adverse impact on us. Risks inherent in conducting international clinical trials include:</w:t>
      </w:r>
    </w:p>
    <w:p>
      <w:pPr>
        <w:spacing w:after="0" w:line="54" w:lineRule="exact"/>
        <w:rPr>
          <w:sz w:val="20"/>
          <w:szCs w:val="20"/>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practice patterns and standards of care that vary widely among countries;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regulatory authority requirements that could restrict or limit our ability to conduct our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burdens of conducting clinical trials under multiple non-U.S. regulatory authority schema;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rate fluctuations;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w:t>
      </w:r>
    </w:p>
    <w:p>
      <w:pPr>
        <w:spacing w:after="0" w:line="11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Haduvio or any future product candidate from being marketed in other countries. Any marketing approval we are granted in the U.S. would not assure marketing approval in foreign jurisdictions.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order to market and sell products in the E.U. and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U.S. generally includes all of the risks associated with obtaining FDA approval. In addition, in many countries outside the U.S., a product must be approved for reimbursement before the product can be approved for sale in that country. We may not obtain approvals from regulatory authorities outside the U.S. on a timely basis, if at all. Approval by the FDA does not ensure approval by regulatory authorities in other countries or jurisdictions and approval by one regulatory authority outside the U.S. does not ensure approval by regulatory authorities in other countries or jurisdictions or by the FDA. We may file for marketing approvals but not receive necessary approvals to commercialize any products in any market. Obtaining non-U.S. regulatory approvals and compliance with non-U.S. regulatory requirements could result in significant delays, difficulties and costs for us and could delay or prevent the introduction of any product candidates in any country. In addition, if we fail to obtain the non-U.S. approvals required to market products outside the U.S. or if we fail to comply with applicable non-U.S. regulatory requirements, our target markets will be reduced and our ability to realize the full market potential of Haduvio or any future product candidate will be harmed and our business, financial condition, results of operations and prospects may be adversely affected.</w:t>
      </w:r>
    </w:p>
    <w:p>
      <w:pPr>
        <w:spacing w:after="0" w:line="8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Further, we could face heightened risks with respect to obtaining marketing authorization in the United Kingdom as it is no longer part of the European Single Market and E.U. Customs Union. As of January 1, 2021, the MHRA became responsible for supervising medicines and medical devices in Great Britain, comprising England, Scotland and Wales under domestic law, whereas under the terms of the Northern Ireland Protocol, Northern Ireland is currently subject to E.U. rules. The United Kingdom. and E.U. have however agreed to the Windsor Framework which fundamentally changes the existing system under the Northern Ireland Protocol, including with respect to the regulation of medicinal products in the United Kingdom. Once implemented, the changes introduced by the Windsor Framework will see the MHRA be responsible for approving all medicinal products destined for the United Kingdom. market (i.e., Great Britain and Northern Ireland), and the EMA will no longer have any role in approving medicinal products destined for Northern Ireland.</w:t>
      </w:r>
    </w:p>
    <w:p>
      <w:pPr>
        <w:spacing w:after="0" w:line="8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w:t>
      </w:r>
    </w:p>
    <w:p>
      <w:pPr>
        <w:spacing w:after="0" w:line="8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expect that we will be subject to additional risks in commercializing any of our product candidates that receive marketing approval outside the U.S.,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U.S.</w:t>
      </w:r>
    </w:p>
    <w:p>
      <w:pPr>
        <w:spacing w:after="0" w:line="7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Fast Track designation, grant of Priority Review status or Breakthrough Therapy status by the FDA is not assured and, in any event, may not actually lead to a faster development or regulatory review or approval process and, moreover, would not assure FDA approval of Haduvio or any future product candidate.</w:t>
      </w:r>
    </w:p>
    <w:p>
      <w:pPr>
        <w:spacing w:after="0" w:line="6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may be eligible for Fast Track designation, Priority Review or Breakthrough Therapy status for specific indications for the product candidates we may develop. If a product candidate is intended for the treatment of a serious or life-threatening disease or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7" w:name="page58"/>
    <w:bookmarkEnd w:id="57"/>
    <w:p>
      <w:pPr>
        <w:spacing w:after="0" w:line="253" w:lineRule="auto"/>
        <w:rPr>
          <w:sz w:val="20"/>
          <w:szCs w:val="20"/>
          <w:color w:val="auto"/>
        </w:rPr>
      </w:pPr>
      <w:r>
        <w:rPr>
          <w:rFonts w:ascii="Times New Roman" w:cs="Times New Roman" w:eastAsia="Times New Roman" w:hAnsi="Times New Roman"/>
          <w:sz w:val="18"/>
          <w:szCs w:val="18"/>
          <w:color w:val="auto"/>
        </w:rPr>
        <w:t>condition and the product candidate demonstrates the potential to address unmet medical needs for this disease or condition, the product candidate sponsor may apply for FDA Fast Track designation. If a product candidate offers major advances in treatment, the product candidate sponsor may apply for FDA Priority Review status. Additionally, a product candidate may be designated as a Breakthrough Therapy if it is intended, either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The FDA has broad discretion whether or not to grant these designations, so even if we believe a particular product candidate is eligible for such designation or status, the FDA could decide not to grant it. We have received Fast Track designation for the program to develop Haduvio for the treatment of itch in patients with prurigo nodularis, however this designation or any future Fast Track designation for a different indication, Priority Review or Breakthrough Therapy status designation, may not result in our experiencing a faster development process, review or approval compared to conventional FDA procedures and there is no assurance that the product candidate will be approved by the FDA.</w:t>
      </w:r>
    </w:p>
    <w:p>
      <w:pPr>
        <w:spacing w:after="0" w:line="8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PRIME Designation in the E.U. for Haduvio but we might not receive such designations and, even if we do, such designations may not lead to a faster development or regulatory review or approval process.</w:t>
      </w:r>
    </w:p>
    <w:p>
      <w:pPr>
        <w:spacing w:after="0" w:line="5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the E.U., we may seek PRIME designation for Haduvio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the sponsor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w:t>
      </w:r>
    </w:p>
    <w:p>
      <w:pPr>
        <w:spacing w:after="0" w:line="8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benefits of a PRIME designation include the appointment of a CHMP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 sponsor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spacing w:after="0" w:line="77"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regulatory approval to market Haduvio in the U.S. will be limited by indication. If we fail to comply or are found to be in violation of FDA regulations restricting the promotion of Haduvio for unapproved uses, we could be subject to criminal penalties, substantial fines or other sanctions and damage awards.</w:t>
      </w:r>
    </w:p>
    <w:p>
      <w:pPr>
        <w:spacing w:after="0" w:line="6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If our clinical trials are successful, we intend to seek approval to market Haduvio for the treatment of chronic cough in IPF or RCC or for the treatment of prurigo nodularis. If we obtain regulatory approval to market Haduvio with an indication statement for the treatment of chronic cough in IPF or RCC, we expect to be prohibited from marketing Haduvio using any promotional claims relating to treatment of cough generally. If we obtain regulatory approval to market Haduvio with an indication statement for the treatment of prurigo nodularis, we expect to be prohibited from marketing Haduvio using any promotional claims relating to treatment of pruritus generally. Marketing of Haduvio may also be limited by regulatory authorities based on use as a monotherapy or adjuvant, concomitant medications, severity of pruritus and other factors.</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regulations relating to the promotion of products for unapproved uses are complex and subject to substantial interpretation by the FDA, EMA, MHRA and other government agencies. In September 2021, the FDA published final regulations which describe the types of evidence that the agency will consider in determining the intended use of a drug product. While we have conducted, or may in the future conduct, clinical trials to evaluate the use of Haduvio to treat cough conditions other than chronic cough in IPF and pruritic conditions other than prurigo nodularis, Haduvio cannot be promoted for uses other than uses approved in the labeling by the FDA, EMA, MHRA or other applicable regulatory authorities. Physicians may nevertheless prescribe Haduvio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Haduvio for unapproved uses. We also cannot be sure that our employees will comply with company policies and applicable regulations regarding the promotion of products for unapproved uses.</w:t>
      </w:r>
    </w:p>
    <w:p>
      <w:pPr>
        <w:spacing w:after="0" w:line="8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Notwithstanding the regulatory restrictions on off-label promotion, the FDA and other regulatory authorities allow companies to engage in truthful, non-misleading, and non-promotional scientific communications concerning their products in certain circumstances. For example, in October 2023, the FDA published draft guidance outlining the agency’s non-binding policies governing the distribution of scientific information on unapproved uses to healthcare providers. This draft guidance calls for such communications to be truthful, non-misleading, factual, and unbiased and include all information necessary for healthcare providers to interpret the strengths and weaknesses and validity and utility of the information about the unapproved use. In addition, under some relatively recent guidance from the FDA and the Pre-Approval Information Exchange Act, or PIE Act, signed into law as part of the Consolidated Appropriations Act of 2023, companies may also promote information that is consistent with the prescribing information and proactively speak to formulary committee members of payors regarding data for an unapproved drug or unapproved uses of an approved drug. We may engage in these discussions and communicate with healthcare providers, payors and other constituencies in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8" w:name="page59"/>
    <w:bookmarkEnd w:id="58"/>
    <w:p>
      <w:pPr>
        <w:ind w:right="360"/>
        <w:spacing w:after="0" w:line="312" w:lineRule="auto"/>
        <w:rPr>
          <w:sz w:val="20"/>
          <w:szCs w:val="20"/>
          <w:color w:val="auto"/>
        </w:rPr>
      </w:pPr>
      <w:r>
        <w:rPr>
          <w:rFonts w:ascii="Times New Roman" w:cs="Times New Roman" w:eastAsia="Times New Roman" w:hAnsi="Times New Roman"/>
          <w:sz w:val="17"/>
          <w:szCs w:val="17"/>
          <w:color w:val="auto"/>
        </w:rPr>
        <w:t>compliance with all applicable laws, regulatory guidance and industry best practices. We will need to carefully navigate the FDA’s various regulations, guidance and policies, along with recently enacted legislation, to ensure compliance with restrictions governing promotion of our products.</w:t>
      </w:r>
    </w:p>
    <w:p>
      <w:pPr>
        <w:spacing w:after="0" w:line="3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or the HHS, the FDA, the Federal Trade Commission, or the FTC, 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is entitled to a share of any recovery or settlement.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suits, also commonly referred to as “whistleblower suits,” are often brought by current or former employees. In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the government must decide whether to intervene and prosecute the case. If it declines, the individual may pursue the case alone.</w:t>
      </w:r>
    </w:p>
    <w:p>
      <w:pPr>
        <w:spacing w:after="0" w:line="8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If the FDA or any other governmental agency initiates an enforcement action against us or if we are the subject of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73"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for which we obtain marketing approval in the future could be subject to post-marketing restrictions or withdrawal from the market and we may be subject to substantial penalties if we fail to comply with regulatory requirements or if we experience unanticipated problems with any such product following approval.</w:t>
      </w:r>
    </w:p>
    <w:p>
      <w:pPr>
        <w:spacing w:after="0" w:line="67"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is granted, the approval may be subject to limitations on the indicated uses for which the product may be marketed or to the conditions of approval, including the requirement to implement a REMS.</w:t>
      </w:r>
    </w:p>
    <w:p>
      <w:pPr>
        <w:spacing w:after="0" w:line="8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market any product for an indication that is not approved, we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p>
    <w:p>
      <w:pPr>
        <w:spacing w:after="0" w:line="8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p>
    <w:p>
      <w:pPr>
        <w:spacing w:after="0" w:line="54" w:lineRule="exact"/>
        <w:rPr>
          <w:sz w:val="20"/>
          <w:szCs w:val="20"/>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 manufacturers or manufacturing processes;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the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 from the market;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the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by third-party payors;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9" w:name="page60"/>
    <w:bookmarkEnd w:id="59"/>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the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Finally, our ability to develop and market new drug products may be impacted by ongoing litigation challenging the FDA’s approval of mifepristone. Specifically, on April 7, 2023, the U.S. District Court for the Northern District of Texas stayed the approval by the FDA of mifepristone, a drug product which was originally approved in 2000 and whose distribution is governed by various conditions adopted under a REMS. In reaching that decision, the district court made a number of findings that may negatively impact the development, approval and distribution of drug products in the U.S. Among other determinations, the district court held that plaintiffs were likely to prevail in their claim that the FDA had acted arbitrarily and capriciously in approving mifepristone without sufficiently considering evidence bearing on whether the drug was safe to use under the conditions identified in its labeling. Further, the district court read the standing requirements governing litigation in federal court as permitting a plaintiff to bring a lawsuit against the FDA in connection with its decision to approve an NDA or establish requirements under a REMS based on a showing that the plaintiff or its members would be harmed to the extent that the FDA’s drug approval decision effectively compelled the plaintiffs to provide care for patients suffering adverse events caused by a given drug.</w:t>
      </w:r>
    </w:p>
    <w:p>
      <w:pPr>
        <w:spacing w:after="0" w:line="86"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On April 12, 2023, the district court decision was stayed, in part, by the U.S. Court of Appeals for the Fifth Circuit. Thereafter, on April 21, 2023, the U.S. Supreme Court entered a stay of the district court’s decision, in its entirety, pending disposition of the appeal of the district court decision in the Court of Appeals for the Fifth Circuit and the disposition of any petition for a writ of certiorari to the Supreme Court. The Court of Appeals for the Fifth Circuit held oral argument in the case on May 17, 2023 and, on August 16, 2023, issued its decision. The court declined to order the removal of mifepristone from the market, finding that a challenge to the FDA’s initial approval in 2000 is barred by the statute of limitations. But the Court of Appeals did hold that plaintiffs were likely to prevail in their claim that changes allowing for expanded access of mifepristone that FDA authorized in 2016 and 2021 were arbitrary and capricious and in violation of federal law. In June 2024, the U.S. Supreme Court reversed and remanded that decision after unanimously finding that the plaintiffs did not have standing to bring this legal action against the FDA. Depending on the outcome of this litigation, and if it continues, and the regulatory uncertainty it has engendered, our ability to develop new drug product candidates and to maintain approval of existing drug products and measures adopted under a REMS is at risk and could be delayed, undermined or subject to protracted litigation.</w:t>
      </w:r>
    </w:p>
    <w:p>
      <w:pPr>
        <w:spacing w:after="0" w:line="86"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In addition, we could be adversely affected by several significant administrative law cases decided by the U.S. Supreme Court in 2024. In Loper Bright Enterprises v. Raimondo, for example, the court overruled Chevron U.S.A., Inc. v. Natural Resources Defense Council, Inc., which for 40 years required federal courts to defer to permissible agency interpretations of statutes that are silent or ambiguous on a particular topic. The Supreme Court stripped federal agencies of this presumptive deference and held that courts must exercise their independent judgment when deciding whether an agency such as FDA acted within its statutory authority under the Administrative Procedure Act, or APA. Additionally, in Corner Post, Inc. v. Board of Governors of the Federal Reserve System, the court held that actions to challenge a federal regulation under the APA can be initiated within six years of the date of injury to the plaintiff, rather than the date the rule is finalized. The decision appears to give prospective plaintiffs a personal statute of limitations to challenge longstanding agency regulations. These decisions could introduce additional uncertainty into the regulatory process and may result in additional legal challenges to actions taken by federal regulatory agencies, including the FDA and CMS, that we rely on. In addition to potential changes to regulations as a result of legal challenges, these decisions may result in increased regulatory uncertainty and delays and other impacts, any of which could adversely impact our business and operations.</w:t>
      </w:r>
    </w:p>
    <w:p>
      <w:pPr>
        <w:spacing w:after="0" w:line="8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Similar restrictions apply to the approval of our products in the E.U. The holder of a marketing authorization is required to comply with a range of requirements applicable to the manufacturing, marketing, promotion and sale of medicinal products. These include: compliance with the E.U.’s stringent pharmacovigilance or safety reporting rules, which can impose post-authorization studies and additional monitoring obligations; the manufacturing of authorized medicinal products, for which a separate manufacturer’s license is mandatory; and the marketing and promotion of authorized drugs, which are strictly regulated in the E.U. and are also subject to E.U. Member State laws. The failure to comply with these and other E.U. requirements can also lead to significant penalties and sanctions.</w:t>
      </w:r>
    </w:p>
    <w:p>
      <w:pPr>
        <w:spacing w:after="0" w:line="75"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national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0" w:name="page61"/>
    <w:bookmarkEnd w:id="60"/>
    <w:p>
      <w:pPr>
        <w:ind w:right="720"/>
        <w:spacing w:after="0" w:line="282" w:lineRule="auto"/>
        <w:rPr>
          <w:sz w:val="20"/>
          <w:szCs w:val="20"/>
          <w:color w:val="auto"/>
        </w:rPr>
      </w:pPr>
      <w:r>
        <w:rPr>
          <w:rFonts w:ascii="Times New Roman" w:cs="Times New Roman" w:eastAsia="Times New Roman" w:hAnsi="Times New Roman"/>
          <w:sz w:val="18"/>
          <w:szCs w:val="18"/>
          <w:color w:val="auto"/>
        </w:rPr>
        <w:t>operations may rely, including those that fund research and development activities, is subject to the political process, which is inherently fluid and unpredictable.</w:t>
      </w:r>
    </w:p>
    <w:p>
      <w:pPr>
        <w:spacing w:after="0" w:line="54"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Disruptions at the FDA, EMA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disruptions may result that are similar to the COVID-19 pandemic. During the COVID-19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U.S. facing similar circumstances may adopt similar restrictions or other policy measures in response to a similar public health emergency and may also experience delays in their regulatory activities.</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spacing w:after="0" w:line="6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to obtain marketing approval of and commercialize Haduvio or any future product candidate and may affect the prices we may obtain.</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the U.S. and some foreign jurisdictions, there have been and continue to be a number of legislative and regulatory changes and proposed changes regarding the healthcare system that could, among other things, prevent or delay marketing approval of Haduvio or any future product candidate,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 If reimbursement of our products is unavailable or limited in scope, our business could be materially harmed.</w:t>
      </w:r>
    </w:p>
    <w:p>
      <w:pPr>
        <w:spacing w:after="0" w:line="7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March 2010, President Obama signed into law the Patient Protection and Affordable Care Act, as amended by the Health Care and Education Affordability Reconciliation Act or collectively the ACA. 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under the Coronavirus Aid, Relief and Economic Security Act, or the CARES Act.</w:t>
      </w:r>
    </w:p>
    <w:p>
      <w:pPr>
        <w:spacing w:after="0" w:line="8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Indeed, under current legislation, the actual reductions in Medicare payments may vary up to 4%.</w:t>
      </w:r>
    </w:p>
    <w:p>
      <w:pPr>
        <w:spacing w:after="0" w:line="75"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Since enactment of the ACA, there have been and continue to be, numerous legal challenges and Congressional actions to repeal and replace provisions of the law. For example, with enactment of the Tax Cuts for Jobs Act, or TCJA, in 2017, Congress repealed the “individual mandate.” The repeal of this provision, which requires most Americans to carry a minimal level of health insurance, became effective in 2019. Further, in June 2021, the U.S. Supreme Court dismissed a lawsuit challenging the constitutionality of the ACA after finding that the plaintiffs do not have standing to bring the litigation. Litigation and legislation over the ACA are likely to continue, with unpredictable and uncertain results.</w:t>
      </w:r>
    </w:p>
    <w:p>
      <w:pPr>
        <w:spacing w:after="0" w:line="75" w:lineRule="exact"/>
        <w:rPr>
          <w:sz w:val="20"/>
          <w:szCs w:val="20"/>
          <w:color w:val="auto"/>
        </w:rPr>
      </w:pPr>
    </w:p>
    <w:p>
      <w:pPr>
        <w:jc w:val="both"/>
        <w:ind w:right="60" w:firstLine="509"/>
        <w:spacing w:after="0" w:line="272" w:lineRule="auto"/>
        <w:rPr>
          <w:sz w:val="20"/>
          <w:szCs w:val="20"/>
          <w:color w:val="auto"/>
        </w:rPr>
      </w:pPr>
      <w:r>
        <w:rPr>
          <w:rFonts w:ascii="Times New Roman" w:cs="Times New Roman" w:eastAsia="Times New Roman" w:hAnsi="Times New Roman"/>
          <w:sz w:val="17"/>
          <w:szCs w:val="17"/>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w:t>
      </w:r>
    </w:p>
    <w:p>
      <w:pPr>
        <w:spacing w:after="0" w:line="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On January 28, 2021, however, President Biden revoked those Orders and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w:t>
      </w:r>
    </w:p>
    <w:p>
      <w:pPr>
        <w:spacing w:after="0" w:line="82"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1" w:name="page62"/>
    <w:bookmarkEnd w:id="61"/>
    <w:p>
      <w:pPr>
        <w:ind w:right="80"/>
        <w:spacing w:after="0" w:line="256" w:lineRule="auto"/>
        <w:rPr>
          <w:sz w:val="20"/>
          <w:szCs w:val="20"/>
          <w:color w:val="auto"/>
        </w:rPr>
      </w:pPr>
      <w:r>
        <w:rPr>
          <w:rFonts w:ascii="Times New Roman" w:cs="Times New Roman" w:eastAsia="Times New Roman" w:hAnsi="Times New Roman"/>
          <w:sz w:val="18"/>
          <w:szCs w:val="18"/>
          <w:color w:val="auto"/>
        </w:rPr>
        <w:t>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p>
    <w:p>
      <w:pPr>
        <w:spacing w:after="0" w:line="7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legislative efforts may limit the prices for our products, if and when they are licensed for marketing and that could materially impact our ability to generate revenues.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prices of prescription pharmaceuticals have also been the subject of considerable discussion in the U.S.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President Trump issued several executive orders intended to lower the costs of prescription products and certain provisions in these orders have been incorporated into regulations. These regulations include an interim final rule implementing a most favored nation model for prices that would tie Medicare Part B payments for certain physician-administered pharmaceuticals to the lowest price paid in other economically advanced countries, effective January 1, 2021. That rule, however, has been subject to a nationwide preliminary injunction and, on December 29, 2021, Centers for Medicare &amp; Medicaid Services, or CMS, issued a final rule to rescind it. With issuance of this rule, CMS stated that it will explore all options to incorporate value into payments for Medicare Part B pharmaceuticals and improve beneficiaries’ access to evidence-based care.</w:t>
      </w:r>
    </w:p>
    <w:p>
      <w:pPr>
        <w:spacing w:after="0" w:line="8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addition, in October 2020, HHS and the FDA published a final rule allowing states and other entities to develop a Section 804 Importation Program to import certain prescription drugs from Canada into the U.S. That regulation was challenged in a lawsuit by the Pharmaceutical Research and Manufacturers of America, or PhRMA, but the case was dismissed by a federal district court in February 2023 after the court found that PhRMA did not have standing to sue HHS. Nine states (Colorado, Florida, Maine, New Hampshire, New Mexico, North Dakota, Texas, Vermont and Wisconsin) have passed laws allowing for the importation of drugs from Canada. Certain of these states have submitted Section 804 Importation Program proposals and are awaiting FDA approval. On January 5, 2023, the FDA approved Florida’s plan for Canadian drug importation.</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The Inflation Reduction Act of 2022, or the IRA, further delayed implementation of this rule to January 1, 2032.</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July 9, 2021, President Biden signed Executive Order 14063, which focuses on, among other things, the price of pharmaceuticals. To address these costs, the Order directs HHS to create a plan within 45 days to combat “excessive pricing of prescription drugs and enhance domestic pharmaceutical supply chains, to reduce the prices paid by the federal government for such drugs, and to address the recurrent problem of price gouging.” Thereafter, on September 9, 2021, HHS released its plan to reduce drug prices. The key features of that plan are to: (a) make drug prices more affordable and equitable for all consumers and throughout the health care system by supporting drug price negotiations with manufacturers; (b) improve and promote competition throughout the prescription drug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spacing w:after="0" w:line="8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On August 16, 2022, the Inflation Reduction Act of 2022, or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HHS to implement many of these provisions through guidance, as opposed to regulation, for the initial years.</w:t>
      </w:r>
    </w:p>
    <w:p>
      <w:pPr>
        <w:spacing w:after="0" w:line="8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but it does not apply to drugs and biologics that have been approved for a single rare disease or condition. Nonetheless, since CMS may establish a maximum price for these products in price negotiations, we would be fully at risk of government action if our products are the subject of Medicare price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2" w:name="page63"/>
    <w:bookmarkEnd w:id="62"/>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negotiations. Moreover, given the risk that could be the case, these provisions of the IRA may also further heighten the risk that we would not be able to achieve the expected return on our drug products or full value of our patents protecting our products if prices are set after such products have been on the market for nine years.</w:t>
      </w:r>
    </w:p>
    <w:p>
      <w:pPr>
        <w:spacing w:after="0" w:line="6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 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price caps on annual out-of-pocket expenses, each of which could have potential pricing and reporting implications.</w:t>
      </w:r>
    </w:p>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June 6, 2023, Merck &amp; Co. filed a lawsuit against the HHS and CMS asserting that, among other things, the IRA’s Drug Price Negotiation Program for Medicare constitutes an uncompensated taking in violation of the Fifth Amendment of the Constitution. Subsequently, a number of other parties, including the U.S. Chamber of Commerce, Bristol Myers Squibb Company, the PhRMA, Astellas, Novo Nordisk, Janssen Pharmaceuticals, Novartis, AstraZeneca and Boehringer Ingelheim, also filed lawsuits in various courts with similar constitutional claims against the HHS and CMS. We expect that litigation involving these and other provisions of the IRA will continue, with unpredictable and uncertain results. In the E.U., similar political, economic and regulatory developments may affect our ability to profitably commercialize our product candidates, if approved. In markets outside of the U.S. and the E.U., reimbursement and healthcare payment systems vary significantly by country and many countries have instituted price ceilings on specific products and therapies. In many countries, including those of the E.U.,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7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relationships we may have with customers, healthcare providers and professionals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products for which we are able to obtain marketing approval. Any arrangements we have with healthcare providers, third-party payors and customers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w:t>
      </w:r>
    </w:p>
    <w:p>
      <w:pPr>
        <w:spacing w:after="0" w:line="73"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Anti-Kickback Statute</w:t>
      </w:r>
      <w:r>
        <w:rPr>
          <w:rFonts w:ascii="Times New Roman" w:cs="Times New Roman" w:eastAsia="Times New Roman" w:hAnsi="Times New Roman"/>
          <w:sz w:val="18"/>
          <w:szCs w:val="18"/>
          <w:color w:val="auto"/>
        </w:rPr>
        <w:t>. The federal Anti-Kickback Statute prohibits, among other things, persons and entities from knowingly and willfully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soliciting, 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False Claims Laws. </w:t>
      </w:r>
      <w:r>
        <w:rPr>
          <w:rFonts w:ascii="Times New Roman" w:cs="Times New Roman" w:eastAsia="Times New Roman" w:hAnsi="Times New Roman"/>
          <w:sz w:val="18"/>
          <w:szCs w:val="18"/>
          <w:color w:val="auto"/>
        </w:rPr>
        <w:t>The federal false claims and civil monetary penalties laws, including the federal civil False Claims Act, impose criminal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civil penalties, including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75" w:lineRule="exact"/>
        <w:rPr>
          <w:sz w:val="20"/>
          <w:szCs w:val="20"/>
          <w:color w:val="auto"/>
        </w:rPr>
      </w:pPr>
    </w:p>
    <w:p>
      <w:pPr>
        <w:ind w:right="16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HIPAA. </w:t>
      </w:r>
      <w:r>
        <w:rPr>
          <w:rFonts w:ascii="Times New Roman" w:cs="Times New Roman" w:eastAsia="Times New Roman" w:hAnsi="Times New Roman"/>
          <w:sz w:val="18"/>
          <w:szCs w:val="18"/>
          <w:color w:val="auto"/>
        </w:rPr>
        <w:t>The federal Health Insurance Portability and Accountability Act of 1996, or HIPAA, imposes criminal and civil liability for, among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things, executing a scheme or 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w:t>
      </w:r>
    </w:p>
    <w:p>
      <w:pPr>
        <w:spacing w:after="0" w:line="74"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Transparency Requirements. </w:t>
      </w:r>
      <w:r>
        <w:rPr>
          <w:rFonts w:ascii="Times New Roman" w:cs="Times New Roman" w:eastAsia="Times New Roman" w:hAnsi="Times New Roman"/>
          <w:sz w:val="18"/>
          <w:szCs w:val="18"/>
          <w:color w:val="auto"/>
        </w:rPr>
        <w:t>The federal Physician Payments Sunshine Act requires certain manufacturers of drugs, devices, biologics and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supplies for which payment is available under Medicare, Medicaid or the Children’s Health Insurance Program, with specific exceptions, to report annually to CMS information related to payments or transfers of value made to physicians, other healthcare providers and teaching hospitals, as well as information regarding ownership and investment interests held by physicians and their immediate family members.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3" w:name="page64"/>
    <w:bookmarkEnd w:id="63"/>
    <w:p>
      <w:pPr>
        <w:ind w:right="6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Analogous State and Foreign Laws. </w:t>
      </w:r>
      <w:r>
        <w:rPr>
          <w:rFonts w:ascii="Times New Roman" w:cs="Times New Roman" w:eastAsia="Times New Roman" w:hAnsi="Times New Roman"/>
          <w:sz w:val="18"/>
          <w:szCs w:val="18"/>
          <w:color w:val="auto"/>
        </w:rPr>
        <w:t>Analogous state and foreign fraud and abuse laws and regulations, such as state anti-kickback and false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w:t>
      </w:r>
    </w:p>
    <w:p>
      <w:pPr>
        <w:spacing w:after="0" w:line="7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Efforts to ensure that any business arrangements we have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84"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Infringement of these laws could result in substantial fines and imprisonment.</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71"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collection, use, disclosure, transfer or other processing of personal data, including personal health data, of individuals in the E.U. is governed by the General Data Protection Regulation, or GDPR. The GDPR became effective on May 25, 2018. It imposes numerous requirements on companies that process personal data, including requirements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and implementing safeguards to protect the security and confidentiality of personal data. The GDPR imposes strict rules on the transfer of personal data to countries outside the E.U., including the U.S. Failure to comply with the requirements of the GDPR may result in fines of up to 20 million euros or four percent of annual global revenues, whichever is greater. The GDPR also confers a private right of action on data subjects and consumer associations to lodge complaints with supervisory authorities, seek judicial remedies and obtain compensation for damages. The GDPR increases our responsibility and potential liability in relation to personal data that we process and we may be required to change our business practices or put in place additional mechanisms ensuring compliance with the GDPR. This may be onerous and adversely affect our business, financial condition, results of operations and prospects and despite our efforts, there is a risk that we may be subject to fines, litigation and reputational harm in connection with our European activities.</w:t>
      </w:r>
    </w:p>
    <w:p>
      <w:pPr>
        <w:spacing w:after="0" w:line="82" w:lineRule="exact"/>
        <w:rPr>
          <w:sz w:val="20"/>
          <w:szCs w:val="20"/>
          <w:color w:val="auto"/>
        </w:rPr>
      </w:pPr>
    </w:p>
    <w:p>
      <w:pPr>
        <w:ind w:right="120" w:firstLine="509"/>
        <w:spacing w:after="0" w:line="273" w:lineRule="auto"/>
        <w:rPr>
          <w:sz w:val="20"/>
          <w:szCs w:val="20"/>
          <w:color w:val="auto"/>
        </w:rPr>
      </w:pPr>
      <w:r>
        <w:rPr>
          <w:rFonts w:ascii="Times New Roman" w:cs="Times New Roman" w:eastAsia="Times New Roman" w:hAnsi="Times New Roman"/>
          <w:sz w:val="17"/>
          <w:szCs w:val="17"/>
          <w:color w:val="auto"/>
        </w:rPr>
        <w:t>In October 2022, President Biden signed an executive order to implement the E.U.-U.S. Data Privacy Framework, which would serve as a replacement to the E.U.-U.S. Privacy Shield. The E.U. initiated the process to adopt an adequacy decision for the E.U.-U.S. Data Privacy Framework in December 2022 and the European Commission adopted the adequacy decision on July 10, 2023. The adequacy decision will permit U.S. companies who self-certify to the E.U.-U.S. Data Privacy Framework to rely on it as a valid data transfer mechanism for data transfers from the E.U. to the U.S. However, some privacy advocacy groups have already suggested that they will be challenging the E.U.-U.S. Data Privacy Framework. If these challenges are successful, they may not only impact the E.U.-U.S. Data Privacy Framework, but also further limit the viability of the standard contractual clauses and other data transfer mechanisms. The uncertainty around this issue has the potential to impact any future business we may have at the international level.</w:t>
      </w:r>
    </w:p>
    <w:p>
      <w:pPr>
        <w:spacing w:after="0" w:line="6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Similar actions are either in place or under way in the U.S.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FTC and state Attorneys General all are aggressive in reviewing privacy and data security protections for consumers. New laws also are being considered at both the state and federal levels. For example, the FTC has been particularly focused on the unpermitted processing of health and genetic data through its recent enforcement actions and is expanding the types of privacy violations that it interprets to be “unfair” under Section 5 of the Federal Trade Commission Act, as well as the types of activities it views to trigger the Health Breach Notification Rule (which the FTC also has the authority to enforce). The agency is also in the process of developing rules related to commercial surveillance and data security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4" w:name="page65"/>
    <w:bookmarkEnd w:id="64"/>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that may impact our business. We will need to account for the FTC’s evolving rules and guidance for proper privacy and data security practices in order to mitigate our risk for a potential enforcement action, which may be costly. If we are subject to a potential FTC enforcement action, we may be subject to a settlement order that requires us to adhere to very specific privacy and data security practices, which may impact our business. We may also be required to pay fines as part of a settlement (depending on the nature of the alleged violations). If we violate any consent order that we reach with the FTC, we may be subject to additional fines and compliance requirements.</w:t>
      </w:r>
    </w:p>
    <w:p>
      <w:pPr>
        <w:spacing w:after="0" w:line="75"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In addition,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These obligations may be applicable to some or all of our business activities now or in the future.</w:t>
      </w:r>
    </w:p>
    <w:p>
      <w:pPr>
        <w:spacing w:after="0" w:line="60"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If we are unable to properly protect the privacy and security of protected health information, we could be found to have breached our contracts. Further, if we fail to comply with applicable privacy laws, including applicable HIPAA privacy and security standards, we could face civil and criminal penalties.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8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New laws also are being considered at the state level. Most prominently, in California, the California Consumer Protection Act, or the CCPA, as amended by the California Privacy Rights Act, or the CPRA, which went into effect on January 1, 2023, establishes a privacy framework for covered businesses by creating an expansive definition of personal information, establishing data privacy rights for consumers and employees in the State of California, imposing special rules on the collection of consumer data from minors, and creating a potentially severe statutory damages framework for violations of the CCPA and for businesses that fail to implement reasonable security procedures and practices to prevent data breaches. The CPRA created a new state agency that is vested with authority to implement and enforce the CCPA and the CPRA. While clinical trial data is currently exempt from the current version of the CCPA, other personal information may be applicable and possible changes to the CCPA may broaden its scope.</w:t>
      </w:r>
    </w:p>
    <w:p>
      <w:pPr>
        <w:spacing w:after="0" w:line="8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addition to California, at least eleven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or have already passed comprehensive privacy laws during the 2023 legislative sessions that will go into effect in 2024 and beyond, including New Hampshire and New Jersey. Other states will be considering these laws in the future, and Congress has also been debating passing a federal privacy law. There are also states that are specifically regulating health information that may affect our business. For example, Washington state passed a health privacy law in 2023 that will regulate the collection and sharing of health information, and the law also has a private right of action, which further increases the relevant compliance risk. Connecticut and Nevada have also passed similar laws regulating consumer health data and additional states (including Vermont) are considering such legislation for 2024. These laws may impact our business activities, including our identification of research patients, relationships with business partners and ultimately the marketing and distribution of our products.</w:t>
      </w:r>
    </w:p>
    <w:p>
      <w:pPr>
        <w:spacing w:after="0" w:line="8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Accordingly, any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6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products outside of the U.S. and require us to develop and implement costly compliance programs.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we further expand our operations outside the U.S., we will need to dedicate additional resources to comply with U.S. laws regarding international operations and the laws and regulations in each jurisdiction in which we operate and plan to operate. 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us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8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5" w:name="page66"/>
    <w:bookmarkEnd w:id="65"/>
    <w:p>
      <w:pPr>
        <w:ind w:right="120" w:firstLine="509"/>
        <w:spacing w:after="0" w:line="271" w:lineRule="auto"/>
        <w:rPr>
          <w:sz w:val="20"/>
          <w:szCs w:val="20"/>
          <w:color w:val="auto"/>
        </w:rPr>
      </w:pPr>
      <w:r>
        <w:rPr>
          <w:rFonts w:ascii="Times New Roman" w:cs="Times New Roman" w:eastAsia="Times New Roman" w:hAnsi="Times New Roman"/>
          <w:sz w:val="17"/>
          <w:szCs w:val="17"/>
          <w:color w:val="auto"/>
        </w:rPr>
        <w:t>Various laws, regulations and executive orders also restrict the use and dissemination outside of the U.S., or the sharing with certain non-U.S. nationals, of information classified for national security purposes, as well as certain products and technical data relating to those products. Further,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such as the United Kingdom. Bribery Act 2010. Infringement of these laws could 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6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w:t>
      </w:r>
    </w:p>
    <w:p>
      <w:pPr>
        <w:spacing w:after="0" w:line="68"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6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8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we may incur due to injuries to our employees resulting from workplace and other work-related accidents, but this insurance may not provide adequate coverage against potential liabilities. However, we do not maintain insurance for environmental liability or toxic tort claims that may be asserted against us.</w:t>
      </w:r>
    </w:p>
    <w:p>
      <w:pPr>
        <w:spacing w:after="0" w:line="68"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Current or future environmental, health and safety laws and regulations may impair our research, development or production efforts. In addition, failure to comply with these laws and regulations may result in substantial fines, penalties or other sanctions.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computer systems, as well as those of our CROs and other third-party contractors and consultants, are vulnerable to damage from cyber-attacks, computer viruses, unauthorized access, sabotage, natural disasters (including hurricanes), terrorism, war and telecommunication and electrical failures. If such an event were to occur and cause interruptions in our operations, it could result in a material disruption of our business and development programs, in addition to possibly requiring substantial expenditures of resources to remedy. For example, the loss of preclinical studies or clinical trial data from completed, ongoing or planned trials could result in delays in our regulatory approval efforts and significantly increase our costs to recover or reproduce data. To the extent any disruption or security breach were to result in a loss of or damage to our data or applications or inappropriate disclosure of personal, confidential or proprietary information, we could also incur liability, our competitive position could be harmed and the development of Haduvio or any future product candidate could be significantly delayed. In addition, we may not have adequate insurance coverage to provide compensation for any losses associated with such events.</w:t>
      </w:r>
    </w:p>
    <w:p>
      <w:pPr>
        <w:spacing w:after="0" w:line="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directly or indirectly collect and store sensitive data, including intellectual property, confidential information, preclinical and clinical trial data, proprietary business information, personal data and personally identifiable health information of our clinical trial patients and employees, in our data centers and on our networks or on those of third parties. 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Additionally, the risk of a security breach or disruption through cyber-attacks has generally increased as the number, intensity and sophistication of attempted attacks from around the world have increased.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w:t>
      </w:r>
    </w:p>
    <w:p>
      <w:pPr>
        <w:spacing w:after="0" w:line="80"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versions of any of our future products that receive marketing approval through the NDA pathway, or such authorities do not grant such future products appropriate periods of data exclusivity before approving generic versions of our products, our sales could be adversely affected.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6" w:name="page67"/>
    <w:bookmarkEnd w:id="66"/>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Once an NDA is approved, the product covered thereby becomes a “reference listed drug” in the FDA’s publication, “Approved Drug Products with Therapeutic Equivalence Evaluations,” commonly known as the Orange Book. Manufacturers may seek approval of generic versions of reference listed drugs through submission of ANDAs in the U.S. In support of an ANDA, a generic manufacturer need not conduct clinical trials to assess safety and efficacy. Rather, the applicant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is typically lost to the generic product.</w:t>
      </w:r>
    </w:p>
    <w:p>
      <w:pPr>
        <w:spacing w:after="0" w:line="8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FDA may not approve an ANDA for a generic product until any applicable period of non-patent exclusivity for the reference-listed drug has expired. The FDCA provides a period of five years of non-patent exclusivity for a new drug containing a new chemical entity, or NCE. For the purposes of this provision, an NCE is a drug that contains no active moiety that has previously been approved by the FDA in any other NDA. This interpretation was confirmed with enactment of the Ensuring Innovation Act in April 2021. An active moiety is the molecule or ion responsible for the physiological or pharmacological action of the drug substance. Specifically, in cases where such exclusivity has been granted, an ANDA may not be submitted to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The FDCA also provides for a period of three years of exclusivity if the NDA includes reports of one or more new clinical trials, other than bioavailability or bioequivalence studies, that were conducted by or for the applicant and are essential to the approval of the application.</w:t>
      </w:r>
    </w:p>
    <w:p>
      <w:pPr>
        <w:spacing w:after="0" w:line="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Generic drug manufacturers may seek to launch generic products following the expiration of any applicable exclusivity period we obtain if our product candidates are approved, even if we still have patent protection for such product candidates. Competition that any such product candidates of ours may face from generic versions of such products could materially and adversely impact our future revenue, profitability, and cash flows and substantially limit our ability to obtain a return on the investments we may make in those product candidates.</w:t>
      </w:r>
    </w:p>
    <w:p>
      <w:pPr>
        <w:spacing w:after="0" w:line="6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5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Issues in the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any of our vendors experiences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our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executive team and to attract, retain and motivate qualified personnel.</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highly dependent on Jennifer Good, our President and Chief Executive Officer; Thomas Sciascia, M.D., our Chief Scientific Officer; and James Cassella, Ph.D., our Chief Development Officer; as well as the other principal members of our management and scientific teams. Although we have a formal employment agreement with Ms. Good and offer letter agreements with Dr. Sciascia and Dr. Cassella, these agreements do not prevent them from terminating their employment with us at any time. Except as otherwise required by law, all members of our executive team are employed “at will,” meaning that they may terminate their employment with us at any time with or without notice and for any reason or no reason. The loss of the services of any of these persons could impede the achievement of our research, development and commercialization objectives.</w:t>
      </w:r>
    </w:p>
    <w:p>
      <w:pPr>
        <w:spacing w:after="0" w:line="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ability to compete in the biotechnology and pharmaceuticals industries depends upon our ability to attract and retain highly qualified scientific, clinical, manufacturing and sales and marketing personnel. Our industry has experienced a high rate of turnover of such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84"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continue to attract and retain highly qualified personnel, our ability to develop and commercialize Haduvio or any future product candidate will be limited.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expand our organization, we may encounter difficulties in managing our growth, which could disrupt our operations.</w:t>
      </w:r>
    </w:p>
    <w:p>
      <w:pPr>
        <w:spacing w:after="0" w:line="12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As of September 30, 2024, we had 27 employees. We may experience growth in the number of our employees and the scope of our operations. For example, if any product candidate appears likely to receive marketing approval, we expect to significantly expand our sales, marketing and distribution capabilities to support the potential commercialization of the product candidate. Our management may need to devote a significant amount of its attention to managing these growth activities. Due to our limited financial resources and the limited experience of our management team in managing a company with such growth, we may not be able to effectively manage the expansion of our operations, retain key employees or identify,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Any significant growth could also require significant capital expenditures and may divert financial resources from other projects, such as the development of Haduvio for additional indications or the development of additional product candidates. If we are unable to effectively manage our growth, our expenses may increase more than expected, our ability to generate revenues could be reduced and we may be unable to implement our business strategy, including the successful commercialization of any product candidate.</w:t>
      </w:r>
    </w:p>
    <w:p>
      <w:pPr>
        <w:spacing w:after="0" w:line="8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and consultants may engage in misconduct or other improper activities, including non-compliance with regulatory standards and requirements, which could cause significant liability for us and harm our reputation.</w:t>
      </w:r>
    </w:p>
    <w:p>
      <w:pPr>
        <w:spacing w:after="0" w:line="51"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and consultants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requirements to curtail or restructure our operations.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sustainable.</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shares of common stock began trading on the Nasdaq Global Market, or Nasdaq, on May 7, 2019. Given the limited trading history of our common stock, there is a risk that an active trading market for our shares will not be sustained, which could put downward pressure on the market price for our common stock and thereby affect the ability of our stockholders to sell their shares. An inactive trading market may also impair our ability to raise capital to continue to fund operations by selling shares and may impair our ability to acquire other companies or technologies by using our shares as consideration.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is highly volatile, which could result in substantial losses for purchasers of our common stock.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is highly volatile. The stock market in general and the market for smaller pharmaceutical and biotechnology companies in particular have experienced extreme volatility that has often been unrelated to the operating performance of particular companies. The trading price for our common stock may be influenced by many factors, including:</w:t>
      </w:r>
    </w:p>
    <w:p>
      <w:pPr>
        <w:spacing w:after="0" w:line="68" w:lineRule="exact"/>
        <w:rPr>
          <w:sz w:val="20"/>
          <w:szCs w:val="20"/>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clinical trials of Haduvio or any future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products or technologies;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Haduvio or any future product candidates or competitors’ products and product candidates;</w:t>
      </w:r>
    </w:p>
    <w:p>
      <w:pPr>
        <w:spacing w:after="0" w:line="117" w:lineRule="exact"/>
        <w:rPr>
          <w:rFonts w:ascii="Times New Roman" w:cs="Times New Roman" w:eastAsia="Times New Roman" w:hAnsi="Times New Roman"/>
          <w:sz w:val="18"/>
          <w:szCs w:val="18"/>
          <w:color w:val="auto"/>
        </w:rPr>
      </w:pPr>
    </w:p>
    <w:p>
      <w:pPr>
        <w:ind w:left="900" w:right="960" w:hanging="383"/>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collaborations or capital commitments;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 for our development programs;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development programs;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68" w:name="page69"/>
    <w:bookmarkEnd w:id="68"/>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product candidates of our competitors;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intellectual property rights;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any of our development programs;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efforts to discover, develop, acquire or in-license additional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estimated financial results or development timelines;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expectations of additional financing efforts;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and changes in estimates or recommendations by securities analysts, if any, that cover our stock;</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 in the U.S. and other countries;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recent adverse changes in the domestic and international financial markets and the impacts of inflation and government action in response thereto;</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listing on the Nasdaq Global Market;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considerations described in this “Risk Factors” section.</w:t>
      </w:r>
    </w:p>
    <w:p>
      <w:pPr>
        <w:spacing w:after="0" w:line="225"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addition, inflation and interest rate increases and other factors have negatively affected, and may in the future negatively affect, the stock market and investor sentiment. The price and volatility of our common stock may be disproportionately affected as investors may favor traditional profit-making industries and companies during such times of market uncertainty and instability.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public companies following declines in the trading prices of their securities. This risk is especially relevant for us because companies in the life sciences space have experienced significant stock price volatility in recent years. If we face such litigation, it could result in substantial costs and a diversion of management’s attention and our resources, which could harm our business.</w:t>
      </w:r>
    </w:p>
    <w:p>
      <w:pPr>
        <w:spacing w:after="0" w:line="6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trading price and volume of our shares could decline.</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likely depend in part on the research and reports that securities or industry analysts publish about us and our business. We do not have any control over these analysts. There can be no assurance that analysts will cover us or provide favorable coverage. If one or more analysts downgrade our stock or change their opinion of our stock, the trading price of our shares would likely decline. In addition, if one or more analysts cease coverage of us or fail to regularly publish reports on us, we could lose visibility in the financial markets, which could cause the trading price and volume of our shares to decline.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including by us, employees and significant stockholders, could negatively affect our stock price.</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of our common stock intend to sell their shares, could reduce the trading price of our common stock.</w:t>
      </w:r>
    </w:p>
    <w:p>
      <w:pPr>
        <w:spacing w:after="0" w:line="5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All of our outstanding shares of common stock may be freely sold in the public market at any time to the extent permitted by Rules 144 and 701 under the Securities Act of 1933, as amended, or the Securities Act, or to the extent that such shares have already been registered under the Securities Act and are held by non-affiliates of ours.</w:t>
      </w:r>
    </w:p>
    <w:p>
      <w:pPr>
        <w:spacing w:after="0" w:line="68" w:lineRule="exact"/>
        <w:rPr>
          <w:sz w:val="20"/>
          <w:szCs w:val="20"/>
          <w:color w:val="auto"/>
        </w:rPr>
      </w:pPr>
    </w:p>
    <w:p>
      <w:pPr>
        <w:jc w:val="both"/>
        <w:ind w:right="100" w:firstLine="509"/>
        <w:spacing w:after="0" w:line="282" w:lineRule="auto"/>
        <w:rPr>
          <w:sz w:val="20"/>
          <w:szCs w:val="20"/>
          <w:color w:val="auto"/>
        </w:rPr>
      </w:pPr>
      <w:r>
        <w:rPr>
          <w:rFonts w:ascii="Times New Roman" w:cs="Times New Roman" w:eastAsia="Times New Roman" w:hAnsi="Times New Roman"/>
          <w:sz w:val="18"/>
          <w:szCs w:val="18"/>
          <w:color w:val="auto"/>
        </w:rPr>
        <w:t>Moreover, holders of a substantial number of shares of our common stock have rights, subject to specified limitations and conditions, to require us to file registration statements covering their shares or to include their shares in registration statements that we may file for ourselves or other stockholders.</w:t>
      </w:r>
    </w:p>
    <w:p>
      <w:pPr>
        <w:spacing w:after="0" w:line="5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addition, we have registered all shares of common stock that we may issue under our equity compensation plans. These shares can be freely sold in the public market upon issuance and once vested, subject to volume limitations applicable to affiliates. If these additional shares are sold, or if it is perceived in the market that they will be sold, in the public market, the trading price of our common stock could decline.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69" w:name="page70"/>
    <w:bookmarkEnd w:id="69"/>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June 2023, we filed with the SEC a universal shelf registration statement on Form S-3, or the Shelf Registration Statement, which allows us to offer and sell up to $200.0 million of common stock, preferred stock, debt securities, units and/or warrants from time to time pursuant to one or more offerings at prices and terms to be determined at the time of sale. The Shelf Registration Statement was filed to replace our prior universal shelf registration statement on Form S-3, or the Prior Shelf Registration Statement. The Shelf Registration Statement was declared effective on August 15, 2023. In June 2023, we entered into a new sales agreement, or the 2023 ATM Sales Agreement, with Leerink Partners and filed a prospectus under our Shelf Registration Statement for the offer and sale of shares of our common stock having an aggregate offering price of up to $75.0 million pursuant to the 2023 ATM Sales Agreement. In accordance with the terms of the 2023 ATM Sales Agreement, our prior ATM sales agreement terminated upon effectiveness of the Shelf Registration Statement, at which point we were no longer able to issue and sell shares of our common stock under our prior ATM sales agreement. From time to time, we may offer and sell under the 2023 ATM Sales Agreement common stock registered under the Shelf Registration Statement pursuant to one or more “at-the-market” offerings. The extent to which we utilize the 2023 ATM Sales Agreement as a source of funding will depend on a number of factors, including the prevailing market price of our common stock, general market conditions and the extent to which we are able to secure funds from other sources.</w:t>
      </w:r>
    </w:p>
    <w:p>
      <w:pPr>
        <w:spacing w:after="0" w:line="82"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On October 5, 2021, we issued to a single investor in a private placement, or the Initial Private Placement Investor, (i) 2,373,201 shares of our common stock and accompanying warrants to purchase an aggregate of 4,746,402 shares of our common stock, and (ii) pre-funded warrants to purchase up to an aggregate of 4,926,069 shares of our common stock and accompanying warrants to purchase an aggregate of 9,852,138 shares of our common stock. Under the terms of the pre-funded warrants and the accompanying common stock warrants, we may not effect the exercise of any such warrant, and the Initial Private Placement Investor will not be entitled to exercise any portion of any such warrant, if, upon giving effect to such exercise, the aggregate number of shares of common stock beneficially owned by the Initial Private Placement Investor, together with its affiliates, would exceed 4.99%, for the accompanying common stock warrants, or 9.99%, for the pre-funded warrants, of the number of shares of common stock outstanding immediately after giving effect to the exercise, as such percentage ownership is determined in accordance with the terms of such warrant, which percentage may be increased or decreased at the Initial Private Placement Investor’s election upon 61 days’ notice to us, subject to the terms of such warrants, provided that such percentage may in no event exceed 9.99%. We refer to such percentage limitations as the Initial Private Placement Beneficial Ownership Limitations. We filed a registration statement on Form S-3, or the Initial Private Placement Form S-3, covering the resale of up to 21,897,810 shares of common stock, comprised of the 2,373,201 shares of common stock issued outright and the 19,524,609 shares of common stock issuable upon exercise of the warrants, which was declared effective in October 2021. While the Initial Private Placement Form S-3 covers the resale of the number of shares of common stock issued or issuable to the Initial Private Placement Investor without giving effect to the Initial Private Placement Beneficial Ownership Limitations, the Initial Private Placement Investor may not exercise, and subsequently resell the underlying shares of common stock of, any portion of the warrants to the extent such exercise would result in the Initial Private Placement Investor exceeding the applicable Initial Private Placement Beneficial Ownership Limitation. The Initial Private Placement Investor may resell all, some or none of the shares of common stock registered pursuant to the Initial Private Placement Form S-3 at any time or in its discretion, subject to the Initial Private Placement Beneficial Ownership Limitations. As of October 31, 2024, warrants issued to the Initial Private Placement Investor to purchase 6,000,000 shares of common stock remained outstanding.</w:t>
      </w:r>
    </w:p>
    <w:p>
      <w:pPr>
        <w:spacing w:after="0" w:line="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Similarly, on October 18, 2021, we issued to New Enterprise Associates 16, L.P., or NEA, in a private placement, 1,851,852 shares of our common stock and accompanying warrants to purchase an aggregate of 3,703,704 shares of our common stock. We filed a registration statement on Form S-3, or the Second Private Placement Form S-3, covering the resale of 5,555,556 shares of common stock, comprised of the 1,851,852 shares of common stock and the 3,703,704 shares of common stock issuable upon exercise of the warrants, which was declared effective in November 2021. NEA will be able to resell all, some or none of the shares of common stock registered pursuant to the Second Private Placement Form S-3 at any time or in its discretion. As of October 31, 2024, all of the warrants issued to NEA remained outstanding.</w:t>
      </w:r>
    </w:p>
    <w:p>
      <w:pPr>
        <w:spacing w:after="0" w:line="79"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Similarly, on April 11, 2022, we issued to several purchasers in a private placement, or the April 2022 Private Placement, (i) an aggregate of 4,580,526 shares of our common stock and (ii) pre-funded warrants to purchase an aggregate of 24,379,673 shares of our common stock. Under the terms of the pre-funded warrants, we may not effect the exercise of any such warrant, and a purchaser will not be entitled to exercise any portion of any such warrant, if, upon giving effect to such exercise, the aggregate number of shares of common stock beneficially owned by such purchaser (together with its affiliates, any other persons acting as a group together with such purchaser or any of such purchaser’s affiliates, and any other persons whose beneficial ownership of common stock would or could be aggregated with such purchaser's for purposes of Section 13(d) or Section 16 of the Securities Exchange Act of 1934, as amended, or the Exchange Act) would exceed 9.99% of the number of shares of common stock outstanding immediately after giving effect to the exercise, as such percentage ownership is determined in accordance with the terms of such warrant, which percentage may be increased or decreased at such purchaser’s election upon 61 days’ notice to us subject to the terms of such warrants, provided that such percentage may in no event exceed</w:t>
      </w:r>
    </w:p>
    <w:p>
      <w:pPr>
        <w:spacing w:after="0" w:line="6"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19.99%. We refer to such percentage limitations as the 2022 Private Placement Beneficial Ownership Limitations. We filed a registration statement on Form S-3, or the Third Private Placement Form S-3, covering the resale of 28,960,199 shares of common stock, comprised of the 4,580,526 shares of common stock and the 24,379,673 shares of common stock issuable upon exercise of the warrants, which was declared effective in May 2022. While the Third Private Placement Form S-3 covers the resale of the number of shares of common stock issued or issuable to the purchasers without giving effect to the 2022 Private Placement Beneficial Ownership Limitations, a purchaser may not exercise, and subsequently resell the underlying shares of common stock of, any portion of the warrants to the extent such exercise would result in such purchaser exceeding the applicable 2022 Private Placement Beneficial Ownership Limitation. The purchasers will be able to resell all, some or none of the shares of common stock registered pursuant to the Third Private Placement Form S-3 at any time or in their discretion, subject to the 2022 Private Placement Beneficial Ownership Limitations. As of October 31, 2024, pre-funded warrants that we issued and sold in the April 2022 Private Placement to purchase 14,145,522 shares of common stock remained outstanding.</w:t>
      </w:r>
    </w:p>
    <w:p>
      <w:pPr>
        <w:spacing w:after="0" w:line="8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Finally, on September 27, 2022, we issued and sold an aggregate of 14,252,670 shares of our common stock, and, in lieu of common stock to certain investors, pre-funded warrants to purchase 14,247,330 shares of common stock, in a public offering, or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0" w:name="page71"/>
    <w:bookmarkEnd w:id="70"/>
    <w:p>
      <w:pPr>
        <w:ind w:right="20"/>
        <w:spacing w:after="0" w:line="252" w:lineRule="auto"/>
        <w:rPr>
          <w:sz w:val="20"/>
          <w:szCs w:val="20"/>
          <w:color w:val="auto"/>
        </w:rPr>
      </w:pPr>
      <w:r>
        <w:rPr>
          <w:rFonts w:ascii="Times New Roman" w:cs="Times New Roman" w:eastAsia="Times New Roman" w:hAnsi="Times New Roman"/>
          <w:sz w:val="18"/>
          <w:szCs w:val="18"/>
          <w:color w:val="auto"/>
        </w:rPr>
        <w:t>September 2022 Offering. Under the terms of the pre-funded warrants, we may not effect the exercise of any such warrant, and a purchaser will not be entitled to exercise any portion of any such warrant, if, upon giving effect to such exercise, the aggregate number of shares of common stock beneficially owned by such purchaser (together with its affiliates, any other persons acting as a group together with such purchaser or any of such purchaser’s affiliates, and any other persons whose beneficial ownership of common stock would or could be aggregated with such purchaser</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s for purposes of Section 13(d) or Section 16 of the Exchange Act) would exceed 9.99% of the number of shares of common stock outstanding immediately after giving effect to the exercise, as such percentage ownership is determined in accordance with the terms of such warrant, which percentage may be increased or decreased at such purchaser’s election upon 61 days’ notice to us subject to the terms of such warrants, provided that such percentage may in no event exceed 19.99%. We refer to such percentage limitations as the September 2022 Offering Beneficial Ownership Limitations. The shares of common stock and the pre-funded warrants were issued pursuant to a prospectus supplement dated September 22, 2022 to the Prior Shelf Registration Statement. A purchaser may not exercise, and subsequently resell the underlying shares of common stock of, any portion of the pre-funded warrants to the extent such exercise would result in such purchaser exceeding the applicable September 2022 Offering Beneficial Ownership Limitation. The purchasers will be able to resell all, some or none of the shares of common stock registered pursuant to the Prior Shelf Registration Statement at any time or in their discretion, subject to the September 2022 Offering Beneficial Ownership Limitations. As of October 31, 2024, pre-funded warrants that we issued and sold in the September 2022 Offering to purchase 13,270,983 shares of common stock remained outstanding.</w:t>
      </w:r>
    </w:p>
    <w:p>
      <w:pPr>
        <w:spacing w:after="0" w:line="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Sales of substantial amounts of shares of our common stock or other securities by our stockholders, by us under the Shelf Registration Statement, whether pursuant to the 2023 ATM Sales Agreement or otherwise, by the private placement investors pursuant to the Initial Private Placement Form S-3, the Second Private Placement Form S-3 or the Third Private Placement Form S-3 or through any other means could also lower the market price of our common stock, make it more difficult for you to sell your shares at a price that you desire and impair our ability to raise capital through the sale of equity or equity-related securities.</w:t>
      </w:r>
    </w:p>
    <w:p>
      <w:pPr>
        <w:spacing w:after="0" w:line="7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offerings. In addition, in connection with any merger, consolidation or sale of all or substantially all of our assets, holders of our outstanding warrants would be entitled to receive consideration in excess of their reported beneficial ownership of our common stock and this could adversely impact the consideration our other stockholders would receive.</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part of our October 2021 private placements, we issued to the Initial Private Placement Investor warrants to purchase an aggregate of 14,598,540 shares of our common stock at an exercise price of $1.37 per share, and pre-funded warrants to purchase up to an aggregate of 4,926,069 shares of our common stock at an exercise price of $0.001 per share, which as of February 10, 2022 had been exercised in full. Of the common stock warrants issued to the Initial Private Placement Investor at an exercise price of $1.37 per share, warrants to purchase an aggregate of 7,299,270 shares will expire on April 5, 2025 and warrants to purchase an aggregate of 7,299,270 shares will expire on October 5, 2028. In addition, we issued to NEA warrants to purchase an aggregate of 3,703,704 shares of our common stock at an exercise price of $1.37 per share. Of the common stock warrants issued to NEA, warrants to purchase an aggregate of 1,851,852 shares of our common stock will expire on April 18, 2025 and warrants to purchase an aggregate of 1,851,852 shares of our common stock will expire on October 18, 2028. We issued pre-funded warrants to purchase up to an aggregate of 24,379,673 shares of our common stock to the purchasers in the April 2022 Private Placement, of which pre-funded warrants to purchase 14,145,522 shares of common stock remained outstanding of as October 31, 2024. Finally, we issued pre-funded warrants to purchase up to an aggregate of 14,247,330 shares of our common stock at an exercise price of $0.001 per share to certain purchasers in the September 2022 Offering, of which pre-funded warrants to purchase 13,270,983 shares of common stock remained outstanding as of October 31, 2024.</w:t>
      </w:r>
    </w:p>
    <w:p>
      <w:pPr>
        <w:spacing w:after="0" w:line="82"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As discussed above, the common stock warrants issued to the Initial Private Placement Investor are subject to the Initial Investor Beneficial Ownership Limitations, the pre-funded warrants issued to the purchasers in the April 2022 Private Placement are subject to the 2022 Private Placement Beneficial Ownership Limitations and the pre-funded warrants issued to certain purchasers in the September 2022 Offering are subject to the September 2022 Offering Beneficial Ownership Limitations. Although the Initial Private Placement Investor’s warrants are subject to the Initial Investor Beneficial Ownership Limitations, the pre-funded warrants issued to the purchasers in the April 2022 Private Placement are subject to the 2022 Private Placement Beneficial Ownership Limitations and the pre-funded warrants issued to the purchasers in the September 2022 Offering are subject to the September 2022 Offering Beneficial Ownership Limitations, upon exercise in full of the warrants, the shares issuable upon exercise would represent a significant portion of our outstanding common stock. As a result, the Initial Private Placement Investor, NEA and the other purchasers in the April 2022 Private Placement and the September 2022 Offering may be able to exert substantial influence over our business. The concentration of voting power resulting from the exercise of the warrants could delay, defer or prevent a change of control, entrench our management and our board of directors or delay or prevent a merger, consolidation, takeover or other business combination involving us on terms that other stockholders may desire. In addition, conflicts of interest could arise in the future between us, on the one hand, and the Initial Private Placement Investor, NEA, the purchasers in the April 2022 Private Placement and/or the purchasers in the September 2022 Offering on the other hand, concerning potential competitive business activities, business opportunities, the issuance of additional securities and other matters. In addition, sales of these shares could cause the market price of our common stock to decline significantly.</w:t>
      </w:r>
    </w:p>
    <w:p>
      <w:pPr>
        <w:spacing w:after="0" w:line="8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Furthermore, in the event of a sale of our company, whether by merger, sale of all or substantially all of our assets or otherwise, the holders of warrants would be entitled to receive, with respect to each share of common stock issuable upon exercise of the warrants then held by them and, and in the case of the Initial Private Placement Investor, without regard to the Beneficial Ownership Limitations, the same amount and kind of securities, cash or property as they would have been entitled to receive if such securities had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1" w:name="page72"/>
    <w:bookmarkEnd w:id="71"/>
    <w:p>
      <w:pPr>
        <w:ind w:right="20"/>
        <w:spacing w:after="0" w:line="253" w:lineRule="auto"/>
        <w:rPr>
          <w:sz w:val="20"/>
          <w:szCs w:val="20"/>
          <w:color w:val="auto"/>
        </w:rPr>
      </w:pPr>
      <w:r>
        <w:rPr>
          <w:rFonts w:ascii="Times New Roman" w:cs="Times New Roman" w:eastAsia="Times New Roman" w:hAnsi="Times New Roman"/>
          <w:sz w:val="18"/>
          <w:szCs w:val="18"/>
          <w:color w:val="auto"/>
        </w:rPr>
        <w:t>been converted into or exercised for shares of our common stock immediately prior to such sale of our company. Although the Initial Private Placement Investor’s beneficial ownership of our common stock is reported as 9.99% as a result of the application of the Beneficial Ownership Limitations, in the event of a sale of our company, the Initial Private Placement Investor would receive sale consideration without regard to the Beneficial Ownership Limitations. In such a sale, the Initial Private Placement Investor would be entitled to receive a significantly larger portion of the total proceeds distributable to the holders of our securities than is represented by its reported beneficial ownership of our common stock. In addition, pursuant to the terms of the common stock warrants issued to both the Initial Private Placement Investor and NEA in our October 2021 Private Placements, in specified circumstances upon a fundamental transaction by us, such warrant holders may have the right to require us to repurchase their common stock warrants at their fair value using a Black Scholes option pricing formula. As a result, in the event of a sale of our company, the Initial Private Placement Investor and NEA may be entitled to receive a significantly larger portion of the total proceeds distributable to our stockholders than they would if they exercised the warrants immediately prior to the transaction, and our stockholders could receive significantly less than they otherwise would in such a transaction.</w:t>
      </w:r>
    </w:p>
    <w:p>
      <w:pPr>
        <w:spacing w:after="0" w:line="8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Given the amount and terms of these warrants, we may find it more difficult to raise additional equity capital on favorable terms or at all while these warrants are outstanding.</w:t>
      </w:r>
    </w:p>
    <w:p>
      <w:pPr>
        <w:spacing w:after="0" w:line="5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Ownership of our common stock is concentrated among our executive officers and directors and their affiliates, who have significant influence over our business, which may prevent new investors from influencing significant corporate decisions.</w:t>
      </w:r>
    </w:p>
    <w:p>
      <w:pPr>
        <w:spacing w:after="0" w:line="51" w:lineRule="exact"/>
        <w:rPr>
          <w:sz w:val="20"/>
          <w:szCs w:val="20"/>
          <w:color w:val="auto"/>
        </w:rPr>
      </w:pPr>
    </w:p>
    <w:p>
      <w:pPr>
        <w:jc w:val="both"/>
        <w:ind w:right="200" w:firstLine="509"/>
        <w:spacing w:after="0" w:line="289" w:lineRule="auto"/>
        <w:rPr>
          <w:sz w:val="20"/>
          <w:szCs w:val="20"/>
          <w:color w:val="auto"/>
        </w:rPr>
      </w:pPr>
      <w:r>
        <w:rPr>
          <w:rFonts w:ascii="Times New Roman" w:cs="Times New Roman" w:eastAsia="Times New Roman" w:hAnsi="Times New Roman"/>
          <w:sz w:val="17"/>
          <w:szCs w:val="17"/>
          <w:color w:val="auto"/>
        </w:rPr>
        <w:t>Our executive officers and directors and their respective affiliates, beneficially own, in the aggregate, shares representing approximately 22.6% of our common stock as of October 31, 2024. As a result, our executive officers and directors and their affiliates acting together may be able to significantly influence all matters submitted to our stockholders for approval, as well as our management and affairs. This concentration of ownership control may:</w:t>
      </w:r>
    </w:p>
    <w:p>
      <w:pPr>
        <w:spacing w:after="0" w:line="50" w:lineRule="exact"/>
        <w:rPr>
          <w:sz w:val="20"/>
          <w:szCs w:val="20"/>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or the board of directors; or</w:t>
      </w:r>
    </w:p>
    <w:p>
      <w:pPr>
        <w:spacing w:after="0" w:line="117"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impede a merger, consolidation, takeover, sale, other business combination or other significant corporate transaction involving us that other stockholders may desire.</w:t>
      </w:r>
    </w:p>
    <w:p>
      <w:pPr>
        <w:spacing w:after="0" w:line="54"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yours. For example, certain of these stockholders may have purchased their shares at prices substantially below the prices you paid for your shares or may have held their shares for a longer period, and they may be more interested in selling our company to an acquirer or they may want us to pursue strategies that deviate from your interests.</w:t>
      </w:r>
    </w:p>
    <w:p>
      <w:pPr>
        <w:spacing w:after="0" w:line="6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capital stock in the foreseeable future. Accordingly, stockholders must rely on appreciation in the price of our common stock, if any, for any return on their investment.</w:t>
      </w:r>
    </w:p>
    <w:p>
      <w:pPr>
        <w:spacing w:after="0" w:line="51"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and we do not intend to do so in the foreseeable future. We currently plan to retain all of our future earnings, if any, to finance the operation, development and growth of our product pipeline and business. As a result, future appreciation, if any, in the market value of our common stock will be your sole source of gain for the foreseeable future. There is no guarantee that our common stock will appreciate or even maintain the price at which our holders have purchased it.</w:t>
      </w:r>
    </w:p>
    <w:p>
      <w:pPr>
        <w:spacing w:after="0" w:line="6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us may make our common stock less attractive to investors.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will remain an emerging growth company until December 31, 2024.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as amended,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in our periodic reports, proxy statements and registration statements and not being required to hold a nonbinding advisory vote on executive compensation and stockholder approval of any golden parachute payments not previously approved.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SOX Section 404 and reduced disclosure obligations regarding executive compensation. If some investors find our common stock less attractive as a result of our reliance on these exemptions, the trading market for our common stock may be less active and our stock price may be more volatile.</w:t>
      </w:r>
    </w:p>
    <w:p>
      <w:pPr>
        <w:spacing w:after="0" w:line="78"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initiatives and corporate governance practices.</w:t>
      </w:r>
    </w:p>
    <w:p>
      <w:pPr>
        <w:spacing w:after="0" w:line="5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or a “smaller reporting company,” we incur and will continue to incur, significant legal, accounting, investor relations and other expenses that we did not incur as a private company. The Sarbanes-Oxley Act of 2002, the Dodd-Frank Wall Street Reform and Consumer Protection Act, the listing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2" w:name="page73"/>
    <w:bookmarkEnd w:id="72"/>
    <w:p>
      <w:pPr>
        <w:ind w:right="20"/>
        <w:spacing w:after="0" w:line="252" w:lineRule="auto"/>
        <w:rPr>
          <w:sz w:val="20"/>
          <w:szCs w:val="20"/>
          <w:color w:val="auto"/>
        </w:rPr>
      </w:pPr>
      <w:r>
        <w:rPr>
          <w:rFonts w:ascii="Times New Roman" w:cs="Times New Roman" w:eastAsia="Times New Roman" w:hAnsi="Times New Roman"/>
          <w:sz w:val="18"/>
          <w:szCs w:val="18"/>
          <w:color w:val="auto"/>
        </w:rPr>
        <w:t>requirements of the Nasdaq Stock Market and other applicable securities rules and regulations impose various requirements on public companies, including establishment and maintenance of effective disclosure and financial controls and corporate governance practices. We may need to hire additional accounting, finance and other personnel in connection with our efforts to comply with the requirements of being a public company and our management and other personnel devote a substantial amount of time in complying with these requirements, which could negatively impact our financial results. Current and changing laws, rules and regulations relating to corporate governance and public disclosure may increase our legal and financial compliance costs and make some activities more time-consuming and costly. For example, the rules and regulations applicable to us as a public company have made it and we expect that they may continue to make it, more difficult and more expensive for us to obtain director and officer liability insurance, which could make it more difficult for us to attract and retain qualified members of our board of directors. We are evaluating these rules and regulations and cannot currently predict or estimate the additional costs we may incur or the timing of such costs. In addition, these laws,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have invested in and intend to continue to invest in, resources to comply with evolving laws, rules and regulations and this investment may result in increased general and administrative expenses and a diversion of management’s time and attention from revenue generating activities to compliance activities. If, notwithstanding our efforts to comply with new laws, rules and regulations, we fail to comply, regulatory authorities may initiate legal proceedings against us and our business may be harmed.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12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of 2002 and the rules and regulations of the Nasdaq Stock Market. The Sarbanes-Oxley Act of 2002 requires, among other things, that we maintain effective disclosure controls and procedures and internal control over financial reporting. Pursuant to SOX Section 404, we are required to furnish annual reports by our management on our internal control over financial reporting. However, while we remain an emerging growth company or a smaller reporting company with less than $100 million in annual revenue,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If we are unable to comply with the requirements of SOX Section 404 in a timely manner or if we are unable to maintain proper and effective internal controls, we may not be able to produce timely and accurate financial statements. If that were to happen, the trading price of our common stock could decline and we could be subject to sanctions or investigations by the Nasdaq Stock Market, the SEC or other regulatory authorities.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utilize a significant portion of our net operating loss carryforwards and research and development tax credit carryforwards.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of December 31, 2023, we had federal and state net operating loss carryforwards of $186.9 million and federal research and development tax credit carryforwards of $6.2 million, which if not utilized generally will begin to expire in 2031 and 2032, respectively. These net operating loss and research and development tax credit carryforwards could expire unused and be unavailable to offset future income tax liabilities. In general, under Sections 382 and 383 of the Internal Revenue Code of 1986, as amended, or the IRC, and corresponding provisions of state law, a corporation that undergoes an “ownership change,” generally defined as a greater than 50 percentage point change (by value) in its equity ownership by certain stockholders over a three year period, is subject to limitations on its ability to utilize its pre-change net operating loss and research and development tax credit carryforwards to offset future taxable income. We previously completed a Section 382 analysis, and due to multiple historical ownership changes, all of our net operating loss carryforwards as of December 31, 2022, and research and development tax credits were subject to limitation. If a further ownership change occurs, our ability to use our tax attributes might be further limited. In addition to potential Section 382 limitations, there are other factors that might limit the availability of our tax attributes. For example, we have not conducted a detailed research and development tax credit analysis to document whether our historical business activities qualify to support our research and development credit carryforwards. A detailed study could result in adjustment to our research and development credit carryforwards.</w:t>
      </w:r>
    </w:p>
    <w:p>
      <w:pPr>
        <w:spacing w:after="0" w:line="8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There is also a risk that due to regulatory changes, such as suspensions on the use of net operating losses or other unforeseen reasons, our existing net operating losses could expire or otherwise become unavailable to offset future income tax liabilities. As described below in “Changes in tax laws or in their implementation or interpretation may adversely affect our business and financial condition,” the Tax Cuts and Jobs Act, or the Tax Act, as amended by the CARES Act, includes changes to U.S. federal tax rates and the rules governing net operating loss carryforwards that may significantly impact our ability to utilize our net operating losses to offset taxable income in the future. In addition, state net operating losses generated in one state cannot be used to offset income generated in another state. For these reasons, even if we attain profitability, we may be unable to use a material portion of our net operating losses and other tax attributes.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our business and financial condition.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3" w:name="page74"/>
    <w:bookmarkEnd w:id="73"/>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Recent changes in tax law may adversely affect our business or financial condition. On December 22, 2017, the U.S. government enacted the Tax Act, which significantly reformed the IRC. The Tax Act, as amended by the CARES Act, contained significant changes to corporate taxation, including a reduction of the corporate tax rate from a top marginal rate of 35% to a flat rate of 21% and the limitation of the deduction for net operating losses arising in taxable years beginning after December 31, 2017 to 80% of current year taxable income and elimination of net operating loss carrybacks for such losses (though any such NOLs may be carried forward indefinitely). In addition, beginning in 2022, the Tax Act eliminated the option to deduct research and development expenditures currently and generally requires corporations to capitalize and amortize them over five years or 15 years in the case of expenditures attributable to foreign research.</w:t>
      </w:r>
    </w:p>
    <w:p>
      <w:pPr>
        <w:spacing w:after="0" w:line="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CARES Act, as part of Congress’s response to the COVID-19 pandemic, economic relief legislation was enacted in 2020 and 2021 containing tax provisions. The IRA was also signed into law in August 2022. The IRA introduced new tax provisions, including a 1% excise tax imposed on certain stock repurchases by publicly traded companies. The 1% excise tax generally applies to any acquisition of stock by a publicly traded company (or certain of its affiliates) from a stockholder of the company in exchange for money or other property (other than stock of the company itself), subject to a de minimis exception. Thus, the excise tax could apply to certain transactions that are not traditional stock repurchases.</w:t>
      </w:r>
    </w:p>
    <w:p>
      <w:pPr>
        <w:spacing w:after="0" w:line="75"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Regulatory guidance under the Tax Act, the IRA, and such additional legislation is and continues to be forthcoming and such guidance could ultimately increase or lessen impact of these laws on our business and financial condition. In addition, it is uncertain if and to what extent various states will conform to the Tax Act, the IRA, and such additional legislation.</w:t>
      </w:r>
    </w:p>
    <w:p>
      <w:pPr>
        <w:spacing w:after="0" w:line="6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organizational documents and under Delaware law may prevent or frustrate attempts by our stockholders to change our management or hinder efforts to acquire a controlling interest in us.</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trading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all members of the board are not elected at one time;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117"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the board of directors or for proposing matters that can be acted on at stockholder meetings;</w:t>
      </w:r>
    </w:p>
    <w:p>
      <w:pPr>
        <w:spacing w:after="0" w:line="53" w:lineRule="exact"/>
        <w:rPr>
          <w:rFonts w:ascii="Times New Roman" w:cs="Times New Roman" w:eastAsia="Times New Roman" w:hAnsi="Times New Roman"/>
          <w:sz w:val="18"/>
          <w:szCs w:val="18"/>
          <w:color w:val="auto"/>
        </w:rPr>
      </w:pPr>
    </w:p>
    <w:p>
      <w:pPr>
        <w:ind w:left="900" w:right="460" w:hanging="383"/>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117" w:lineRule="exact"/>
        <w:rPr>
          <w:rFonts w:ascii="Times New Roman" w:cs="Times New Roman" w:eastAsia="Times New Roman" w:hAnsi="Times New Roman"/>
          <w:sz w:val="18"/>
          <w:szCs w:val="18"/>
          <w:color w:val="auto"/>
        </w:rPr>
      </w:pPr>
    </w:p>
    <w:p>
      <w:pPr>
        <w:ind w:left="900" w:right="20" w:hanging="383"/>
        <w:spacing w:after="0" w:line="266"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7"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General Corporation Law of the State of Delaware, which prohibits an “interested stockholder,” which is either a person who owns at least 15% of our outstanding voting stock or an affiliate or associate who owned at least 15% of our outstanding voting stock at any time within the prior three years, from engaging in a business combination with us for a period of three years after the date of the transaction in which the person became an “interested stockholder” unless the business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8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Court of Chancery of the State of Delaware will be the exclusive forum for substantially all disputes between us and our stockholders and that the federal district courts of the U.S. are the sole and exclusive forum for the resolution of any complaint asserting a cause of action arising under the Securities Act. These choice of forum provisions could limit our stockholders’ ability to obtain a favorable judicial forum for disputes with us or our directors, officers or employees.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74" w:name="page75"/>
    <w:bookmarkEnd w:id="74"/>
    <w:p>
      <w:pPr>
        <w:ind w:firstLine="509"/>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(or, if the Court of Chancery of the State of Delaware does not have jurisdiction, the federal district court for the District of Delaware) shall, to the fullest extent permitted by law, be the sole and exclusive forum for (1) any derivative action or proceeding brought on behalf of our company, (2) any action asserting a claim of breach of fiduciary duty owed by any director, officer, other employee or stockholder of our company to us or our stockholders, (3) any action asserting a claim arising pursuant to any provision of the Delaware General Corporation Law or as to which the Delaware General Corporation Law confers jurisdiction on the Court of Chancery or</w:t>
      </w:r>
    </w:p>
    <w:p>
      <w:pPr>
        <w:spacing w:after="0" w:line="3" w:lineRule="exact"/>
        <w:rPr>
          <w:sz w:val="20"/>
          <w:szCs w:val="20"/>
          <w:color w:val="auto"/>
        </w:rPr>
      </w:pPr>
    </w:p>
    <w:p>
      <w:pPr>
        <w:ind w:right="140" w:firstLine="8"/>
        <w:spacing w:after="0" w:line="252" w:lineRule="auto"/>
        <w:tabs>
          <w:tab w:leader="none" w:pos="2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our certificate of incorporation or bylaws or governed by the internal affairs doctrine. Our certificate of incorporation further provides that, unless we consent in writing to the selection of an alternative forum, the federal district courts of the U.S. shall, to the fullest extent permitted by law, be the sole and exclusive forum for the resolution of any complaint asserting a cause of action arising under the Securities Act. Neither of these choice of forum provisions would affect suits brought to enforce any liability or duty created by the Exchange Act or the rules and regulations thereunder, jurisdiction over which is exclusively vested by statute in the U.S. federal courts or any other claim for which U.S. federal courts have exclusive jurisdiction.</w:t>
      </w:r>
    </w:p>
    <w:p>
      <w:pPr>
        <w:spacing w:after="0" w:line="8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7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Nasdaq, our common stock may be delisted and the price of our common stock and our ability to access the capital markets could be negatively impacted.</w:t>
      </w:r>
    </w:p>
    <w:p>
      <w:pPr>
        <w:spacing w:after="0" w:line="5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Our common stock is currently listed for trading on Nasdaq. We must satisfy Nasdaq’s continued listing requirements, including, among other things, a minimum closing bid price of $1.00 per share, Bid Price Requirement, or risk delisting, which would have a material adverse effect on our business. 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There can be no assurance that we will be able to maintain compliance with the Bid Price Requirement or other Nasdaq continued listing requirements in the future or that we will be able to regain compliance with respect to any future deficiencies. If we fail to satisfy the Nasdaq Global Market’s continued listing requirements, we may submit an application to transfer to the Nasdaq Capital Market, which generally has lower financial requirements for initial listing, in an effort to avoid delisting. However, we may not be able to satisfy the initial listing requirements for the Nasdaq Capital Market and may therefore not be able to transfer our listing to the Nasdaq Capital Market. A transfer of our listing to the Nasdaq Capital Market could adversely affect the liquidity of our common stock. Any such event could make it more difficult to dispose of, or obtain accurate quotations for the price of, our common stock, and there also would likely be a reduction in our coverage by securities analysts and the news media, which could cause the price of our common stock to decline further. We may also face other material adverse consequences in such event, such as negative publicity, a decreased ability to obtain additional financing, diminished investor and/or employee confidence, and the loss of business development opportunities, some or all of which may contribute to a further decline in our stock price.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 Director and Officer Trading Arrangements</w:t>
      </w:r>
    </w:p>
    <w:p>
      <w:pPr>
        <w:spacing w:after="0" w:line="227"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none of our directors or officers adopted or terminated a Rule 10b5-1 trading arrangement or a non-Rule 10b5-1 trading arrangement (as defined in Item 408(c)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20" w:type="dxa"/>
            <w:vAlign w:val="bottom"/>
            <w:gridSpan w:val="8"/>
            <w:vMerge w:val="restart"/>
          </w:tcPr>
          <w:p>
            <w:pPr>
              <w:ind w:left="3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220" w:type="dxa"/>
            <w:vAlign w:val="bottom"/>
            <w:tcBorders>
              <w:bottom w:val="single" w:sz="8" w:color="auto"/>
            </w:tcBorders>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94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Consulting Services Agreement, dated as of September 28, 2024, by and between the Registrant and David Clark, MBChB, MRCP</w:t>
            </w:r>
          </w:p>
        </w:tc>
        <w:tc>
          <w:tcPr>
            <w:tcW w:w="6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100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Offer Letter, dated as of September 27, 2024, by and between the Registrant and James Cassella, Ph.D.</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60" w:type="dxa"/>
            <w:vAlign w:val="bottom"/>
            <w:tcBorders>
              <w:right w:val="single" w:sz="8" w:color="0000EE"/>
            </w:tcBorders>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95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or 15d-14(a) under the Securities Exchange Act of 1934, as</w:t>
            </w:r>
          </w:p>
        </w:tc>
        <w:tc>
          <w:tcPr>
            <w:tcW w:w="5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95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or 15d-14(a) under the Securities Exchange Act of 1934, as</w:t>
            </w:r>
          </w:p>
        </w:tc>
        <w:tc>
          <w:tcPr>
            <w:tcW w:w="5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100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Sarbanes-Oxley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9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1020" w:type="dxa"/>
            <w:vAlign w:val="bottom"/>
          </w:tcPr>
          <w:p>
            <w:pPr>
              <w:spacing w:after="0"/>
              <w:rPr>
                <w:sz w:val="24"/>
                <w:szCs w:val="24"/>
                <w:color w:val="auto"/>
              </w:rPr>
            </w:pPr>
          </w:p>
        </w:tc>
        <w:tc>
          <w:tcPr>
            <w:tcW w:w="5080" w:type="dxa"/>
            <w:vAlign w:val="bottom"/>
            <w:gridSpan w:val="3"/>
          </w:tcPr>
          <w:p>
            <w:pPr>
              <w:jc w:val="right"/>
              <w:ind w:right="308"/>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5" w:name="page76"/>
    <w:bookmarkEnd w:id="75"/>
    <w:tbl>
      <w:tblPr>
        <w:tblLayout w:type="fixed"/>
        <w:tblInd w:w="12"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r>
      <w:tr>
        <w:trPr>
          <w:trHeight w:val="20"/>
        </w:trPr>
        <w:tc>
          <w:tcPr>
            <w:tcW w:w="116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9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9180" w:type="dxa"/>
            <w:vAlign w:val="bottom"/>
            <w:gridSpan w:val="2"/>
          </w:tcPr>
          <w:p>
            <w:pPr>
              <w:spacing w:after="0" w:line="20" w:lineRule="exact"/>
              <w:rPr>
                <w:sz w:val="1"/>
                <w:szCs w:val="1"/>
                <w:color w:val="auto"/>
              </w:rPr>
            </w:pPr>
          </w:p>
        </w:tc>
      </w:tr>
      <w:tr>
        <w:trPr>
          <w:trHeight w:val="39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34"/>
        </w:trPr>
        <w:tc>
          <w:tcPr>
            <w:tcW w:w="1160" w:type="dxa"/>
            <w:vAlign w:val="bottom"/>
          </w:tcPr>
          <w:p>
            <w:pPr>
              <w:spacing w:after="0"/>
              <w:rPr>
                <w:sz w:val="20"/>
                <w:szCs w:val="20"/>
                <w:color w:val="auto"/>
              </w:rPr>
            </w:pPr>
          </w:p>
        </w:tc>
        <w:tc>
          <w:tcPr>
            <w:tcW w:w="10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9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157" w:lineRule="exact"/>
        <w:rPr>
          <w:sz w:val="20"/>
          <w:szCs w:val="20"/>
          <w:color w:val="auto"/>
        </w:rPr>
      </w:pPr>
    </w:p>
    <w:p>
      <w:pPr>
        <w:ind w:left="-8" w:right="3480" w:firstLine="21"/>
        <w:spacing w:after="0" w:line="391" w:lineRule="auto"/>
        <w:tabs>
          <w:tab w:leader="none" w:pos="113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ind w:left="232" w:hanging="232"/>
        <w:spacing w:after="0"/>
        <w:tabs>
          <w:tab w:leader="none" w:pos="23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-316230</wp:posOffset>
            </wp:positionV>
            <wp:extent cx="95123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18" w:right="35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726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TREVI THERAPEUTICS, INC.</w:t>
            </w:r>
          </w:p>
        </w:tc>
      </w:tr>
      <w:tr>
        <w:trPr>
          <w:trHeight w:val="472"/>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2024</w:t>
            </w:r>
          </w:p>
        </w:tc>
        <w:tc>
          <w:tcPr>
            <w:tcW w:w="26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4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Jennifer L. Good</w:t>
            </w:r>
          </w:p>
        </w:tc>
      </w:tr>
      <w:tr>
        <w:trPr>
          <w:trHeight w:val="187"/>
        </w:trPr>
        <w:tc>
          <w:tcPr>
            <w:tcW w:w="39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6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Jennifer L. Good</w:t>
            </w:r>
          </w:p>
        </w:tc>
      </w:tr>
      <w:tr>
        <w:trPr>
          <w:trHeight w:val="216"/>
        </w:trPr>
        <w:tc>
          <w:tcPr>
            <w:tcW w:w="39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238"/>
        </w:trPr>
        <w:tc>
          <w:tcPr>
            <w:tcW w:w="39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466"/>
        </w:trPr>
        <w:tc>
          <w:tcPr>
            <w:tcW w:w="3960" w:type="dxa"/>
            <w:vAlign w:val="bottom"/>
          </w:tcPr>
          <w:p>
            <w:pPr>
              <w:spacing w:after="0"/>
              <w:rPr>
                <w:sz w:val="24"/>
                <w:szCs w:val="24"/>
                <w:color w:val="auto"/>
              </w:rPr>
            </w:pPr>
          </w:p>
        </w:tc>
        <w:tc>
          <w:tcPr>
            <w:tcW w:w="26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4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Lisa Delfini</w:t>
            </w:r>
          </w:p>
        </w:tc>
      </w:tr>
      <w:tr>
        <w:trPr>
          <w:trHeight w:val="194"/>
        </w:trPr>
        <w:tc>
          <w:tcPr>
            <w:tcW w:w="39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6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Lisa Delfini</w:t>
            </w:r>
          </w:p>
        </w:tc>
      </w:tr>
      <w:tr>
        <w:trPr>
          <w:trHeight w:val="216"/>
        </w:trPr>
        <w:tc>
          <w:tcPr>
            <w:tcW w:w="39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39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7" w:name="page78"/>
    <w:bookmarkEnd w:id="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3397250</wp:posOffset>
            </wp:positionH>
            <wp:positionV relativeFrom="page">
              <wp:posOffset>911860</wp:posOffset>
            </wp:positionV>
            <wp:extent cx="762635" cy="3600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clrChange>
                        <a:clrFrom>
                          <a:srgbClr val="FFFFFF"/>
                        </a:clrFrom>
                        <a:clrTo>
                          <a:srgbClr val="FFFFFF">
                            <a:alpha val="0"/>
                          </a:srgbClr>
                        </a:clrTo>
                      </a:clrChange>
                      <a:extLst>
                        <a:ext uri="{28A0092B-C50C-407E-A947-70E740481C1C}"/>
                      </a:extLst>
                    </a:blip>
                    <a:srcRect/>
                    <a:stretch>
                      <a:fillRect/>
                    </a:stretch>
                  </pic:blipFill>
                  <pic:spPr bwMode="auto">
                    <a:xfrm>
                      <a:off x="0" y="0"/>
                      <a:ext cx="762635" cy="36004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CONSULTING SERVICES AGREEMENT</w:t>
      </w:r>
    </w:p>
    <w:p>
      <w:pPr>
        <w:spacing w:after="0" w:line="2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CONSULTING SERVICES AGREEMENT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as of the date of last signature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xml:space="preserve">”), by and between </w:t>
      </w:r>
      <w:r>
        <w:rPr>
          <w:rFonts w:ascii="Times New Roman" w:cs="Times New Roman" w:eastAsia="Times New Roman" w:hAnsi="Times New Roman"/>
          <w:sz w:val="22"/>
          <w:szCs w:val="22"/>
          <w:b w:val="1"/>
          <w:bCs w:val="1"/>
          <w:color w:val="auto"/>
        </w:rPr>
        <w:t>Trevi Therapeutics, Inc.</w:t>
      </w:r>
      <w:r>
        <w:rPr>
          <w:rFonts w:ascii="Times New Roman" w:cs="Times New Roman" w:eastAsia="Times New Roman" w:hAnsi="Times New Roman"/>
          <w:sz w:val="22"/>
          <w:szCs w:val="22"/>
          <w:color w:val="auto"/>
        </w:rPr>
        <w:t>, a Delaware corporation (“</w:t>
      </w:r>
      <w:r>
        <w:rPr>
          <w:rFonts w:ascii="Times New Roman" w:cs="Times New Roman" w:eastAsia="Times New Roman" w:hAnsi="Times New Roman"/>
          <w:sz w:val="22"/>
          <w:szCs w:val="22"/>
          <w:b w:val="1"/>
          <w:bCs w:val="1"/>
          <w:color w:val="auto"/>
        </w:rPr>
        <w:t>Trevi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David Clark</w:t>
      </w: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Consultant</w:t>
      </w:r>
      <w:r>
        <w:rPr>
          <w:rFonts w:ascii="Times New Roman" w:cs="Times New Roman" w:eastAsia="Times New Roman" w:hAnsi="Times New Roman"/>
          <w:sz w:val="21"/>
          <w:szCs w:val="21"/>
          <w:color w:val="auto"/>
        </w:rPr>
        <w:t>”). Trevi desires to retain Consultant to provide Services to Trevi and Consultant desires to provide those Services.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Accordingly, the parties agree as follows:</w:t>
      </w:r>
    </w:p>
    <w:p>
      <w:pPr>
        <w:spacing w:after="0" w:line="205" w:lineRule="exact"/>
        <w:rPr>
          <w:sz w:val="20"/>
          <w:szCs w:val="20"/>
          <w:color w:val="auto"/>
        </w:rPr>
      </w:pPr>
    </w:p>
    <w:p>
      <w:pPr>
        <w:ind w:left="520" w:hanging="512"/>
        <w:spacing w:after="0"/>
        <w:tabs>
          <w:tab w:leader="none" w:pos="5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Services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u w:val="single" w:color="auto"/>
          <w:color w:val="auto"/>
        </w:rPr>
        <w:t>1.1.</w:t>
      </w:r>
      <w:r>
        <w:rPr>
          <w:sz w:val="20"/>
          <w:szCs w:val="20"/>
          <w:color w:val="auto"/>
        </w:rPr>
        <w:tab/>
      </w:r>
      <w:r>
        <w:rPr>
          <w:rFonts w:ascii="Times New Roman" w:cs="Times New Roman" w:eastAsia="Times New Roman" w:hAnsi="Times New Roman"/>
          <w:sz w:val="21"/>
          <w:szCs w:val="21"/>
          <w:u w:val="single" w:color="auto"/>
          <w:color w:val="auto"/>
        </w:rPr>
        <w:t>Services</w:t>
      </w:r>
      <w:r>
        <w:rPr>
          <w:rFonts w:ascii="Times New Roman" w:cs="Times New Roman" w:eastAsia="Times New Roman" w:hAnsi="Times New Roman"/>
          <w:sz w:val="21"/>
          <w:szCs w:val="21"/>
          <w:color w:val="auto"/>
        </w:rPr>
        <w:t>. Subject to the terms of this Agreement, Consultant will provide consulting, advisory and related services as may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be reasonably requested from time to time by Trevi, including, but not limited to, the services specified on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(the</w:t>
      </w: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Services</w:t>
      </w:r>
      <w:r>
        <w:rPr>
          <w:rFonts w:ascii="Times New Roman" w:cs="Times New Roman" w:eastAsia="Times New Roman" w:hAnsi="Times New Roman"/>
          <w:sz w:val="21"/>
          <w:szCs w:val="21"/>
          <w:color w:val="auto"/>
        </w:rPr>
        <w:t>”). The manner and means by which Consultant chooses to perform the Services are in Consultant’s sole discretion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control. Consultant will use Consultant’s own equipment, tools and other materials at Consultant’s own expense to perform the</w:t>
      </w:r>
    </w:p>
    <w:p>
      <w:pPr>
        <w:spacing w:after="0" w:line="231" w:lineRule="auto"/>
        <w:rPr>
          <w:sz w:val="20"/>
          <w:szCs w:val="20"/>
          <w:color w:val="auto"/>
        </w:rPr>
      </w:pPr>
      <w:r>
        <w:rPr>
          <w:rFonts w:ascii="Times New Roman" w:cs="Times New Roman" w:eastAsia="Times New Roman" w:hAnsi="Times New Roman"/>
          <w:sz w:val="22"/>
          <w:szCs w:val="22"/>
          <w:color w:val="auto"/>
        </w:rPr>
        <w:t>Services. Consultant acknowledges that time is of the essence in performing the Services. Consultant may not subcontract or</w:t>
      </w:r>
    </w:p>
    <w:p>
      <w:pPr>
        <w:spacing w:after="0" w:line="231" w:lineRule="auto"/>
        <w:rPr>
          <w:sz w:val="20"/>
          <w:szCs w:val="20"/>
          <w:color w:val="auto"/>
        </w:rPr>
      </w:pPr>
      <w:r>
        <w:rPr>
          <w:rFonts w:ascii="Times New Roman" w:cs="Times New Roman" w:eastAsia="Times New Roman" w:hAnsi="Times New Roman"/>
          <w:sz w:val="22"/>
          <w:szCs w:val="22"/>
          <w:color w:val="auto"/>
        </w:rPr>
        <w:t>otherwise delegate Consultant’s obligations under this Agreement without Trevi’s prior written consent, and in the event Trevi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gives such consent, Consultant will remain fully liable to Trevi for the performance of all permitted subcontractors.</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1.2. Conflicting Terms</w:t>
      </w:r>
      <w:r>
        <w:rPr>
          <w:rFonts w:ascii="Times New Roman" w:cs="Times New Roman" w:eastAsia="Times New Roman" w:hAnsi="Times New Roman"/>
          <w:sz w:val="22"/>
          <w:szCs w:val="22"/>
          <w:color w:val="auto"/>
        </w:rPr>
        <w:t>. If the terms of this Agreement conflict with any policy of any institution or company with which, or by which, Consultant is affiliated, engaged or employed (“</w:t>
      </w:r>
      <w:r>
        <w:rPr>
          <w:rFonts w:ascii="Times New Roman" w:cs="Times New Roman" w:eastAsia="Times New Roman" w:hAnsi="Times New Roman"/>
          <w:sz w:val="22"/>
          <w:szCs w:val="22"/>
          <w:b w:val="1"/>
          <w:bCs w:val="1"/>
          <w:color w:val="auto"/>
        </w:rPr>
        <w:t>Institution</w:t>
      </w:r>
      <w:r>
        <w:rPr>
          <w:rFonts w:ascii="Times New Roman" w:cs="Times New Roman" w:eastAsia="Times New Roman" w:hAnsi="Times New Roman"/>
          <w:sz w:val="22"/>
          <w:szCs w:val="22"/>
          <w:color w:val="auto"/>
        </w:rPr>
        <w:t>”), Consultant will immediately notify Trevi so that the parties can attempt to reach an appropriate accommodation.</w:t>
      </w:r>
    </w:p>
    <w:p>
      <w:pPr>
        <w:spacing w:after="0" w:line="200"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u w:val="single" w:color="auto"/>
          <w:color w:val="auto"/>
        </w:rPr>
        <w:t>1.3. Services Provided Outside Scope of Employment.</w:t>
      </w:r>
      <w:r>
        <w:rPr>
          <w:rFonts w:ascii="Times New Roman" w:cs="Times New Roman" w:eastAsia="Times New Roman" w:hAnsi="Times New Roman"/>
          <w:sz w:val="22"/>
          <w:szCs w:val="22"/>
          <w:color w:val="auto"/>
        </w:rPr>
        <w:t xml:space="preserve"> Consultant will provide Services under this Agreement during his/her personal time. In providing Services under this Agreement, Consultant will not use the time or services of any Institution employee or personnel nor will Consultant use any Institution facilities, equipment, materials, funds, or information. If required, Consultant has notified Institution and has obtained approval for the Services that will be performed by Consultant under this Agreement.</w:t>
      </w:r>
    </w:p>
    <w:p>
      <w:pPr>
        <w:spacing w:after="0" w:line="200" w:lineRule="exact"/>
        <w:rPr>
          <w:sz w:val="20"/>
          <w:szCs w:val="20"/>
          <w:color w:val="auto"/>
        </w:rPr>
      </w:pPr>
    </w:p>
    <w:p>
      <w:pPr>
        <w:ind w:left="520" w:hanging="512"/>
        <w:spacing w:after="0"/>
        <w:tabs>
          <w:tab w:leader="none" w:pos="52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Consideration</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u w:val="single" w:color="auto"/>
          <w:color w:val="auto"/>
        </w:rPr>
        <w:t>2.1. Fees</w:t>
      </w:r>
      <w:r>
        <w:rPr>
          <w:rFonts w:ascii="Times New Roman" w:cs="Times New Roman" w:eastAsia="Times New Roman" w:hAnsi="Times New Roman"/>
          <w:sz w:val="22"/>
          <w:szCs w:val="22"/>
          <w:color w:val="auto"/>
        </w:rPr>
        <w:t>. In consideration for Services performed by Consultant, Trevi will pay Consultant at the rate of Four Hundred Dollars ($400) per hour as set forth on Exhibit A for up to a maximum of 20 hours per month.</w:t>
      </w:r>
    </w:p>
    <w:p>
      <w:pPr>
        <w:spacing w:after="0" w:line="185"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u w:val="single" w:color="auto"/>
          <w:color w:val="auto"/>
        </w:rPr>
        <w:t>2.2. Equity</w:t>
      </w:r>
      <w:r>
        <w:rPr>
          <w:rFonts w:ascii="Times New Roman" w:cs="Times New Roman" w:eastAsia="Times New Roman" w:hAnsi="Times New Roman"/>
          <w:sz w:val="22"/>
          <w:szCs w:val="22"/>
          <w:color w:val="auto"/>
        </w:rPr>
        <w:t>. The Consultant acknowledges and agrees that, notwithstanding the continued performance of the Services hereunder and the terms of any and all outstanding and unvested equity awards (options and PSOs) granted to the Consultant by the Company, such equity awards will cease to vest as of the Effective Date and all unvested equity awards as of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78" w:name="page79"/>
    <w:bookmarkEnd w:id="78"/>
    <w:p>
      <w:pPr>
        <w:ind w:firstLine="509"/>
        <w:spacing w:after="0" w:line="244" w:lineRule="auto"/>
        <w:rPr>
          <w:sz w:val="20"/>
          <w:szCs w:val="20"/>
          <w:color w:val="auto"/>
        </w:rPr>
      </w:pPr>
      <w:r>
        <w:rPr>
          <w:rFonts w:ascii="Times New Roman" w:cs="Times New Roman" w:eastAsia="Times New Roman" w:hAnsi="Times New Roman"/>
          <w:sz w:val="22"/>
          <w:szCs w:val="22"/>
          <w:color w:val="auto"/>
        </w:rPr>
        <w:t>shall terminate, The Consultant shall have three (3) months following the day this Agreement is terminated or expires to exercise any stock options held by him that have vested and become exercisable as of such date in accordance with and subject to the applicable equity plans and stock option award agreements.</w:t>
      </w:r>
    </w:p>
    <w:p>
      <w:pPr>
        <w:spacing w:after="0" w:line="20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1"/>
          <w:szCs w:val="21"/>
          <w:u w:val="single" w:color="auto"/>
          <w:color w:val="auto"/>
        </w:rPr>
        <w:t>2.3. Expenses</w:t>
      </w:r>
      <w:r>
        <w:rPr>
          <w:rFonts w:ascii="Times New Roman" w:cs="Times New Roman" w:eastAsia="Times New Roman" w:hAnsi="Times New Roman"/>
          <w:sz w:val="21"/>
          <w:szCs w:val="21"/>
          <w:color w:val="auto"/>
        </w:rPr>
        <w:t>. Trevi will reimburse Consultant for reasonable and customary out-of-pocket business expenses incurred at the request of Trevi in the course of performing the Services (“</w:t>
      </w:r>
      <w:r>
        <w:rPr>
          <w:rFonts w:ascii="Times New Roman" w:cs="Times New Roman" w:eastAsia="Times New Roman" w:hAnsi="Times New Roman"/>
          <w:sz w:val="21"/>
          <w:szCs w:val="21"/>
          <w:b w:val="1"/>
          <w:bCs w:val="1"/>
          <w:color w:val="auto"/>
        </w:rPr>
        <w:t>Pass-Through Expenses</w:t>
      </w:r>
      <w:r>
        <w:rPr>
          <w:rFonts w:ascii="Times New Roman" w:cs="Times New Roman" w:eastAsia="Times New Roman" w:hAnsi="Times New Roman"/>
          <w:sz w:val="21"/>
          <w:szCs w:val="21"/>
          <w:color w:val="auto"/>
        </w:rPr>
        <w:t>”) provided: (i) Consultant provides receipts and descriptions for such expenses; and (ii) such expenses are permitted under any travel and expense policy currently in effect. Anticipated expenses in excess of $500.00 require the prior written approval of an executive officer of Trevi.</w:t>
      </w:r>
    </w:p>
    <w:p>
      <w:pPr>
        <w:spacing w:after="0" w:line="189" w:lineRule="exact"/>
        <w:rPr>
          <w:sz w:val="20"/>
          <w:szCs w:val="20"/>
          <w:color w:val="auto"/>
        </w:rPr>
      </w:pPr>
    </w:p>
    <w:p>
      <w:pPr>
        <w:jc w:val="both"/>
        <w:ind w:right="540"/>
        <w:spacing w:after="0" w:line="239" w:lineRule="auto"/>
        <w:rPr>
          <w:sz w:val="20"/>
          <w:szCs w:val="20"/>
          <w:color w:val="auto"/>
        </w:rPr>
      </w:pPr>
      <w:r>
        <w:rPr>
          <w:rFonts w:ascii="Times New Roman" w:cs="Times New Roman" w:eastAsia="Times New Roman" w:hAnsi="Times New Roman"/>
          <w:sz w:val="22"/>
          <w:szCs w:val="22"/>
          <w:u w:val="single" w:color="auto"/>
          <w:color w:val="auto"/>
        </w:rPr>
        <w:t>2.4. Invoices</w:t>
      </w:r>
      <w:r>
        <w:rPr>
          <w:rFonts w:ascii="Times New Roman" w:cs="Times New Roman" w:eastAsia="Times New Roman" w:hAnsi="Times New Roman"/>
          <w:sz w:val="22"/>
          <w:szCs w:val="22"/>
          <w:color w:val="auto"/>
        </w:rPr>
        <w:t>. Consultant will submit a monthly invoice to Trevi no later than 10 days after the end of the month in which Services detailed in the invoice have been rendered or after incurring an authorized Pass-Through Expense. Consultant will include on the invoices the date and detailed description of the Services rendered and the Pass-Through Expenses incurred, accompanied by original receipts. Trevi will pay all undisputed invoices within 30 days of receipt.</w:t>
      </w:r>
    </w:p>
    <w:p>
      <w:pPr>
        <w:spacing w:after="0" w:line="203" w:lineRule="exact"/>
        <w:rPr>
          <w:sz w:val="20"/>
          <w:szCs w:val="20"/>
          <w:color w:val="auto"/>
        </w:rPr>
      </w:pPr>
    </w:p>
    <w:p>
      <w:pPr>
        <w:ind w:left="520" w:hanging="512"/>
        <w:spacing w:after="0"/>
        <w:tabs>
          <w:tab w:leader="none" w:pos="52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u w:val="single" w:color="auto"/>
          <w:color w:val="auto"/>
        </w:rPr>
        <w:t>3.1. Definition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means information disclosed to Consultant by or on behalf of Trevi before, on or after the Effective Date relating to Trevi’s business practices, financials, business plans, customer lists, strategies, plans, designs, products, processes, programs, trade secrets, know-how, technologies, inventions and data (including personal information). Any of such information, in whatever form and whether or not marked as confidential or proprietary, and all derivatives, improvements and enhancements to any of the above, whether provided to Consultant or created or developed by Consultant under this Agreement, as well as information of third parties as to which Trevi has an obligation of confidentiality, are all Confidential Information. Confidential Information does not include any information that Consultant can establish: (a) was publicly known or in the public domain prior to the time of disclosure to Consultant by Trevi; (b) becomes publicly known and made generally available after disclosure to Consultant by Trevi through no act or omission of Consultant; (c) is in the possession of Consultant, without confidentiality restrictions, at the time of disclosure by Trevi as shown by Consultant’s files and records prior to the time of disclosure; or (d) was developed by Consultant independently of any Confidential Information received from Trevi.</w:t>
      </w:r>
    </w:p>
    <w:p>
      <w:pPr>
        <w:spacing w:after="0" w:line="216"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u w:val="single" w:color="auto"/>
          <w:color w:val="auto"/>
        </w:rPr>
        <w:t>3.2. Restrictions on Use and Disclosure</w:t>
      </w:r>
      <w:r>
        <w:rPr>
          <w:rFonts w:ascii="Times New Roman" w:cs="Times New Roman" w:eastAsia="Times New Roman" w:hAnsi="Times New Roman"/>
          <w:sz w:val="22"/>
          <w:szCs w:val="22"/>
          <w:color w:val="auto"/>
        </w:rPr>
        <w:t>. Consultant acknowledges the confidential and secret character of the Confidential Information, and agrees that the Confidential Information is the sole, exclusive and extremely valuable property of Trevi. Consultant will not use or reproduce the Confidential Information except as necessary in the performance of this Agreement and will not disclose any part of the Confidential Information in any form to any third party, either during or after the term of this Agreement, without the prior written consent of Trevi. In addition, Consultant represents that during Consultant’s provision of Services, even if before the execution of this Agreement, Consultant has not used the Confidential Information except in the performance of this Agreement without the prior written consent of Trevi and has not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79" w:name="page80"/>
    <w:bookmarkEnd w:id="79"/>
    <w:p>
      <w:pPr>
        <w:ind w:right="80" w:firstLine="509"/>
        <w:spacing w:after="0" w:line="239" w:lineRule="auto"/>
        <w:rPr>
          <w:sz w:val="20"/>
          <w:szCs w:val="20"/>
          <w:color w:val="auto"/>
        </w:rPr>
      </w:pPr>
      <w:r>
        <w:rPr>
          <w:rFonts w:ascii="Times New Roman" w:cs="Times New Roman" w:eastAsia="Times New Roman" w:hAnsi="Times New Roman"/>
          <w:sz w:val="22"/>
          <w:szCs w:val="22"/>
          <w:color w:val="auto"/>
        </w:rPr>
        <w:t>any part of the Confidential Information in any form to any third party. Upon expiration or any termination of this Agreement, Consultant agrees to cease using and to return to Trevi, or at Trevi’s sole option, destroy, all whole and partial copies and derivatives of the Confidential Information, whether in Consultant’s possession or under Consultant’s direct or indirect control.</w:t>
      </w:r>
    </w:p>
    <w:p>
      <w:pPr>
        <w:spacing w:after="0" w:line="207"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u w:val="single" w:color="auto"/>
          <w:color w:val="auto"/>
        </w:rPr>
        <w:t>3.3. Permitted Disclosures</w:t>
      </w:r>
      <w:r>
        <w:rPr>
          <w:rFonts w:ascii="Times New Roman" w:cs="Times New Roman" w:eastAsia="Times New Roman" w:hAnsi="Times New Roman"/>
          <w:sz w:val="22"/>
          <w:szCs w:val="22"/>
          <w:color w:val="auto"/>
        </w:rPr>
        <w:t>. Consultant may disclose Confidential Information to those employees, consultants or professional representatives such as attorneys or accountants who are required to know the Confidential Information to perform the Services (“</w:t>
      </w:r>
      <w:r>
        <w:rPr>
          <w:rFonts w:ascii="Times New Roman" w:cs="Times New Roman" w:eastAsia="Times New Roman" w:hAnsi="Times New Roman"/>
          <w:sz w:val="22"/>
          <w:szCs w:val="22"/>
          <w:b w:val="1"/>
          <w:bCs w:val="1"/>
          <w:color w:val="auto"/>
        </w:rPr>
        <w:t>Representatives</w:t>
      </w:r>
      <w:r>
        <w:rPr>
          <w:rFonts w:ascii="Times New Roman" w:cs="Times New Roman" w:eastAsia="Times New Roman" w:hAnsi="Times New Roman"/>
          <w:sz w:val="22"/>
          <w:szCs w:val="22"/>
          <w:color w:val="auto"/>
        </w:rPr>
        <w:t>”) so long as those Representatives are bound by obligations of non-use and confidentiality no less restrictive than those herein. Consultant will be responsible for any breach of this Agreement by Consultant or its Representatives. If Consultant is required by law, rule of court or regulation to make any disclosure that is prohibited by this Agreement, Consultant will, if legally permitted, provide Trevi with prompt written notice (email being sufficient) of such requirement prior to disclosure so that Trevi may seek a protective order or other appropriate relief. Subject to the foregoing sentence, Consultant may furnish that portion (and only that portion) of the Confidential Information that Consultant is legally compelled or is otherwise legally required to disclose. Any Confidential Information disclosed pursuant to the preceding sentence will continue to be treated as Confidential Information for all other purposes.</w:t>
      </w:r>
    </w:p>
    <w:p>
      <w:pPr>
        <w:spacing w:after="0" w:line="206"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u w:val="single" w:color="auto"/>
          <w:color w:val="auto"/>
        </w:rPr>
        <w:t>3.4. Third Party Information</w:t>
      </w:r>
      <w:r>
        <w:rPr>
          <w:rFonts w:ascii="Times New Roman" w:cs="Times New Roman" w:eastAsia="Times New Roman" w:hAnsi="Times New Roman"/>
          <w:sz w:val="22"/>
          <w:szCs w:val="22"/>
          <w:color w:val="auto"/>
        </w:rPr>
        <w:t>. Consultant will not disclose or otherwise make available to Trevi any confidential information received by Consultant under obligations of confidentiality from a third party.</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u w:val="single" w:color="auto"/>
          <w:color w:val="auto"/>
        </w:rPr>
        <w:t>3.5. Competitive Engagements</w:t>
      </w:r>
      <w:r>
        <w:rPr>
          <w:rFonts w:ascii="Times New Roman" w:cs="Times New Roman" w:eastAsia="Times New Roman" w:hAnsi="Times New Roman"/>
          <w:sz w:val="21"/>
          <w:szCs w:val="21"/>
          <w:color w:val="auto"/>
        </w:rPr>
        <w:t>. Consultant will provide prior written notice to Trevi if Consultant is to perform any services for a third party that develops, manufactures, promotes, sells, licenses, distributes, or provides products or services, or has plans to do any of the foregoing, that are substantially similar to or would compete with the technology, products or services of Trevi.</w:t>
      </w:r>
    </w:p>
    <w:p>
      <w:pPr>
        <w:spacing w:after="0" w:line="18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u w:val="single" w:color="auto"/>
          <w:color w:val="auto"/>
        </w:rPr>
        <w:t>3.6. Non-Solicitation</w:t>
      </w:r>
      <w:r>
        <w:rPr>
          <w:rFonts w:ascii="Times New Roman" w:cs="Times New Roman" w:eastAsia="Times New Roman" w:hAnsi="Times New Roman"/>
          <w:sz w:val="22"/>
          <w:szCs w:val="22"/>
          <w:color w:val="auto"/>
        </w:rPr>
        <w:t xml:space="preserve">. During the term of this Agreement and for 12 months thereafter Consultant will not, directly or indirectly, on Consultant’s own behalf or on behalf of any third party: (a) solicit, encourage or induce any employee or consultant of Trevi to terminate his or her employment or engagement with Trevi; or (b) hire any person who was employed by Trevi during the 12 month period immediately prior to the effective date of termination of this Agreement;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general public solicitations and advertisements not directed at employees of Trevi, and the extension of offers to persons who respond to such general solicitations and advertisements, will not be deemed violations of this provision.</w:t>
      </w:r>
    </w:p>
    <w:p>
      <w:pPr>
        <w:spacing w:after="0" w:line="204"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Ownership; Licenses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u w:val="single" w:color="auto"/>
          <w:color w:val="auto"/>
        </w:rPr>
        <w:t>4.1. Work Product; Assignment</w:t>
      </w:r>
      <w:r>
        <w:rPr>
          <w:rFonts w:ascii="Times New Roman" w:cs="Times New Roman" w:eastAsia="Times New Roman" w:hAnsi="Times New Roman"/>
          <w:sz w:val="22"/>
          <w:szCs w:val="22"/>
          <w:color w:val="auto"/>
        </w:rPr>
        <w:t>. Trevi will be the sole and exclusive owner of all right, title and interest in and to all notes, data, idea, information, records, drawings, designs, inventions, discoveries, materials, and other deliverables, and any improvements to the foregoing, that arise or are made, conceived and/or reduced to practice by Consultant in the course of providing the Services and all intellectual property rights therein, whether now known or hereafter recognized in any jurisdiction (collectively, “</w:t>
      </w:r>
      <w:r>
        <w:rPr>
          <w:rFonts w:ascii="Times New Roman" w:cs="Times New Roman" w:eastAsia="Times New Roman" w:hAnsi="Times New Roman"/>
          <w:sz w:val="22"/>
          <w:szCs w:val="22"/>
          <w:b w:val="1"/>
          <w:bCs w:val="1"/>
          <w:color w:val="auto"/>
        </w:rPr>
        <w:t>Work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Product</w:t>
      </w:r>
      <w:r>
        <w:rPr>
          <w:rFonts w:ascii="Times New Roman" w:cs="Times New Roman" w:eastAsia="Times New Roman" w:hAnsi="Times New Roman"/>
          <w:sz w:val="22"/>
          <w:szCs w:val="22"/>
          <w:color w:val="auto"/>
        </w:rPr>
        <w:t>”). Consultant hereby assigns to Trevi all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0" w:name="page81"/>
    <w:bookmarkEnd w:id="80"/>
    <w:p>
      <w:pPr>
        <w:ind w:right="400" w:firstLine="509"/>
        <w:spacing w:after="0" w:line="258" w:lineRule="auto"/>
        <w:rPr>
          <w:sz w:val="20"/>
          <w:szCs w:val="20"/>
          <w:color w:val="auto"/>
        </w:rPr>
      </w:pPr>
      <w:r>
        <w:rPr>
          <w:rFonts w:ascii="Times New Roman" w:cs="Times New Roman" w:eastAsia="Times New Roman" w:hAnsi="Times New Roman"/>
          <w:sz w:val="22"/>
          <w:szCs w:val="22"/>
          <w:color w:val="auto"/>
        </w:rPr>
        <w:t>Consultant’s right, title and interest in and to any and all Work Product. Consultant hereby waives any applicable moral rights in the Work Product.</w:t>
      </w:r>
    </w:p>
    <w:p>
      <w:pPr>
        <w:spacing w:after="0" w:line="185"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u w:val="single" w:color="auto"/>
          <w:color w:val="auto"/>
        </w:rPr>
        <w:t>4.2. Disclosure of Work Product; Maintenance of Records</w:t>
      </w:r>
      <w:r>
        <w:rPr>
          <w:rFonts w:ascii="Times New Roman" w:cs="Times New Roman" w:eastAsia="Times New Roman" w:hAnsi="Times New Roman"/>
          <w:sz w:val="22"/>
          <w:szCs w:val="22"/>
          <w:color w:val="auto"/>
        </w:rPr>
        <w:t>. Consultant will promptly disclose all Work Product to Trevi. Consultant will keep and maintain current and accurate written records of all Work Product made by Consultant (solely or jointly with others) during the term of this Agreement and for three years thereafter. Such records are and remain the sole property of Trevi and upon Trevi’s request, Consultant will deliver the same to Trevi.</w:t>
      </w:r>
    </w:p>
    <w:p>
      <w:pPr>
        <w:spacing w:after="0" w:line="20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u w:val="single" w:color="auto"/>
          <w:color w:val="auto"/>
        </w:rPr>
        <w:t>4.3. Assistance</w:t>
      </w:r>
      <w:r>
        <w:rPr>
          <w:rFonts w:ascii="Times New Roman" w:cs="Times New Roman" w:eastAsia="Times New Roman" w:hAnsi="Times New Roman"/>
          <w:sz w:val="22"/>
          <w:szCs w:val="22"/>
          <w:color w:val="auto"/>
        </w:rPr>
        <w:t>. Consultant agrees to execute all papers, including patent applications, invention assignments and copyright assignments, and otherwise agrees to assist Trevi, at Trevi’s expense, to perfect in Trevi the right, title and other interest in the Work Product. If Trevi is unable for any reason, after reasonable effort, to secure Consultant’s signature on any document needed in connection with the actions specified above, Consultant hereby irrevocably designates and appoints Trevi as Consultant’s agent and attorney-in-fact, which appointment is coupled with an interest, to act for and on Consultant’s behalf, to execute, verify and file any such documents and to do all other lawfully permitted acts to further the purposes of this Section with the same legal force and effect as if executed by Consultant.</w:t>
      </w:r>
    </w:p>
    <w:p>
      <w:pPr>
        <w:spacing w:after="0" w:line="2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1"/>
          <w:szCs w:val="21"/>
          <w:u w:val="single" w:color="auto"/>
          <w:color w:val="auto"/>
        </w:rPr>
        <w:t>4.4. License to Perform Services</w:t>
      </w:r>
      <w:r>
        <w:rPr>
          <w:rFonts w:ascii="Times New Roman" w:cs="Times New Roman" w:eastAsia="Times New Roman" w:hAnsi="Times New Roman"/>
          <w:sz w:val="21"/>
          <w:szCs w:val="21"/>
          <w:color w:val="auto"/>
        </w:rPr>
        <w:t>. Solely to the extent required for Consultant to perform the Services, Trevi grants Consultant a non-exclusive, limited license to all intellectual property rights owned or controlled by Trevi. Except for the foregoing limited license, no right, title or interest in or to any intellectual property rights of Trevi are granted to Consultant under this Agreement.</w:t>
      </w:r>
    </w:p>
    <w:p>
      <w:pPr>
        <w:spacing w:after="0" w:line="180"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Representations and Warranties.</w:t>
      </w:r>
    </w:p>
    <w:p>
      <w:pPr>
        <w:spacing w:after="0" w:line="237" w:lineRule="exact"/>
        <w:rPr>
          <w:sz w:val="20"/>
          <w:szCs w:val="20"/>
          <w:color w:val="auto"/>
        </w:rPr>
      </w:pPr>
    </w:p>
    <w:p>
      <w:pPr>
        <w:jc w:val="both"/>
        <w:ind w:right="240"/>
        <w:spacing w:after="0" w:line="244" w:lineRule="auto"/>
        <w:rPr>
          <w:sz w:val="20"/>
          <w:szCs w:val="20"/>
          <w:color w:val="auto"/>
        </w:rPr>
      </w:pPr>
      <w:r>
        <w:rPr>
          <w:rFonts w:ascii="Times New Roman" w:cs="Times New Roman" w:eastAsia="Times New Roman" w:hAnsi="Times New Roman"/>
          <w:sz w:val="22"/>
          <w:szCs w:val="22"/>
          <w:u w:val="single" w:color="auto"/>
          <w:color w:val="auto"/>
        </w:rPr>
        <w:t>5.1. Authority</w:t>
      </w:r>
      <w:r>
        <w:rPr>
          <w:rFonts w:ascii="Times New Roman" w:cs="Times New Roman" w:eastAsia="Times New Roman" w:hAnsi="Times New Roman"/>
          <w:sz w:val="22"/>
          <w:szCs w:val="22"/>
          <w:color w:val="auto"/>
        </w:rPr>
        <w:t>. Consultant represents and warrants that Consultant has good and marketable title to all Work Product, and that the Work Product will be free and clear of all liens, claims, encumbrances or demands of third parties, including any claims by any such third parties of any right, title or interest in or to the Work Product.</w:t>
      </w:r>
    </w:p>
    <w:p>
      <w:pPr>
        <w:spacing w:after="0" w:line="20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u w:val="single" w:color="auto"/>
          <w:color w:val="auto"/>
        </w:rPr>
        <w:t>5.2. Diligence.</w:t>
      </w:r>
      <w:r>
        <w:rPr>
          <w:rFonts w:ascii="Times New Roman" w:cs="Times New Roman" w:eastAsia="Times New Roman" w:hAnsi="Times New Roman"/>
          <w:sz w:val="22"/>
          <w:szCs w:val="22"/>
          <w:color w:val="auto"/>
        </w:rPr>
        <w:t xml:space="preserve"> Consultant will perform all of its obligations under this Agreement: (i) in strict accordance with the terms of this Agreement, including any amendments or related documents; and (ii) in a timely, professional, commercially diligent basis, in accordance with the generally accepted industry and professional standards, procedures and practices, to the reasonable satisfaction of Trevi.</w:t>
      </w:r>
    </w:p>
    <w:p>
      <w:pPr>
        <w:spacing w:after="0" w:line="20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1"/>
          <w:szCs w:val="21"/>
          <w:u w:val="single" w:color="auto"/>
          <w:color w:val="auto"/>
        </w:rPr>
        <w:t>5.3. Compliance</w:t>
      </w:r>
      <w:r>
        <w:rPr>
          <w:rFonts w:ascii="Times New Roman" w:cs="Times New Roman" w:eastAsia="Times New Roman" w:hAnsi="Times New Roman"/>
          <w:sz w:val="21"/>
          <w:szCs w:val="21"/>
          <w:color w:val="auto"/>
        </w:rPr>
        <w:t>. Consultant represents and warrants that the Services and the Work Product, comply with all applicable United States and foreign laws and regulations, and that all Work Product will conform with the specifications agreed by the parties for such Work Product. Consultant will not export, directly or indirectly, any United States source technical data acquired from Trevi or any products utilizing such data to any countries outside the United States which export may be in violation of applicable law and will comply with all applicable laws and regulations in the performance of the Services, including without limitation, all Global Trade Control Laws. “Global Trade Control Laws” means the U.S. Export Administration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1" w:name="page82"/>
    <w:bookmarkEnd w:id="81"/>
    <w:p>
      <w:pPr>
        <w:ind w:right="460" w:firstLine="509"/>
        <w:spacing w:after="0" w:line="238" w:lineRule="auto"/>
        <w:rPr>
          <w:sz w:val="20"/>
          <w:szCs w:val="20"/>
          <w:color w:val="auto"/>
        </w:rPr>
      </w:pPr>
      <w:r>
        <w:rPr>
          <w:rFonts w:ascii="Times New Roman" w:cs="Times New Roman" w:eastAsia="Times New Roman" w:hAnsi="Times New Roman"/>
          <w:sz w:val="22"/>
          <w:szCs w:val="22"/>
          <w:color w:val="auto"/>
        </w:rPr>
        <w:t>the U.S. International Traffic in Arms Regulations; the economic sanctions rules and regulations implemented under statutory authority and/or President's Executive Orders and administered by the U.S. Department of the Treasury Office of Foreign Assets Control; European Union (E.U.) Council Regulations on export controls, including Nos.428/2009, 267/2012; other E.U. Council sanctions regulations, as implemented in E.U. Member States; United Nations sanctions policies and all relevant regulations and legislative instruments made under any of the above.</w:t>
      </w:r>
    </w:p>
    <w:p>
      <w:pPr>
        <w:spacing w:after="0" w:line="200"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21"/>
          <w:szCs w:val="21"/>
          <w:u w:val="single" w:color="auto"/>
          <w:color w:val="auto"/>
        </w:rPr>
        <w:t>5.4. Anti-Bribery Laws</w:t>
      </w:r>
      <w:r>
        <w:rPr>
          <w:rFonts w:ascii="Times New Roman" w:cs="Times New Roman" w:eastAsia="Times New Roman" w:hAnsi="Times New Roman"/>
          <w:sz w:val="21"/>
          <w:szCs w:val="21"/>
          <w:color w:val="auto"/>
        </w:rPr>
        <w:t>. Consultant will comply with all applicable anti-bribery and anti-corruption laws (“</w:t>
      </w:r>
      <w:r>
        <w:rPr>
          <w:rFonts w:ascii="Times New Roman" w:cs="Times New Roman" w:eastAsia="Times New Roman" w:hAnsi="Times New Roman"/>
          <w:sz w:val="21"/>
          <w:szCs w:val="21"/>
          <w:b w:val="1"/>
          <w:bCs w:val="1"/>
          <w:color w:val="auto"/>
        </w:rPr>
        <w:t>Anti-Bribery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Laws</w:t>
      </w:r>
      <w:r>
        <w:rPr>
          <w:rFonts w:ascii="Times New Roman" w:cs="Times New Roman" w:eastAsia="Times New Roman" w:hAnsi="Times New Roman"/>
          <w:sz w:val="21"/>
          <w:szCs w:val="21"/>
          <w:color w:val="auto"/>
        </w:rPr>
        <w:t>”) and will: (i) not do or omit to do any act or thing which causes or may cause Trevi to be guilty of an offense under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Anti-Bribery Law; (ii) not offer any payment or other benefit to any current or prospective customer or distributor of Trevi; and</w:t>
      </w:r>
    </w:p>
    <w:p>
      <w:pPr>
        <w:spacing w:after="0" w:line="2" w:lineRule="exact"/>
        <w:rPr>
          <w:sz w:val="20"/>
          <w:szCs w:val="20"/>
          <w:color w:val="auto"/>
        </w:rPr>
      </w:pPr>
    </w:p>
    <w:p>
      <w:pPr>
        <w:ind w:right="260" w:firstLine="8"/>
        <w:spacing w:after="0" w:line="237" w:lineRule="auto"/>
        <w:tabs>
          <w:tab w:leader="none" w:pos="37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report to Trevi any request or demand for any undue financial or other advantage of any kind, in connection with Trevi, its business or the Services.</w:t>
      </w:r>
    </w:p>
    <w:p>
      <w:pPr>
        <w:spacing w:after="0" w:line="205" w:lineRule="exact"/>
        <w:rPr>
          <w:sz w:val="20"/>
          <w:szCs w:val="20"/>
          <w:color w:val="auto"/>
        </w:rPr>
      </w:pPr>
    </w:p>
    <w:p>
      <w:pPr>
        <w:jc w:val="both"/>
        <w:ind w:right="40"/>
        <w:spacing w:after="0" w:line="251" w:lineRule="auto"/>
        <w:rPr>
          <w:sz w:val="20"/>
          <w:szCs w:val="20"/>
          <w:color w:val="auto"/>
        </w:rPr>
      </w:pPr>
      <w:r>
        <w:rPr>
          <w:rFonts w:ascii="Times New Roman" w:cs="Times New Roman" w:eastAsia="Times New Roman" w:hAnsi="Times New Roman"/>
          <w:sz w:val="21"/>
          <w:szCs w:val="21"/>
          <w:u w:val="single" w:color="auto"/>
          <w:color w:val="auto"/>
        </w:rPr>
        <w:t>5.5. Non-Infringement</w:t>
      </w:r>
      <w:r>
        <w:rPr>
          <w:rFonts w:ascii="Times New Roman" w:cs="Times New Roman" w:eastAsia="Times New Roman" w:hAnsi="Times New Roman"/>
          <w:sz w:val="21"/>
          <w:szCs w:val="21"/>
          <w:color w:val="auto"/>
        </w:rPr>
        <w:t>. Consultant represents and warrants that: (a) to the best of Consultant’s knowledge the Work Product and the use and/or incorporation of Work Product in the products and services of Trevi do not and will not infringe or misappropriate the intellectual property rights of any third party; (b) Consultant’s engagement by Trevi pursuant to this Agreement does not and will not breach any agreement with any current or former employer or client; and (c) Consultant has not entered into, and will not enter into, any agreement, either written or oral, in conflict with Consultant’s obligations under this Agreement.</w:t>
      </w:r>
    </w:p>
    <w:p>
      <w:pPr>
        <w:spacing w:after="0" w:line="19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5.6. Debarment and Exclusion</w:t>
      </w:r>
      <w:r>
        <w:rPr>
          <w:rFonts w:ascii="Times New Roman" w:cs="Times New Roman" w:eastAsia="Times New Roman" w:hAnsi="Times New Roman"/>
          <w:sz w:val="22"/>
          <w:szCs w:val="22"/>
          <w:color w:val="auto"/>
        </w:rPr>
        <w:t>. Consultant represents and warrants that: (a) it is not debarred under subsections 306(a) or (b) of the Federal Food, Drug, and Cosmetic Act [US Generic Drug Enforcement Act of 1992; 21 USC 335a (a) or (b)] or similar local laws or regulations and that Consultant has not and will not use in any capacity the services of any person debarred under such law with respect to the Services; and (b) it is not excluded from any federal health care program, including but not limited to Medicare and Medicaid. Consultant will notify Trevi immediately if either of these representations needs to be amended in light of new information.</w:t>
      </w:r>
    </w:p>
    <w:p>
      <w:pPr>
        <w:spacing w:after="0" w:line="20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1"/>
          <w:szCs w:val="21"/>
          <w:u w:val="single" w:color="auto"/>
          <w:color w:val="auto"/>
        </w:rPr>
        <w:t>5.7. Data Security</w:t>
      </w:r>
      <w:r>
        <w:rPr>
          <w:rFonts w:ascii="Times New Roman" w:cs="Times New Roman" w:eastAsia="Times New Roman" w:hAnsi="Times New Roman"/>
          <w:sz w:val="21"/>
          <w:szCs w:val="21"/>
          <w:color w:val="auto"/>
        </w:rPr>
        <w:t>. Consultant will implement and maintain reasonable and appropriate administrative, physical, organizational, and technical security measures and safeguards (“</w:t>
      </w:r>
      <w:r>
        <w:rPr>
          <w:rFonts w:ascii="Times New Roman" w:cs="Times New Roman" w:eastAsia="Times New Roman" w:hAnsi="Times New Roman"/>
          <w:sz w:val="21"/>
          <w:szCs w:val="21"/>
          <w:b w:val="1"/>
          <w:bCs w:val="1"/>
          <w:color w:val="auto"/>
        </w:rPr>
        <w:t>Safeguards</w:t>
      </w:r>
      <w:r>
        <w:rPr>
          <w:rFonts w:ascii="Times New Roman" w:cs="Times New Roman" w:eastAsia="Times New Roman" w:hAnsi="Times New Roman"/>
          <w:sz w:val="21"/>
          <w:szCs w:val="21"/>
          <w:color w:val="auto"/>
        </w:rPr>
        <w:t>”) to prevent any unauthorized collection, use or disclosure of, destruction, loss or alteration of or access to any Confidential Information. Such Safeguards include maintaining the following minimum data security practices and measures to: (a) ensure the security, integrity and confidentiality of all Confidential Information; (b) detect, prevent and respond to any threats, attacks, intrusions, unauthorized disclosure, access to, or use of Confidential Information; and (c) ensure the secure disposal of Confidential Information. Such information security practices shall include physical security of all premises in which Confidential Information will be processed and/or stored, including the implementation of industry-accepted password protections and data encryption. While Consultant is in possession of Confidential Information, Consultant will implement and maintain industry-accepted quality security firewall, antivirus protection software, and malware protection software, each of which shall be subscription-based, automatically-updating software from a reputable provider. Upon written request by Trevi, Consultant shall provide Trevi with reasonable detail regarding Consultant’s compliance with this Section. Consultant will notify Trevi within 24 hours if Consultant reasonably suspects,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2" w:name="page83"/>
    <w:bookmarkEnd w:id="82"/>
    <w:p>
      <w:pPr>
        <w:ind w:right="160" w:firstLine="509"/>
        <w:spacing w:after="0" w:line="236" w:lineRule="auto"/>
        <w:rPr>
          <w:sz w:val="20"/>
          <w:szCs w:val="20"/>
          <w:color w:val="auto"/>
        </w:rPr>
      </w:pPr>
      <w:r>
        <w:rPr>
          <w:rFonts w:ascii="Times New Roman" w:cs="Times New Roman" w:eastAsia="Times New Roman" w:hAnsi="Times New Roman"/>
          <w:sz w:val="22"/>
          <w:szCs w:val="22"/>
          <w:color w:val="auto"/>
        </w:rPr>
        <w:t>detects or is notified of any attempted or actual security breach that results or may have resulted in unauthorized destruction, loss, alteration or theft of, or unauthorized access to, Confidential Information (each such incident, a “</w:t>
      </w:r>
      <w:r>
        <w:rPr>
          <w:rFonts w:ascii="Times New Roman" w:cs="Times New Roman" w:eastAsia="Times New Roman" w:hAnsi="Times New Roman"/>
          <w:sz w:val="22"/>
          <w:szCs w:val="22"/>
          <w:b w:val="1"/>
          <w:bCs w:val="1"/>
          <w:color w:val="auto"/>
        </w:rPr>
        <w:t>Security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Incident</w:t>
      </w:r>
      <w:r>
        <w:rPr>
          <w:rFonts w:ascii="Times New Roman" w:cs="Times New Roman" w:eastAsia="Times New Roman" w:hAnsi="Times New Roman"/>
          <w:sz w:val="22"/>
          <w:szCs w:val="22"/>
          <w:color w:val="auto"/>
        </w:rPr>
        <w:t>”). Consultant will investigate such breach or potential breach and mitigate and remediate the adverse effects of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Security Incident and preserve forensic evidence. Consultant will provide information to Trevi about the nature and scope of the Security Incident and the status of any ongoing remedial actions. Consultant will correct, at no additional charge to Trevi, any destruction, loss or alteration of any Confidential Information.</w:t>
      </w:r>
    </w:p>
    <w:p>
      <w:pPr>
        <w:spacing w:after="0" w:line="208"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2"/>
          <w:szCs w:val="22"/>
          <w:u w:val="single" w:color="auto"/>
          <w:color w:val="auto"/>
        </w:rPr>
        <w:t>5.8. Data Processing Addendum</w:t>
      </w:r>
      <w:r>
        <w:rPr>
          <w:rFonts w:ascii="Times New Roman" w:cs="Times New Roman" w:eastAsia="Times New Roman" w:hAnsi="Times New Roman"/>
          <w:sz w:val="22"/>
          <w:szCs w:val="22"/>
          <w:color w:val="auto"/>
        </w:rPr>
        <w:t xml:space="preserve">. The parties will comply with the provisions of the Data Processing Addendum attached as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21"/>
          <w:szCs w:val="21"/>
          <w:u w:val="single" w:color="auto"/>
          <w:color w:val="auto"/>
        </w:rPr>
        <w:t>5.9. Breach of Warranty</w:t>
      </w:r>
      <w:r>
        <w:rPr>
          <w:rFonts w:ascii="Times New Roman" w:cs="Times New Roman" w:eastAsia="Times New Roman" w:hAnsi="Times New Roman"/>
          <w:sz w:val="21"/>
          <w:szCs w:val="21"/>
          <w:color w:val="auto"/>
        </w:rPr>
        <w:t>. In the event of a breach or threatened breach of the foregoing warranties, and in addition to any other remedies to which Trevi may be entitled under this Agreement or by operation of law, Consultant will, at no additional cost to Trevi, replace or modify the Work Product with a functionally equivalent and conforming Work Product, obtain for Trevi the right to continue to use the Work Product and, in all other respects, use Consultant’s best efforts to remedy the breach.</w:t>
      </w:r>
    </w:p>
    <w:p>
      <w:pPr>
        <w:spacing w:after="0" w:line="185" w:lineRule="exact"/>
        <w:rPr>
          <w:sz w:val="20"/>
          <w:szCs w:val="20"/>
          <w:color w:val="auto"/>
        </w:rPr>
      </w:pPr>
    </w:p>
    <w:p>
      <w:pPr>
        <w:ind w:firstLine="8"/>
        <w:spacing w:after="0" w:line="234" w:lineRule="auto"/>
        <w:tabs>
          <w:tab w:leader="none" w:pos="50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 and Termination</w:t>
      </w:r>
      <w:r>
        <w:rPr>
          <w:rFonts w:ascii="Times New Roman" w:cs="Times New Roman" w:eastAsia="Times New Roman" w:hAnsi="Times New Roman"/>
          <w:sz w:val="22"/>
          <w:szCs w:val="22"/>
          <w:color w:val="auto"/>
        </w:rPr>
        <w:t>. This Agreement will commence on the Effective Date and continue until terminated as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herein. Either party may terminate this Agreement: (i) for convenience at any time upon 14 days prior written notice to the other; or (ii) if the other party materially breaches the Agreement and does not cure the breach within 30 days after the non-breaching party notifies it in writing of the breach;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breach is not capable of cure the non-breaching party may terminate this Agreement immediately upon notice. In the event of any termination by Trevi, Consultant will cease work immediately after receiving notice of such termination unless otherwise advised by Trevi and will notify Trevi of all costs incurred up to the date of termination. If Trevi terminates this Agreement for convenience, Trevi will pay Consultant for all Services actually performed through the date of termination and will reimburse all reasonable, non-cancellable pre-approved costs and expenses incurred by Consultant in performing such Services. Sections 3 – 9 survive expiration or any termination of this Agreement, as does any other provision in this Agreement that by its nature and intent remains valid after the term.</w:t>
      </w:r>
    </w:p>
    <w:p>
      <w:pPr>
        <w:spacing w:after="0" w:line="206" w:lineRule="exact"/>
        <w:rPr>
          <w:rFonts w:ascii="Times New Roman" w:cs="Times New Roman" w:eastAsia="Times New Roman" w:hAnsi="Times New Roman"/>
          <w:sz w:val="22"/>
          <w:szCs w:val="22"/>
          <w:color w:val="auto"/>
        </w:rPr>
      </w:pPr>
    </w:p>
    <w:p>
      <w:pPr>
        <w:ind w:right="40" w:firstLine="8"/>
        <w:spacing w:after="0" w:line="249" w:lineRule="exact"/>
        <w:tabs>
          <w:tab w:leader="none" w:pos="509"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Independent Contractor</w:t>
      </w:r>
      <w:r>
        <w:rPr>
          <w:rFonts w:ascii="Times New Roman" w:cs="Times New Roman" w:eastAsia="Times New Roman" w:hAnsi="Times New Roman"/>
          <w:sz w:val="21"/>
          <w:szCs w:val="21"/>
          <w:color w:val="auto"/>
        </w:rPr>
        <w:t>. Consultant is an independent contractor and not an employee, agent or partner of Trevi.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Consultant is not authorized to make any representation, warranty, contract, or commitment on behalf of Trevi. Consultant is not eligible to any Trevi employee programs or benefits of any kind and Trevi will not treat Consultant as an employee for any purpose. Consultant will provide Trevi with a completed Internal Revenue Service (IRS) Form W</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9 before any payments are made under this Agreement. Trevi will report amounts paid to Consultant by filing Form 1099-MISC with the Internal Revenue Service as required by law. Trevi will not withhold or make payments for social security, make unemployment insurance or disability insurance contributions, or obtain worker’s compensation insurance on Consultant’s behalf. Consultant agrees to accept exclusive liability for complying with all applicable state and federal laws governing self-employed individuals, including obligations such as payment of taxes, social security, disability and other contributions based on fees paid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3" w:name="page84"/>
    <w:bookmarkEnd w:id="83"/>
    <w:p>
      <w:pPr>
        <w:spacing w:after="0" w:line="208" w:lineRule="exact"/>
        <w:rPr>
          <w:sz w:val="20"/>
          <w:szCs w:val="20"/>
          <w:color w:val="auto"/>
        </w:rPr>
      </w:pPr>
    </w:p>
    <w:p>
      <w:pPr>
        <w:ind w:firstLine="8"/>
        <w:spacing w:after="0" w:line="236" w:lineRule="auto"/>
        <w:tabs>
          <w:tab w:leader="none" w:pos="50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Indemnification</w:t>
      </w:r>
      <w:r>
        <w:rPr>
          <w:rFonts w:ascii="Times New Roman" w:cs="Times New Roman" w:eastAsia="Times New Roman" w:hAnsi="Times New Roman"/>
          <w:sz w:val="22"/>
          <w:szCs w:val="22"/>
          <w:color w:val="auto"/>
        </w:rPr>
        <w:t>. Consultant agrees to indemnify, defend and hold harmless Trevi and its affiliates and their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officers and employees from and against all taxes, losses, damages, liabilities, costs and expenses, including attorneys’ fees and other legal expenses, arising directly or indirectly from or in connection with (i) any negligent, reckless or intentionally wrongful act of Consultant; (ii) a determination by a court or agency that Consultant is not an independent contractor; (iii) any breach by Consultant of any of the covenants contained in this Agreement; (iv) any failure of Consultant to perform the Services in accordance with all applicable laws, rules and regulations, or (v) any violation or claimed violation of a third party’s rights resulting in whole, or in part, from Trevi’s use of the Work Product under this Agreement.</w:t>
      </w:r>
    </w:p>
    <w:p>
      <w:pPr>
        <w:spacing w:after="0" w:line="202" w:lineRule="exact"/>
        <w:rPr>
          <w:rFonts w:ascii="Times New Roman" w:cs="Times New Roman" w:eastAsia="Times New Roman" w:hAnsi="Times New Roman"/>
          <w:sz w:val="22"/>
          <w:szCs w:val="22"/>
          <w:color w:val="auto"/>
        </w:rPr>
      </w:pPr>
    </w:p>
    <w:p>
      <w:pPr>
        <w:jc w:val="both"/>
        <w:ind w:right="140" w:firstLine="8"/>
        <w:spacing w:after="0" w:line="241" w:lineRule="auto"/>
        <w:tabs>
          <w:tab w:leader="none" w:pos="50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Limitation of Liability</w:t>
      </w:r>
      <w:r>
        <w:rPr>
          <w:rFonts w:ascii="Times New Roman" w:cs="Times New Roman" w:eastAsia="Times New Roman" w:hAnsi="Times New Roman"/>
          <w:sz w:val="22"/>
          <w:szCs w:val="22"/>
          <w:color w:val="auto"/>
        </w:rPr>
        <w:t>. Except with respect to Consultant’s breach of Sections 3 or 4 or 5.7, in no event will either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liable to the other for any lost profits or lost business or for any consequential, incidental, special or indirect damages of any kind, whether arising in contract, tort or otherwise, and regardless of whether such party has been notified of the possibility of such damages.</w:t>
      </w:r>
    </w:p>
    <w:p>
      <w:pPr>
        <w:spacing w:after="0" w:line="198"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u w:val="single" w:color="auto"/>
          <w:color w:val="auto"/>
        </w:rPr>
        <w:t>10.1. Assignment</w:t>
      </w:r>
      <w:r>
        <w:rPr>
          <w:rFonts w:ascii="Times New Roman" w:cs="Times New Roman" w:eastAsia="Times New Roman" w:hAnsi="Times New Roman"/>
          <w:sz w:val="22"/>
          <w:szCs w:val="22"/>
          <w:color w:val="auto"/>
        </w:rPr>
        <w:t>. Consultant will not assign this Agreement or Consultant’s rights or obligations hereunder without the prior written consent of Trevi. Trevi may freely assign this Agreement, and Consultant expressly agrees that any intellectual property rights licensed to Trevi are transferable to Trevi’s assignee without Consultant’s consent.</w:t>
      </w:r>
    </w:p>
    <w:p>
      <w:pPr>
        <w:spacing w:after="0" w:line="200"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u w:val="single" w:color="auto"/>
          <w:color w:val="auto"/>
        </w:rPr>
        <w:t>10.2. Governing Law</w:t>
      </w:r>
      <w:r>
        <w:rPr>
          <w:rFonts w:ascii="Times New Roman" w:cs="Times New Roman" w:eastAsia="Times New Roman" w:hAnsi="Times New Roman"/>
          <w:sz w:val="22"/>
          <w:szCs w:val="22"/>
          <w:color w:val="auto"/>
        </w:rPr>
        <w:t>. The validity, interpretation and performance of this Agreement will be governed by and construed in accordance with the laws of Delaware without regard to the principles of conflicts of law. All disputes arising hereunder will be adjudicated in the state and federal courts having jurisdiction over disputes arising in New Haven, Connecticut, and Consultant hereby agrees to consent to the personal jurisdiction of such courts.</w:t>
      </w:r>
    </w:p>
    <w:p>
      <w:pPr>
        <w:spacing w:after="0" w:line="207"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u w:val="single" w:color="auto"/>
          <w:color w:val="auto"/>
        </w:rPr>
        <w:t>10.3. Notices</w:t>
      </w:r>
      <w:r>
        <w:rPr>
          <w:rFonts w:ascii="Times New Roman" w:cs="Times New Roman" w:eastAsia="Times New Roman" w:hAnsi="Times New Roman"/>
          <w:sz w:val="22"/>
          <w:szCs w:val="22"/>
          <w:color w:val="auto"/>
        </w:rPr>
        <w:t>. Any notice to be given under this Agreement must be in writing, in English and delivered either in person, by e-mail, by any method of mail (postage prepaid) requiring return receipt, or by overnight courier, to the address(es) set forth at the end of this Agreement. Notice will be deemed sufficiently given upon the earliest of: (i) the date of actual receipt; (ii) if mailed, three days after the date of postmark; or (iii) if delivered by express courier, the next business day the courier regularly makes deliveries to the addressee’s location. Any notice that is sent by e-mail will be deemed received one business day after transmission if no automatic response has been received from the recipient’s e-mail system indicating non-receipt or unavailability of the recipient.</w:t>
      </w:r>
    </w:p>
    <w:p>
      <w:pPr>
        <w:spacing w:after="0" w:line="21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2"/>
          <w:szCs w:val="22"/>
          <w:u w:val="single" w:color="auto"/>
          <w:color w:val="auto"/>
        </w:rPr>
        <w:t>10.4. Entire Agreement; Construction</w:t>
      </w:r>
      <w:r>
        <w:rPr>
          <w:rFonts w:ascii="Times New Roman" w:cs="Times New Roman" w:eastAsia="Times New Roman" w:hAnsi="Times New Roman"/>
          <w:sz w:val="22"/>
          <w:szCs w:val="22"/>
          <w:color w:val="auto"/>
        </w:rPr>
        <w:t>. This Agreement and any attachments (each of which is incorporated herein by reference), constitutes the final, complete and exclusive agreement of the parties with respect to the subject matter hereof and supersedes all prior and contemporaneous understandings and agreements relating to its subject matter. This Agreement may not be changed or amended except by a written instrument signed by each party. In the event any provision of this Agreement is found to be legally unenforceable, such unenforceability will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4" w:name="page85"/>
    <w:bookmarkEnd w:id="84"/>
    <w:p>
      <w:pPr>
        <w:ind w:firstLine="509"/>
        <w:spacing w:after="0" w:line="251" w:lineRule="auto"/>
        <w:rPr>
          <w:sz w:val="20"/>
          <w:szCs w:val="20"/>
          <w:color w:val="auto"/>
        </w:rPr>
      </w:pPr>
      <w:r>
        <w:rPr>
          <w:rFonts w:ascii="Times New Roman" w:cs="Times New Roman" w:eastAsia="Times New Roman" w:hAnsi="Times New Roman"/>
          <w:sz w:val="21"/>
          <w:szCs w:val="21"/>
          <w:color w:val="auto"/>
        </w:rPr>
        <w:t>prevent enforcement of any other provision of this Agreement. Ambiguities and uncertainties in this Agreement, if any, will not be interpreted against either party, irrespective of which party may be deemed to have caused the ambiguity or uncertainty to exist. This Agreement may be executed in two or more counterparts, each of which will be considered an original, but all of which together will constitute one and the same instrument. Any failure to enforce any provision of this Agreement does not constitute a waiver thereof or of any other provision hereof and any waiver must be in writing and signed by the waiving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85" w:name="page86"/>
    <w:bookmarkEnd w:id="85"/>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hereto have executed this Agreement as of the Effective Date.</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0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revi</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tc>
        <w:tc>
          <w:tcPr>
            <w:tcW w:w="822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avid</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lark</w:t>
            </w:r>
          </w:p>
        </w:tc>
      </w:tr>
      <w:tr>
        <w:trPr>
          <w:trHeight w:val="729"/>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By: /s/ Jennifer Good</w:t>
            </w:r>
          </w:p>
        </w:tc>
        <w:tc>
          <w:tcPr>
            <w:tcW w:w="82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/s/ David Clark</w:t>
            </w:r>
          </w:p>
        </w:tc>
      </w:tr>
      <w:tr>
        <w:trPr>
          <w:trHeight w:val="486"/>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Name:   Jennifer Good</w:t>
            </w:r>
          </w:p>
        </w:tc>
        <w:tc>
          <w:tcPr>
            <w:tcW w:w="8220" w:type="dxa"/>
            <w:vAlign w:val="bottom"/>
          </w:tcPr>
          <w:p>
            <w:pPr>
              <w:spacing w:after="0"/>
              <w:rPr>
                <w:sz w:val="24"/>
                <w:szCs w:val="24"/>
                <w:color w:val="auto"/>
              </w:rPr>
            </w:pPr>
          </w:p>
        </w:tc>
      </w:tr>
      <w:tr>
        <w:trPr>
          <w:trHeight w:val="486"/>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Title: President and CEO</w:t>
            </w:r>
          </w:p>
        </w:tc>
        <w:tc>
          <w:tcPr>
            <w:tcW w:w="8220" w:type="dxa"/>
            <w:vAlign w:val="bottom"/>
          </w:tcPr>
          <w:p>
            <w:pPr>
              <w:spacing w:after="0"/>
              <w:rPr>
                <w:sz w:val="24"/>
                <w:szCs w:val="24"/>
                <w:color w:val="auto"/>
              </w:rPr>
            </w:pPr>
          </w:p>
        </w:tc>
      </w:tr>
      <w:tr>
        <w:trPr>
          <w:trHeight w:val="486"/>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Date: September 28, 2024</w:t>
            </w:r>
          </w:p>
        </w:tc>
        <w:tc>
          <w:tcPr>
            <w:tcW w:w="82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Date: September 28, 2024</w:t>
            </w:r>
          </w:p>
        </w:tc>
      </w:tr>
      <w:tr>
        <w:trPr>
          <w:trHeight w:val="676"/>
        </w:trPr>
        <w:tc>
          <w:tcPr>
            <w:tcW w:w="30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Address for Notices:</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i w:val="1"/>
                <w:iCs w:val="1"/>
                <w:color w:val="auto"/>
              </w:rPr>
              <w:t>Address for Notices:</w:t>
            </w:r>
          </w:p>
        </w:tc>
      </w:tr>
      <w:tr>
        <w:trPr>
          <w:trHeight w:val="243"/>
        </w:trPr>
        <w:tc>
          <w:tcPr>
            <w:tcW w:w="3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Trevi Therapeutics, Inc.</w:t>
            </w:r>
          </w:p>
        </w:tc>
        <w:tc>
          <w:tcPr>
            <w:tcW w:w="822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David Clark</w:t>
            </w:r>
          </w:p>
        </w:tc>
      </w:tr>
      <w:tr>
        <w:trPr>
          <w:trHeight w:val="243"/>
        </w:trPr>
        <w:tc>
          <w:tcPr>
            <w:tcW w:w="3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195 Church St.</w:t>
            </w:r>
          </w:p>
        </w:tc>
        <w:tc>
          <w:tcPr>
            <w:tcW w:w="822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3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New Haven, CT 06510</w:t>
            </w:r>
          </w:p>
        </w:tc>
        <w:tc>
          <w:tcPr>
            <w:tcW w:w="8220" w:type="dxa"/>
            <w:vAlign w:val="bottom"/>
          </w:tcPr>
          <w:p>
            <w:pPr>
              <w:spacing w:after="0"/>
              <w:rPr>
                <w:sz w:val="21"/>
                <w:szCs w:val="21"/>
                <w:color w:val="auto"/>
              </w:rPr>
            </w:pPr>
          </w:p>
        </w:tc>
      </w:tr>
      <w:tr>
        <w:trPr>
          <w:trHeight w:val="282"/>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Attn: CEO</w:t>
            </w:r>
          </w:p>
        </w:tc>
        <w:tc>
          <w:tcPr>
            <w:tcW w:w="8220" w:type="dxa"/>
            <w:vAlign w:val="bottom"/>
          </w:tcPr>
          <w:p>
            <w:pPr>
              <w:spacing w:after="0"/>
              <w:rPr>
                <w:sz w:val="24"/>
                <w:szCs w:val="24"/>
                <w:color w:val="auto"/>
              </w:rPr>
            </w:pPr>
          </w:p>
        </w:tc>
      </w:tr>
      <w:tr>
        <w:trPr>
          <w:trHeight w:val="486"/>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and</w:t>
            </w:r>
          </w:p>
        </w:tc>
        <w:tc>
          <w:tcPr>
            <w:tcW w:w="8220" w:type="dxa"/>
            <w:vAlign w:val="bottom"/>
          </w:tcPr>
          <w:p>
            <w:pPr>
              <w:spacing w:after="0"/>
              <w:rPr>
                <w:sz w:val="24"/>
                <w:szCs w:val="24"/>
                <w:color w:val="auto"/>
              </w:rPr>
            </w:pPr>
          </w:p>
        </w:tc>
      </w:tr>
      <w:tr>
        <w:trPr>
          <w:trHeight w:val="486"/>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Legal@trevitherapeutics.com</w:t>
            </w:r>
          </w:p>
        </w:tc>
        <w:tc>
          <w:tcPr>
            <w:tcW w:w="8220" w:type="dxa"/>
            <w:vAlign w:val="bottom"/>
          </w:tcPr>
          <w:p>
            <w:pPr>
              <w:spacing w:after="0"/>
              <w:rPr>
                <w:sz w:val="24"/>
                <w:szCs w:val="24"/>
                <w:color w:val="auto"/>
              </w:rPr>
            </w:pPr>
          </w:p>
        </w:tc>
      </w:tr>
      <w:tr>
        <w:trPr>
          <w:trHeight w:val="2101"/>
        </w:trPr>
        <w:tc>
          <w:tcPr>
            <w:tcW w:w="3020" w:type="dxa"/>
            <w:vAlign w:val="bottom"/>
            <w:tcBorders>
              <w:bottom w:val="single" w:sz="8" w:color="9A9A9A"/>
            </w:tcBorders>
          </w:tcPr>
          <w:p>
            <w:pPr>
              <w:spacing w:after="0"/>
              <w:rPr>
                <w:sz w:val="24"/>
                <w:szCs w:val="24"/>
                <w:color w:val="auto"/>
              </w:rPr>
            </w:pPr>
          </w:p>
        </w:tc>
        <w:tc>
          <w:tcPr>
            <w:tcW w:w="8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1628140</wp:posOffset>
            </wp:positionH>
            <wp:positionV relativeFrom="paragraph">
              <wp:posOffset>-1379220</wp:posOffset>
            </wp:positionV>
            <wp:extent cx="228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286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ind w:left="518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Description of Services</w:t>
      </w:r>
    </w:p>
    <w:p>
      <w:pPr>
        <w:spacing w:after="0" w:line="235"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color w:val="auto"/>
        </w:rPr>
        <w:t xml:space="preserve">Consultant will, </w:t>
      </w:r>
      <w:r>
        <w:rPr>
          <w:rFonts w:ascii="Times New Roman" w:cs="Times New Roman" w:eastAsia="Times New Roman" w:hAnsi="Times New Roman"/>
          <w:sz w:val="22"/>
          <w:szCs w:val="22"/>
          <w:i w:val="1"/>
          <w:iCs w:val="1"/>
          <w:color w:val="auto"/>
        </w:rPr>
        <w:t>inter alia</w:t>
      </w:r>
      <w:r>
        <w:rPr>
          <w:rFonts w:ascii="Times New Roman" w:cs="Times New Roman" w:eastAsia="Times New Roman" w:hAnsi="Times New Roman"/>
          <w:sz w:val="22"/>
          <w:szCs w:val="22"/>
          <w:color w:val="auto"/>
        </w:rPr>
        <w:t>, provide general medical consulting services to Trevi in support of Trevi’s clinical trials and development plans.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Fees/Payments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Consultant will submit all invoices and requests for payment to Trevi via email to: AP@TreviTherapeutics.com and cc: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Jennifer.Good@TreviTherapeutics.com including reference to Trevi Project Name and description of services performed.</w:t>
      </w:r>
    </w:p>
    <w:p>
      <w:pPr>
        <w:spacing w:after="0" w:line="231" w:lineRule="auto"/>
        <w:rPr>
          <w:sz w:val="20"/>
          <w:szCs w:val="20"/>
          <w:color w:val="auto"/>
        </w:rPr>
      </w:pPr>
      <w:r>
        <w:rPr>
          <w:rFonts w:ascii="Times New Roman" w:cs="Times New Roman" w:eastAsia="Times New Roman" w:hAnsi="Times New Roman"/>
          <w:sz w:val="22"/>
          <w:szCs w:val="22"/>
          <w:color w:val="auto"/>
        </w:rPr>
        <w:t>Trevi pays via ACH for Domestic banks. Please insert Consultant’s applicable bank account information.</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U.S Payments via ACH:</w:t>
      </w:r>
    </w:p>
    <w:p>
      <w:pPr>
        <w:spacing w:after="0" w:line="231" w:lineRule="auto"/>
        <w:rPr>
          <w:sz w:val="20"/>
          <w:szCs w:val="20"/>
          <w:color w:val="auto"/>
        </w:rPr>
      </w:pPr>
      <w:r>
        <w:rPr>
          <w:rFonts w:ascii="Times New Roman" w:cs="Times New Roman" w:eastAsia="Times New Roman" w:hAnsi="Times New Roman"/>
          <w:sz w:val="22"/>
          <w:szCs w:val="22"/>
          <w:color w:val="auto"/>
        </w:rPr>
        <w:t>Bank Account Number:</w:t>
      </w:r>
    </w:p>
    <w:p>
      <w:pPr>
        <w:spacing w:after="0" w:line="230" w:lineRule="auto"/>
        <w:rPr>
          <w:sz w:val="20"/>
          <w:szCs w:val="20"/>
          <w:color w:val="auto"/>
        </w:rPr>
      </w:pPr>
      <w:r>
        <w:rPr>
          <w:rFonts w:ascii="Times New Roman" w:cs="Times New Roman" w:eastAsia="Times New Roman" w:hAnsi="Times New Roman"/>
          <w:sz w:val="22"/>
          <w:szCs w:val="22"/>
          <w:color w:val="auto"/>
        </w:rPr>
        <w:t>Bank Routing Number for ACH payments:</w:t>
      </w:r>
    </w:p>
    <w:p>
      <w:pPr>
        <w:spacing w:after="0" w:line="231" w:lineRule="auto"/>
        <w:rPr>
          <w:sz w:val="20"/>
          <w:szCs w:val="20"/>
          <w:color w:val="auto"/>
        </w:rPr>
      </w:pPr>
      <w:r>
        <w:rPr>
          <w:rFonts w:ascii="Times New Roman" w:cs="Times New Roman" w:eastAsia="Times New Roman" w:hAnsi="Times New Roman"/>
          <w:sz w:val="22"/>
          <w:szCs w:val="22"/>
          <w:color w:val="auto"/>
        </w:rPr>
        <w:t>Type of Account (checking or savings):</w:t>
      </w:r>
    </w:p>
    <w:p>
      <w:pPr>
        <w:spacing w:after="0"/>
        <w:rPr>
          <w:sz w:val="20"/>
          <w:szCs w:val="20"/>
          <w:color w:val="auto"/>
        </w:rPr>
      </w:pPr>
      <w:r>
        <w:rPr>
          <w:rFonts w:ascii="Times New Roman" w:cs="Times New Roman" w:eastAsia="Times New Roman" w:hAnsi="Times New Roman"/>
          <w:sz w:val="22"/>
          <w:szCs w:val="22"/>
          <w:color w:val="auto"/>
        </w:rPr>
        <w:t>Is this a Business or Personal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1165860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1404" w:right="107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Data Processing Addendum (Freelancers)</w:t>
      </w:r>
    </w:p>
    <w:p>
      <w:pPr>
        <w:spacing w:after="0" w:line="229" w:lineRule="exact"/>
        <w:rPr>
          <w:sz w:val="20"/>
          <w:szCs w:val="20"/>
          <w:color w:val="auto"/>
        </w:rPr>
      </w:pPr>
    </w:p>
    <w:p>
      <w:pPr>
        <w:jc w:val="both"/>
        <w:ind w:firstLine="8"/>
        <w:spacing w:after="0" w:line="250" w:lineRule="auto"/>
        <w:tabs>
          <w:tab w:leader="none" w:pos="198"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Background. </w:t>
      </w:r>
      <w:r>
        <w:rPr>
          <w:rFonts w:ascii="Times New Roman" w:cs="Times New Roman" w:eastAsia="Times New Roman" w:hAnsi="Times New Roman"/>
          <w:sz w:val="20"/>
          <w:szCs w:val="20"/>
          <w:color w:val="231F20"/>
        </w:rPr>
        <w:t>The parties will comply with the terms of this Data Processing Addendum (“DPA”) where the Services involve Processor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231F20"/>
        </w:rPr>
        <w:t xml:space="preserve">Processing Controller’s Personal Data (‘‘Controller Personal Data’’) on behalf of Controller. </w:t>
      </w:r>
      <w:r>
        <w:rPr>
          <w:rFonts w:ascii="Times New Roman" w:cs="Times New Roman" w:eastAsia="Times New Roman" w:hAnsi="Times New Roman"/>
          <w:sz w:val="20"/>
          <w:szCs w:val="20"/>
          <w:color w:val="000000"/>
        </w:rPr>
        <w:t>All terms used in this DPA and not otherwise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defined will have the meaning set forth the European Union’s (EU’s) General Data Protection Regulations (“GDPR”) or the UK General Data Protection Regulation (“UK GDPR”), as applicable. Trevi is the “Controller” and Consultant is the “Processor.”</w:t>
      </w:r>
    </w:p>
    <w:p>
      <w:pPr>
        <w:spacing w:after="0" w:line="189" w:lineRule="exact"/>
        <w:rPr>
          <w:rFonts w:ascii="Times New Roman" w:cs="Times New Roman" w:eastAsia="Times New Roman" w:hAnsi="Times New Roman"/>
          <w:sz w:val="20"/>
          <w:szCs w:val="20"/>
          <w:b w:val="1"/>
          <w:bCs w:val="1"/>
          <w:color w:val="auto"/>
        </w:rPr>
      </w:pPr>
    </w:p>
    <w:p>
      <w:pPr>
        <w:ind w:right="20" w:firstLine="8"/>
        <w:spacing w:after="0" w:line="250" w:lineRule="auto"/>
        <w:tabs>
          <w:tab w:leader="none" w:pos="198"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Nature and Purpose of Data Processing. </w:t>
      </w:r>
      <w:r>
        <w:rPr>
          <w:rFonts w:ascii="Times New Roman" w:cs="Times New Roman" w:eastAsia="Times New Roman" w:hAnsi="Times New Roman"/>
          <w:sz w:val="20"/>
          <w:szCs w:val="20"/>
          <w:color w:val="auto"/>
        </w:rPr>
        <w:t>The subject-matter and duration of the Processing, the nature and purpose of the Processing,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type of Controller Personal Data and categories of Data Subjects are described in Appendix No. 1. </w:t>
      </w:r>
      <w:r>
        <w:rPr>
          <w:rFonts w:ascii="Times New Roman" w:cs="Times New Roman" w:eastAsia="Times New Roman" w:hAnsi="Times New Roman"/>
          <w:sz w:val="20"/>
          <w:szCs w:val="20"/>
          <w:color w:val="231F20"/>
        </w:rPr>
        <w:t>The parties will amend the Agreement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revise Appendix No. 1 as necessary to address any changes to the scope and nature of Services and the associated Processing to be delivered under the Agreement.</w:t>
      </w:r>
    </w:p>
    <w:p>
      <w:pPr>
        <w:spacing w:after="0" w:line="189" w:lineRule="exact"/>
        <w:rPr>
          <w:rFonts w:ascii="Times New Roman" w:cs="Times New Roman" w:eastAsia="Times New Roman" w:hAnsi="Times New Roman"/>
          <w:sz w:val="20"/>
          <w:szCs w:val="20"/>
          <w:b w:val="1"/>
          <w:bCs w:val="1"/>
          <w:color w:val="auto"/>
        </w:rPr>
      </w:pPr>
    </w:p>
    <w:p>
      <w:pPr>
        <w:ind w:right="140" w:firstLine="8"/>
        <w:spacing w:after="0" w:line="245" w:lineRule="auto"/>
        <w:tabs>
          <w:tab w:leader="none" w:pos="198"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Instructions for Processing of Personal Data. </w:t>
      </w:r>
      <w:r>
        <w:rPr>
          <w:rFonts w:ascii="Times New Roman" w:cs="Times New Roman" w:eastAsia="Times New Roman" w:hAnsi="Times New Roman"/>
          <w:sz w:val="20"/>
          <w:szCs w:val="20"/>
          <w:color w:val="auto"/>
        </w:rPr>
        <w:t>Processor will Process Controller Personal Data solely for the purpose of carrying out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obligations under the Agreement and in accordance with all applicable data protection laws and regulations. Processor will Process Controller Personal Data only in accordance with the Controller´s written instructions (“Instructions”), unless required to Process the Controller Personal Data otherwise by EU, UK or Member State law, in which case the Processor will inform the Controller of the legal requirement before performing the Processing. This Section 3 and Appendix No.1 constitute Controller’s complete Instructions to Processor for the Processing of Controller Personal Data under the Agreement. If, in Processor’s opinion, the Instructions from Controller infringe the GDPR, UK GDPR or other EU or Member State data protection provisions, Processor will immediately inform the Controller.</w:t>
      </w:r>
    </w:p>
    <w:p>
      <w:pPr>
        <w:spacing w:after="0" w:line="192" w:lineRule="exact"/>
        <w:rPr>
          <w:rFonts w:ascii="Times New Roman" w:cs="Times New Roman" w:eastAsia="Times New Roman" w:hAnsi="Times New Roman"/>
          <w:sz w:val="20"/>
          <w:szCs w:val="20"/>
          <w:b w:val="1"/>
          <w:bCs w:val="1"/>
          <w:color w:val="auto"/>
        </w:rPr>
      </w:pPr>
    </w:p>
    <w:p>
      <w:pPr>
        <w:ind w:right="40" w:firstLine="8"/>
        <w:spacing w:after="0" w:line="243" w:lineRule="auto"/>
        <w:tabs>
          <w:tab w:leader="none" w:pos="198"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Additional Obligations of Processor. </w:t>
      </w:r>
      <w:r>
        <w:rPr>
          <w:rFonts w:ascii="Times New Roman" w:cs="Times New Roman" w:eastAsia="Times New Roman" w:hAnsi="Times New Roman"/>
          <w:sz w:val="20"/>
          <w:szCs w:val="20"/>
          <w:color w:val="auto"/>
        </w:rPr>
        <w:t>Processor will: (i) ensure that all individuals who are authorized to Process the Controller Personal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Data are subject to confidentiality obligations, that they Process Controller’s Personal Data pursuant to Controller’s Instructions, and that they comply with this DPA; (ii) assist Controller in complying with the rights of Data Subjects as applicable to the Processing performed by Processor; (iii) assist Controller in conducting data protection impact assessments and in obtaining approvals from data protection authorities in connection with the assessments, as applicable to the Processing and where required by the GDPR or UK GDPR; (iv) securely return or destroy, at Controller’s option, Controller Personal Data in Processor’s possession when no longer required to perform the Services; (v) make available to Controller information necessary to demonstrate compliance with applicable date protection laws, including allowing for and cooperating with audits by Controller or its representative; and (vi) notify Controller within 48 hours of any Personal Data Breach, and provide information concerning the Personal Data Breach necessary for Controller to meet its obligations to investigate and provide proper legal notifications.</w:t>
      </w:r>
    </w:p>
    <w:p>
      <w:pPr>
        <w:spacing w:after="0" w:line="200"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Processor will obtain Controller’s prior written consent for the engagement of any Sub-processor to perform processing activities on behalf of Controller. Processor will require each approved Sub-processor to sign a written agreement that includes the same data protection obligations as set forth in this DPA. Processor will not transfer Personal Data of individuals in the European Union, the European Economic Area, the UK or Switzerland from those jurisdictions to a country that has not been determined to have an adequate level of data protection unless Controller approves the transfer in writing and appropriate safeguards for the Personal Data are in place in accordance with applicable date protection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9"/>
          <w:szCs w:val="19"/>
          <w:color w:val="231F20"/>
        </w:rPr>
        <w:t xml:space="preserve">Processor will </w:t>
      </w:r>
      <w:r>
        <w:rPr>
          <w:rFonts w:ascii="Times New Roman" w:cs="Times New Roman" w:eastAsia="Times New Roman" w:hAnsi="Times New Roman"/>
          <w:sz w:val="19"/>
          <w:szCs w:val="19"/>
          <w:color w:val="000000"/>
        </w:rPr>
        <w:t>implement appropriate technical and organizational security measures to protect Controller Personal Data as required under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Article 32 of the GDPR. The </w:t>
      </w:r>
      <w:r>
        <w:rPr>
          <w:rFonts w:ascii="Times New Roman" w:cs="Times New Roman" w:eastAsia="Times New Roman" w:hAnsi="Times New Roman"/>
          <w:sz w:val="20"/>
          <w:szCs w:val="20"/>
          <w:color w:val="231F20"/>
        </w:rPr>
        <w:t>security measures will include, but are not limited to, policies and procedures that address:</w:t>
      </w:r>
    </w:p>
    <w:p>
      <w:pPr>
        <w:spacing w:after="0" w:line="221" w:lineRule="exact"/>
        <w:rPr>
          <w:sz w:val="20"/>
          <w:szCs w:val="20"/>
          <w:color w:val="auto"/>
        </w:rPr>
      </w:pPr>
    </w:p>
    <w:p>
      <w:pPr>
        <w:ind w:left="1760" w:hanging="749"/>
        <w:spacing w:after="0"/>
        <w:tabs>
          <w:tab w:leader="none" w:pos="1760" w:val="left"/>
        </w:tabs>
        <w:numPr>
          <w:ilvl w:val="0"/>
          <w:numId w:val="63"/>
        </w:numPr>
        <w:rPr>
          <w:rFonts w:ascii="Times New Roman" w:cs="Times New Roman" w:eastAsia="Times New Roman" w:hAnsi="Times New Roman"/>
          <w:sz w:val="22"/>
          <w:szCs w:val="22"/>
          <w:color w:val="231F20"/>
        </w:rPr>
      </w:pPr>
      <w:r>
        <w:rPr>
          <w:rFonts w:ascii="Times New Roman" w:cs="Times New Roman" w:eastAsia="Times New Roman" w:hAnsi="Times New Roman"/>
          <w:sz w:val="20"/>
          <w:szCs w:val="20"/>
          <w:color w:val="auto"/>
        </w:rPr>
        <w:t>pseudonymisation or encryption of Controller Personal Data;</w:t>
      </w:r>
    </w:p>
    <w:p>
      <w:pPr>
        <w:spacing w:after="0" w:line="11" w:lineRule="exact"/>
        <w:rPr>
          <w:rFonts w:ascii="Times New Roman" w:cs="Times New Roman" w:eastAsia="Times New Roman" w:hAnsi="Times New Roman"/>
          <w:sz w:val="22"/>
          <w:szCs w:val="22"/>
          <w:color w:val="231F20"/>
        </w:rPr>
      </w:pPr>
    </w:p>
    <w:p>
      <w:pPr>
        <w:ind w:left="1760" w:hanging="749"/>
        <w:spacing w:after="0" w:line="224" w:lineRule="auto"/>
        <w:tabs>
          <w:tab w:leader="none" w:pos="1760" w:val="left"/>
        </w:tabs>
        <w:numPr>
          <w:ilvl w:val="0"/>
          <w:numId w:val="63"/>
        </w:numPr>
        <w:rPr>
          <w:rFonts w:ascii="Times New Roman" w:cs="Times New Roman" w:eastAsia="Times New Roman" w:hAnsi="Times New Roman"/>
          <w:sz w:val="22"/>
          <w:szCs w:val="22"/>
          <w:color w:val="231F20"/>
        </w:rPr>
      </w:pPr>
      <w:r>
        <w:rPr>
          <w:rFonts w:ascii="Times New Roman" w:cs="Times New Roman" w:eastAsia="Times New Roman" w:hAnsi="Times New Roman"/>
          <w:sz w:val="20"/>
          <w:szCs w:val="20"/>
          <w:color w:val="auto"/>
        </w:rPr>
        <w:t>the confidentiality, integrity, availability and resilience of Processing systems and services;</w:t>
      </w:r>
    </w:p>
    <w:p>
      <w:pPr>
        <w:spacing w:after="0" w:line="6" w:lineRule="exact"/>
        <w:rPr>
          <w:rFonts w:ascii="Times New Roman" w:cs="Times New Roman" w:eastAsia="Times New Roman" w:hAnsi="Times New Roman"/>
          <w:sz w:val="22"/>
          <w:szCs w:val="22"/>
          <w:color w:val="231F20"/>
        </w:rPr>
      </w:pPr>
    </w:p>
    <w:p>
      <w:pPr>
        <w:ind w:left="1760" w:right="320" w:hanging="749"/>
        <w:spacing w:after="0" w:line="231" w:lineRule="auto"/>
        <w:tabs>
          <w:tab w:leader="none" w:pos="1760" w:val="left"/>
        </w:tabs>
        <w:numPr>
          <w:ilvl w:val="0"/>
          <w:numId w:val="63"/>
        </w:numPr>
        <w:rPr>
          <w:rFonts w:ascii="Times New Roman" w:cs="Times New Roman" w:eastAsia="Times New Roman" w:hAnsi="Times New Roman"/>
          <w:sz w:val="22"/>
          <w:szCs w:val="22"/>
          <w:color w:val="231F20"/>
        </w:rPr>
      </w:pPr>
      <w:r>
        <w:rPr>
          <w:rFonts w:ascii="Times New Roman" w:cs="Times New Roman" w:eastAsia="Times New Roman" w:hAnsi="Times New Roman"/>
          <w:sz w:val="20"/>
          <w:szCs w:val="20"/>
          <w:color w:val="auto"/>
        </w:rPr>
        <w:t>the availability of and access to Controller Personal Data in a timely manner following any physical or technical incident; and</w:t>
      </w:r>
    </w:p>
    <w:p>
      <w:pPr>
        <w:spacing w:after="0" w:line="1" w:lineRule="exact"/>
        <w:rPr>
          <w:rFonts w:ascii="Times New Roman" w:cs="Times New Roman" w:eastAsia="Times New Roman" w:hAnsi="Times New Roman"/>
          <w:sz w:val="22"/>
          <w:szCs w:val="22"/>
          <w:color w:val="231F20"/>
        </w:rPr>
      </w:pPr>
    </w:p>
    <w:p>
      <w:pPr>
        <w:ind w:left="1760" w:right="880" w:hanging="749"/>
        <w:spacing w:after="0" w:line="234" w:lineRule="auto"/>
        <w:tabs>
          <w:tab w:leader="none" w:pos="1760" w:val="left"/>
        </w:tabs>
        <w:numPr>
          <w:ilvl w:val="0"/>
          <w:numId w:val="63"/>
        </w:numPr>
        <w:rPr>
          <w:rFonts w:ascii="Times New Roman" w:cs="Times New Roman" w:eastAsia="Times New Roman" w:hAnsi="Times New Roman"/>
          <w:sz w:val="22"/>
          <w:szCs w:val="22"/>
          <w:color w:val="231F20"/>
        </w:rPr>
      </w:pPr>
      <w:r>
        <w:rPr>
          <w:rFonts w:ascii="Times New Roman" w:cs="Times New Roman" w:eastAsia="Times New Roman" w:hAnsi="Times New Roman"/>
          <w:sz w:val="20"/>
          <w:szCs w:val="20"/>
          <w:color w:val="auto"/>
        </w:rPr>
        <w:t>regular testing, assessing, evaluating and remediating, as necessary, the effectiveness of the technical and organizational security measures for ensuring the security of the Processing.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13" w:right="619" w:bottom="1440" w:gutter="0" w:footer="0" w:header="0"/>
        </w:sectPr>
      </w:pPr>
    </w:p>
    <w:bookmarkStart w:id="89" w:name="page90"/>
    <w:bookmarkEnd w:id="89"/>
    <w:tbl>
      <w:tblPr>
        <w:tblLayout w:type="fixed"/>
        <w:tblInd w:w="10" w:type="dxa"/>
        <w:tblCellMar>
          <w:top w:w="0" w:type="dxa"/>
          <w:left w:w="0" w:type="dxa"/>
          <w:bottom w:w="0" w:type="dxa"/>
          <w:right w:w="0" w:type="dxa"/>
        </w:tblCellMar>
      </w:tblPr>
      <w:tr>
        <w:trPr>
          <w:trHeight w:val="230"/>
        </w:trPr>
        <w:tc>
          <w:tcPr>
            <w:tcW w:w="6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Appendix No. 1 to Exhibit B - DPA</w:t>
            </w:r>
          </w:p>
        </w:tc>
        <w:tc>
          <w:tcPr>
            <w:tcW w:w="0" w:type="dxa"/>
            <w:vAlign w:val="bottom"/>
          </w:tcPr>
          <w:p>
            <w:pPr>
              <w:spacing w:after="0"/>
              <w:rPr>
                <w:sz w:val="1"/>
                <w:szCs w:val="1"/>
                <w:color w:val="auto"/>
              </w:rPr>
            </w:pPr>
          </w:p>
        </w:tc>
      </w:tr>
      <w:tr>
        <w:trPr>
          <w:trHeight w:val="267"/>
        </w:trPr>
        <w:tc>
          <w:tcPr>
            <w:tcW w:w="68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20" w:type="dxa"/>
            <w:vAlign w:val="bottom"/>
            <w:tcBorders>
              <w:top w:val="single" w:sz="8" w:color="auto"/>
              <w:bottom w:val="single" w:sz="8" w:color="auto"/>
            </w:tcBorders>
          </w:tcPr>
          <w:p>
            <w:pPr>
              <w:spacing w:after="0"/>
              <w:rPr>
                <w:sz w:val="23"/>
                <w:szCs w:val="23"/>
                <w:color w:val="auto"/>
              </w:rPr>
            </w:pPr>
          </w:p>
        </w:tc>
        <w:tc>
          <w:tcPr>
            <w:tcW w:w="1620" w:type="dxa"/>
            <w:vAlign w:val="bottom"/>
            <w:tcBorders>
              <w:top w:val="single" w:sz="8" w:color="auto"/>
              <w:bottom w:val="single" w:sz="8" w:color="auto"/>
            </w:tcBorders>
          </w:tcPr>
          <w:p>
            <w:pPr>
              <w:spacing w:after="0"/>
              <w:rPr>
                <w:sz w:val="23"/>
                <w:szCs w:val="23"/>
                <w:color w:val="auto"/>
              </w:rPr>
            </w:pPr>
          </w:p>
        </w:tc>
        <w:tc>
          <w:tcPr>
            <w:tcW w:w="24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78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0"/>
                <w:szCs w:val="20"/>
                <w:color w:val="auto"/>
              </w:rPr>
              <w:t>Subject Matter of Processing:</w:t>
            </w:r>
          </w:p>
        </w:tc>
        <w:tc>
          <w:tcPr>
            <w:tcW w:w="74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0"/>
                <w:szCs w:val="20"/>
                <w:color w:val="auto"/>
              </w:rPr>
              <w:t>The performance of the Services under the Agreement</w:t>
            </w:r>
          </w:p>
        </w:tc>
        <w:tc>
          <w:tcPr>
            <w:tcW w:w="0" w:type="dxa"/>
            <w:vAlign w:val="bottom"/>
          </w:tcPr>
          <w:p>
            <w:pPr>
              <w:spacing w:after="0"/>
              <w:rPr>
                <w:sz w:val="1"/>
                <w:szCs w:val="1"/>
                <w:color w:val="auto"/>
              </w:rPr>
            </w:pPr>
          </w:p>
        </w:tc>
      </w:tr>
      <w:tr>
        <w:trPr>
          <w:trHeight w:val="120"/>
        </w:trPr>
        <w:tc>
          <w:tcPr>
            <w:tcW w:w="680" w:type="dxa"/>
            <w:vAlign w:val="bottom"/>
            <w:tcBorders>
              <w:left w:val="single" w:sz="8" w:color="auto"/>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3780" w:type="dxa"/>
            <w:vAlign w:val="bottom"/>
            <w:tcBorders>
              <w:left w:val="single" w:sz="8" w:color="auto"/>
              <w:right w:val="single" w:sz="8" w:color="auto"/>
            </w:tcBorders>
            <w:gridSpan w:val="3"/>
          </w:tcPr>
          <w:p>
            <w:pPr>
              <w:ind w:left="120"/>
              <w:spacing w:after="0" w:line="197" w:lineRule="exact"/>
              <w:rPr>
                <w:sz w:val="20"/>
                <w:szCs w:val="20"/>
                <w:color w:val="auto"/>
              </w:rPr>
            </w:pPr>
            <w:r>
              <w:rPr>
                <w:rFonts w:ascii="Times New Roman" w:cs="Times New Roman" w:eastAsia="Times New Roman" w:hAnsi="Times New Roman"/>
                <w:sz w:val="20"/>
                <w:szCs w:val="20"/>
                <w:color w:val="auto"/>
              </w:rPr>
              <w:t>Duration of Processing:</w:t>
            </w:r>
          </w:p>
        </w:tc>
        <w:tc>
          <w:tcPr>
            <w:tcW w:w="7460" w:type="dxa"/>
            <w:vAlign w:val="bottom"/>
            <w:tcBorders>
              <w:right w:val="single" w:sz="8" w:color="auto"/>
            </w:tcBorders>
            <w:gridSpan w:val="5"/>
          </w:tcPr>
          <w:p>
            <w:pPr>
              <w:ind w:left="60"/>
              <w:spacing w:after="0" w:line="197" w:lineRule="exact"/>
              <w:rPr>
                <w:sz w:val="20"/>
                <w:szCs w:val="20"/>
                <w:color w:val="auto"/>
              </w:rPr>
            </w:pPr>
            <w:r>
              <w:rPr>
                <w:rFonts w:ascii="Times New Roman" w:cs="Times New Roman" w:eastAsia="Times New Roman" w:hAnsi="Times New Roman"/>
                <w:sz w:val="20"/>
                <w:szCs w:val="20"/>
                <w:color w:val="auto"/>
              </w:rPr>
              <w:t>Until the earlier of the completion of the delivery of the Services or upon termination of the</w:t>
            </w:r>
          </w:p>
        </w:tc>
        <w:tc>
          <w:tcPr>
            <w:tcW w:w="0" w:type="dxa"/>
            <w:vAlign w:val="bottom"/>
          </w:tcPr>
          <w:p>
            <w:pPr>
              <w:spacing w:after="0"/>
              <w:rPr>
                <w:sz w:val="1"/>
                <w:szCs w:val="1"/>
                <w:color w:val="auto"/>
              </w:rPr>
            </w:pPr>
          </w:p>
        </w:tc>
      </w:tr>
      <w:tr>
        <w:trPr>
          <w:trHeight w:val="258"/>
        </w:trPr>
        <w:tc>
          <w:tcPr>
            <w:tcW w:w="680" w:type="dxa"/>
            <w:vAlign w:val="bottom"/>
            <w:tcBorders>
              <w:left w:val="single" w:sz="8" w:color="auto"/>
            </w:tcBorders>
          </w:tcPr>
          <w:p>
            <w:pPr>
              <w:spacing w:after="0"/>
              <w:rPr>
                <w:sz w:val="22"/>
                <w:szCs w:val="22"/>
                <w:color w:val="auto"/>
              </w:rPr>
            </w:pPr>
          </w:p>
        </w:tc>
        <w:tc>
          <w:tcPr>
            <w:tcW w:w="2400" w:type="dxa"/>
            <w:vAlign w:val="bottom"/>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74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0"/>
                <w:szCs w:val="20"/>
                <w:color w:val="auto"/>
              </w:rPr>
              <w:t>Agreement</w:t>
            </w:r>
          </w:p>
        </w:tc>
        <w:tc>
          <w:tcPr>
            <w:tcW w:w="0" w:type="dxa"/>
            <w:vAlign w:val="bottom"/>
          </w:tcPr>
          <w:p>
            <w:pPr>
              <w:spacing w:after="0"/>
              <w:rPr>
                <w:sz w:val="1"/>
                <w:szCs w:val="1"/>
                <w:color w:val="auto"/>
              </w:rPr>
            </w:pPr>
          </w:p>
        </w:tc>
      </w:tr>
      <w:tr>
        <w:trPr>
          <w:trHeight w:val="115"/>
        </w:trPr>
        <w:tc>
          <w:tcPr>
            <w:tcW w:w="680" w:type="dxa"/>
            <w:vAlign w:val="bottom"/>
            <w:tcBorders>
              <w:left w:val="single" w:sz="8" w:color="auto"/>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3780" w:type="dxa"/>
            <w:vAlign w:val="bottom"/>
            <w:tcBorders>
              <w:left w:val="single" w:sz="8" w:color="auto"/>
              <w:right w:val="single" w:sz="8" w:color="auto"/>
            </w:tcBorders>
            <w:gridSpan w:val="3"/>
          </w:tcPr>
          <w:p>
            <w:pPr>
              <w:ind w:left="120"/>
              <w:spacing w:after="0" w:line="213" w:lineRule="exact"/>
              <w:rPr>
                <w:sz w:val="20"/>
                <w:szCs w:val="20"/>
                <w:color w:val="auto"/>
              </w:rPr>
            </w:pPr>
            <w:r>
              <w:rPr>
                <w:rFonts w:ascii="Times New Roman" w:cs="Times New Roman" w:eastAsia="Times New Roman" w:hAnsi="Times New Roman"/>
                <w:sz w:val="20"/>
                <w:szCs w:val="20"/>
                <w:color w:val="auto"/>
              </w:rPr>
              <w:t>Nature and Purpose of Processing:</w:t>
            </w:r>
          </w:p>
        </w:tc>
        <w:tc>
          <w:tcPr>
            <w:tcW w:w="7460" w:type="dxa"/>
            <w:vAlign w:val="bottom"/>
            <w:tcBorders>
              <w:right w:val="single" w:sz="8" w:color="auto"/>
            </w:tcBorders>
            <w:gridSpan w:val="5"/>
          </w:tcPr>
          <w:p>
            <w:pPr>
              <w:ind w:left="60"/>
              <w:spacing w:after="0" w:line="213" w:lineRule="exact"/>
              <w:rPr>
                <w:sz w:val="20"/>
                <w:szCs w:val="20"/>
                <w:color w:val="auto"/>
              </w:rPr>
            </w:pPr>
            <w:r>
              <w:rPr>
                <w:rFonts w:ascii="Times New Roman" w:cs="Times New Roman" w:eastAsia="Times New Roman" w:hAnsi="Times New Roman"/>
                <w:sz w:val="20"/>
                <w:szCs w:val="20"/>
                <w:color w:val="auto"/>
              </w:rPr>
              <w:t xml:space="preserve">The purpose of the Processing is for the completion of certain services </w:t>
            </w:r>
            <w:r>
              <w:rPr>
                <w:rFonts w:ascii="Times New Roman" w:cs="Times New Roman" w:eastAsia="Times New Roman" w:hAnsi="Times New Roman"/>
                <w:sz w:val="20"/>
                <w:szCs w:val="20"/>
                <w:color w:val="231F20"/>
              </w:rPr>
              <w:t>in connection with</w:t>
            </w:r>
          </w:p>
        </w:tc>
        <w:tc>
          <w:tcPr>
            <w:tcW w:w="0" w:type="dxa"/>
            <w:vAlign w:val="bottom"/>
          </w:tcPr>
          <w:p>
            <w:pPr>
              <w:spacing w:after="0"/>
              <w:rPr>
                <w:sz w:val="1"/>
                <w:szCs w:val="1"/>
                <w:color w:val="auto"/>
              </w:rPr>
            </w:pPr>
          </w:p>
        </w:tc>
      </w:tr>
      <w:tr>
        <w:trPr>
          <w:trHeight w:val="258"/>
        </w:trPr>
        <w:tc>
          <w:tcPr>
            <w:tcW w:w="680" w:type="dxa"/>
            <w:vAlign w:val="bottom"/>
            <w:tcBorders>
              <w:left w:val="single" w:sz="8" w:color="auto"/>
            </w:tcBorders>
          </w:tcPr>
          <w:p>
            <w:pPr>
              <w:spacing w:after="0"/>
              <w:rPr>
                <w:sz w:val="22"/>
                <w:szCs w:val="22"/>
                <w:color w:val="auto"/>
              </w:rPr>
            </w:pPr>
          </w:p>
        </w:tc>
        <w:tc>
          <w:tcPr>
            <w:tcW w:w="2400" w:type="dxa"/>
            <w:vAlign w:val="bottom"/>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74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0"/>
                <w:szCs w:val="20"/>
                <w:color w:val="231F20"/>
              </w:rPr>
              <w:t>Controller’s clinical trials. Processor will perform the following specific Processing:</w:t>
            </w:r>
          </w:p>
        </w:tc>
        <w:tc>
          <w:tcPr>
            <w:tcW w:w="0" w:type="dxa"/>
            <w:vAlign w:val="bottom"/>
          </w:tcPr>
          <w:p>
            <w:pPr>
              <w:spacing w:after="0"/>
              <w:rPr>
                <w:sz w:val="1"/>
                <w:szCs w:val="1"/>
                <w:color w:val="auto"/>
              </w:rPr>
            </w:pPr>
          </w:p>
        </w:tc>
      </w:tr>
      <w:tr>
        <w:trPr>
          <w:trHeight w:val="459"/>
        </w:trPr>
        <w:tc>
          <w:tcPr>
            <w:tcW w:w="680" w:type="dxa"/>
            <w:vAlign w:val="bottom"/>
            <w:tcBorders>
              <w:left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0"/>
                <w:szCs w:val="20"/>
                <w:b w:val="1"/>
                <w:bCs w:val="1"/>
                <w:color w:val="auto"/>
              </w:rPr>
              <w:t>Consulting services related to Trevi clinical studies and products</w:t>
            </w:r>
          </w:p>
        </w:tc>
        <w:tc>
          <w:tcPr>
            <w:tcW w:w="0" w:type="dxa"/>
            <w:vAlign w:val="bottom"/>
          </w:tcPr>
          <w:p>
            <w:pPr>
              <w:spacing w:after="0"/>
              <w:rPr>
                <w:sz w:val="1"/>
                <w:szCs w:val="1"/>
                <w:color w:val="auto"/>
              </w:rPr>
            </w:pPr>
          </w:p>
        </w:tc>
      </w:tr>
      <w:tr>
        <w:trPr>
          <w:trHeight w:val="116"/>
        </w:trPr>
        <w:tc>
          <w:tcPr>
            <w:tcW w:w="680" w:type="dxa"/>
            <w:vAlign w:val="bottom"/>
            <w:tcBorders>
              <w:left w:val="single" w:sz="8" w:color="auto"/>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8"/>
        </w:trPr>
        <w:tc>
          <w:tcPr>
            <w:tcW w:w="680" w:type="dxa"/>
            <w:vAlign w:val="bottom"/>
            <w:tcBorders>
              <w:left w:val="single" w:sz="8" w:color="auto"/>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780" w:type="dxa"/>
            <w:vAlign w:val="bottom"/>
            <w:tcBorders>
              <w:left w:val="single" w:sz="8" w:color="auto"/>
              <w:right w:val="single" w:sz="8" w:color="auto"/>
            </w:tcBorders>
            <w:gridSpan w:val="3"/>
          </w:tcPr>
          <w:p>
            <w:pPr>
              <w:ind w:left="680"/>
              <w:spacing w:after="0" w:line="196" w:lineRule="exact"/>
              <w:rPr>
                <w:sz w:val="20"/>
                <w:szCs w:val="20"/>
                <w:color w:val="auto"/>
              </w:rPr>
            </w:pPr>
            <w:r>
              <w:rPr>
                <w:rFonts w:ascii="Times New Roman" w:cs="Times New Roman" w:eastAsia="Times New Roman" w:hAnsi="Times New Roman"/>
                <w:sz w:val="20"/>
                <w:szCs w:val="20"/>
                <w:b w:val="1"/>
                <w:bCs w:val="1"/>
                <w:color w:val="auto"/>
              </w:rPr>
              <w:t>Categories of Data Subjects:</w:t>
            </w:r>
          </w:p>
        </w:tc>
        <w:tc>
          <w:tcPr>
            <w:tcW w:w="380" w:type="dxa"/>
            <w:vAlign w:val="bottom"/>
          </w:tcPr>
          <w:p>
            <w:pPr>
              <w:spacing w:after="0"/>
              <w:rPr>
                <w:sz w:val="17"/>
                <w:szCs w:val="17"/>
                <w:color w:val="auto"/>
              </w:rPr>
            </w:pPr>
          </w:p>
        </w:tc>
        <w:tc>
          <w:tcPr>
            <w:tcW w:w="7080" w:type="dxa"/>
            <w:vAlign w:val="bottom"/>
            <w:tcBorders>
              <w:right w:val="single" w:sz="8" w:color="auto"/>
            </w:tcBorders>
            <w:gridSpan w:val="4"/>
          </w:tcPr>
          <w:p>
            <w:pPr>
              <w:ind w:left="1320"/>
              <w:spacing w:after="0" w:line="196" w:lineRule="exact"/>
              <w:rPr>
                <w:sz w:val="20"/>
                <w:szCs w:val="20"/>
                <w:color w:val="auto"/>
              </w:rPr>
            </w:pPr>
            <w:r>
              <w:rPr>
                <w:rFonts w:ascii="Times New Roman" w:cs="Times New Roman" w:eastAsia="Times New Roman" w:hAnsi="Times New Roman"/>
                <w:sz w:val="20"/>
                <w:szCs w:val="20"/>
                <w:b w:val="1"/>
                <w:bCs w:val="1"/>
                <w:color w:val="auto"/>
              </w:rPr>
              <w:t>Types of Personal Data Processed May Include:</w:t>
            </w:r>
          </w:p>
        </w:tc>
        <w:tc>
          <w:tcPr>
            <w:tcW w:w="0" w:type="dxa"/>
            <w:vAlign w:val="bottom"/>
          </w:tcPr>
          <w:p>
            <w:pPr>
              <w:spacing w:after="0"/>
              <w:rPr>
                <w:sz w:val="1"/>
                <w:szCs w:val="1"/>
                <w:color w:val="auto"/>
              </w:rPr>
            </w:pPr>
          </w:p>
        </w:tc>
      </w:tr>
      <w:tr>
        <w:trPr>
          <w:trHeight w:val="142"/>
        </w:trPr>
        <w:tc>
          <w:tcPr>
            <w:tcW w:w="680" w:type="dxa"/>
            <w:vAlign w:val="bottom"/>
            <w:tcBorders>
              <w:left w:val="single" w:sz="8" w:color="auto"/>
              <w:bottom w:val="single" w:sz="8" w:color="auto"/>
            </w:tcBorders>
          </w:tcPr>
          <w:p>
            <w:pPr>
              <w:spacing w:after="0"/>
              <w:rPr>
                <w:sz w:val="12"/>
                <w:szCs w:val="12"/>
                <w:color w:val="auto"/>
              </w:rPr>
            </w:pPr>
          </w:p>
        </w:tc>
        <w:tc>
          <w:tcPr>
            <w:tcW w:w="2400" w:type="dxa"/>
            <w:vAlign w:val="bottom"/>
            <w:tcBorders>
              <w:top w:val="single" w:sz="8" w:color="auto"/>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spacing w:after="0"/>
              <w:rPr>
                <w:sz w:val="12"/>
                <w:szCs w:val="12"/>
                <w:color w:val="auto"/>
              </w:rPr>
            </w:pPr>
          </w:p>
        </w:tc>
        <w:tc>
          <w:tcPr>
            <w:tcW w:w="2400" w:type="dxa"/>
            <w:vAlign w:val="bottom"/>
            <w:tcBorders>
              <w:top w:val="single" w:sz="8" w:color="auto"/>
              <w:bottom w:val="single" w:sz="8" w:color="auto"/>
            </w:tcBorders>
          </w:tcPr>
          <w:p>
            <w:pPr>
              <w:spacing w:after="0"/>
              <w:rPr>
                <w:sz w:val="12"/>
                <w:szCs w:val="12"/>
                <w:color w:val="auto"/>
              </w:rPr>
            </w:pPr>
          </w:p>
        </w:tc>
        <w:tc>
          <w:tcPr>
            <w:tcW w:w="1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378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0"/>
                <w:szCs w:val="20"/>
                <w:color w:val="auto"/>
              </w:rPr>
              <w:t>Clinical trial participants (all studies)</w:t>
            </w:r>
          </w:p>
        </w:tc>
        <w:tc>
          <w:tcPr>
            <w:tcW w:w="74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0"/>
                <w:szCs w:val="20"/>
                <w:color w:val="auto"/>
              </w:rPr>
              <w:t>Year of Birth</w:t>
            </w:r>
          </w:p>
        </w:tc>
        <w:tc>
          <w:tcPr>
            <w:tcW w:w="0" w:type="dxa"/>
            <w:vAlign w:val="bottom"/>
          </w:tcPr>
          <w:p>
            <w:pPr>
              <w:spacing w:after="0"/>
              <w:rPr>
                <w:sz w:val="1"/>
                <w:szCs w:val="1"/>
                <w:color w:val="auto"/>
              </w:rPr>
            </w:pPr>
          </w:p>
        </w:tc>
      </w:tr>
      <w:tr>
        <w:trPr>
          <w:trHeight w:val="328"/>
        </w:trPr>
        <w:tc>
          <w:tcPr>
            <w:tcW w:w="680" w:type="dxa"/>
            <w:vAlign w:val="bottom"/>
            <w:tcBorders>
              <w:left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0"/>
                <w:szCs w:val="20"/>
                <w:color w:val="auto"/>
              </w:rPr>
              <w:t>Subject Number</w:t>
            </w:r>
          </w:p>
        </w:tc>
        <w:tc>
          <w:tcPr>
            <w:tcW w:w="0" w:type="dxa"/>
            <w:vAlign w:val="bottom"/>
          </w:tcPr>
          <w:p>
            <w:pPr>
              <w:spacing w:after="0"/>
              <w:rPr>
                <w:sz w:val="1"/>
                <w:szCs w:val="1"/>
                <w:color w:val="auto"/>
              </w:rPr>
            </w:pPr>
          </w:p>
        </w:tc>
      </w:tr>
      <w:tr>
        <w:trPr>
          <w:trHeight w:val="338"/>
        </w:trPr>
        <w:tc>
          <w:tcPr>
            <w:tcW w:w="680" w:type="dxa"/>
            <w:vAlign w:val="bottom"/>
            <w:tcBorders>
              <w:left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0"/>
                <w:szCs w:val="20"/>
                <w:color w:val="auto"/>
              </w:rPr>
              <w:t>Randomization Number</w:t>
            </w:r>
          </w:p>
        </w:tc>
        <w:tc>
          <w:tcPr>
            <w:tcW w:w="0" w:type="dxa"/>
            <w:vAlign w:val="bottom"/>
          </w:tcPr>
          <w:p>
            <w:pPr>
              <w:spacing w:after="0"/>
              <w:rPr>
                <w:sz w:val="1"/>
                <w:szCs w:val="1"/>
                <w:color w:val="auto"/>
              </w:rPr>
            </w:pPr>
          </w:p>
        </w:tc>
      </w:tr>
      <w:tr>
        <w:trPr>
          <w:trHeight w:val="338"/>
        </w:trPr>
        <w:tc>
          <w:tcPr>
            <w:tcW w:w="680" w:type="dxa"/>
            <w:vAlign w:val="bottom"/>
            <w:tcBorders>
              <w:left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0"/>
                <w:szCs w:val="20"/>
                <w:color w:val="auto"/>
              </w:rPr>
              <w:t>Study Visit Dates</w:t>
            </w:r>
          </w:p>
        </w:tc>
        <w:tc>
          <w:tcPr>
            <w:tcW w:w="0" w:type="dxa"/>
            <w:vAlign w:val="bottom"/>
          </w:tcPr>
          <w:p>
            <w:pPr>
              <w:spacing w:after="0"/>
              <w:rPr>
                <w:sz w:val="1"/>
                <w:szCs w:val="1"/>
                <w:color w:val="auto"/>
              </w:rPr>
            </w:pPr>
          </w:p>
        </w:tc>
      </w:tr>
      <w:tr>
        <w:trPr>
          <w:trHeight w:val="338"/>
        </w:trPr>
        <w:tc>
          <w:tcPr>
            <w:tcW w:w="680" w:type="dxa"/>
            <w:vAlign w:val="bottom"/>
            <w:tcBorders>
              <w:left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0"/>
                <w:szCs w:val="20"/>
                <w:color w:val="auto"/>
              </w:rPr>
              <w:t>Treatment Assignment</w:t>
            </w:r>
          </w:p>
        </w:tc>
        <w:tc>
          <w:tcPr>
            <w:tcW w:w="0" w:type="dxa"/>
            <w:vAlign w:val="bottom"/>
          </w:tcPr>
          <w:p>
            <w:pPr>
              <w:spacing w:after="0"/>
              <w:rPr>
                <w:sz w:val="1"/>
                <w:szCs w:val="1"/>
                <w:color w:val="auto"/>
              </w:rPr>
            </w:pPr>
          </w:p>
        </w:tc>
      </w:tr>
      <w:tr>
        <w:trPr>
          <w:trHeight w:val="338"/>
        </w:trPr>
        <w:tc>
          <w:tcPr>
            <w:tcW w:w="680" w:type="dxa"/>
            <w:vAlign w:val="bottom"/>
            <w:tcBorders>
              <w:left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0"/>
                <w:szCs w:val="20"/>
                <w:color w:val="auto"/>
              </w:rPr>
              <w:t>Medical information related to safety reporting and unblinded status of consultant</w:t>
            </w:r>
          </w:p>
        </w:tc>
        <w:tc>
          <w:tcPr>
            <w:tcW w:w="0" w:type="dxa"/>
            <w:vAlign w:val="bottom"/>
          </w:tcPr>
          <w:p>
            <w:pPr>
              <w:spacing w:after="0"/>
              <w:rPr>
                <w:sz w:val="1"/>
                <w:szCs w:val="1"/>
                <w:color w:val="auto"/>
              </w:rPr>
            </w:pPr>
          </w:p>
        </w:tc>
      </w:tr>
      <w:tr>
        <w:trPr>
          <w:trHeight w:val="115"/>
        </w:trPr>
        <w:tc>
          <w:tcPr>
            <w:tcW w:w="680" w:type="dxa"/>
            <w:vAlign w:val="bottom"/>
            <w:tcBorders>
              <w:left w:val="single" w:sz="8" w:color="auto"/>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378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0"/>
                <w:szCs w:val="20"/>
                <w:color w:val="auto"/>
              </w:rPr>
              <w:t>Clinical trial site personnel (all studies)</w:t>
            </w:r>
          </w:p>
        </w:tc>
        <w:tc>
          <w:tcPr>
            <w:tcW w:w="74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0"/>
                <w:szCs w:val="20"/>
                <w:color w:val="auto"/>
              </w:rPr>
              <w:t>Physician Name/Title</w:t>
            </w:r>
          </w:p>
        </w:tc>
        <w:tc>
          <w:tcPr>
            <w:tcW w:w="0" w:type="dxa"/>
            <w:vAlign w:val="bottom"/>
          </w:tcPr>
          <w:p>
            <w:pPr>
              <w:spacing w:after="0"/>
              <w:rPr>
                <w:sz w:val="1"/>
                <w:szCs w:val="1"/>
                <w:color w:val="auto"/>
              </w:rPr>
            </w:pPr>
          </w:p>
        </w:tc>
      </w:tr>
      <w:tr>
        <w:trPr>
          <w:trHeight w:val="328"/>
        </w:trPr>
        <w:tc>
          <w:tcPr>
            <w:tcW w:w="680" w:type="dxa"/>
            <w:vAlign w:val="bottom"/>
            <w:tcBorders>
              <w:left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0"/>
                <w:szCs w:val="20"/>
                <w:color w:val="auto"/>
              </w:rPr>
              <w:t>Name/Title of Site Personnel</w:t>
            </w:r>
          </w:p>
        </w:tc>
        <w:tc>
          <w:tcPr>
            <w:tcW w:w="0" w:type="dxa"/>
            <w:vAlign w:val="bottom"/>
          </w:tcPr>
          <w:p>
            <w:pPr>
              <w:spacing w:after="0"/>
              <w:rPr>
                <w:sz w:val="1"/>
                <w:szCs w:val="1"/>
                <w:color w:val="auto"/>
              </w:rPr>
            </w:pPr>
          </w:p>
        </w:tc>
      </w:tr>
      <w:tr>
        <w:trPr>
          <w:trHeight w:val="338"/>
        </w:trPr>
        <w:tc>
          <w:tcPr>
            <w:tcW w:w="680" w:type="dxa"/>
            <w:vAlign w:val="bottom"/>
            <w:tcBorders>
              <w:left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0"/>
                <w:szCs w:val="20"/>
                <w:color w:val="auto"/>
              </w:rPr>
              <w:t>Site Number</w:t>
            </w:r>
          </w:p>
        </w:tc>
        <w:tc>
          <w:tcPr>
            <w:tcW w:w="0" w:type="dxa"/>
            <w:vAlign w:val="bottom"/>
          </w:tcPr>
          <w:p>
            <w:pPr>
              <w:spacing w:after="0"/>
              <w:rPr>
                <w:sz w:val="1"/>
                <w:szCs w:val="1"/>
                <w:color w:val="auto"/>
              </w:rPr>
            </w:pPr>
          </w:p>
        </w:tc>
      </w:tr>
      <w:tr>
        <w:trPr>
          <w:trHeight w:val="309"/>
        </w:trPr>
        <w:tc>
          <w:tcPr>
            <w:tcW w:w="680" w:type="dxa"/>
            <w:vAlign w:val="bottom"/>
            <w:tcBorders>
              <w:left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0"/>
                <w:szCs w:val="20"/>
                <w:color w:val="auto"/>
              </w:rPr>
              <w:t>Contact Information including: street and mailing address, phone number, email address,</w:t>
            </w:r>
          </w:p>
        </w:tc>
        <w:tc>
          <w:tcPr>
            <w:tcW w:w="0" w:type="dxa"/>
            <w:vAlign w:val="bottom"/>
          </w:tcPr>
          <w:p>
            <w:pPr>
              <w:spacing w:after="0"/>
              <w:rPr>
                <w:sz w:val="1"/>
                <w:szCs w:val="1"/>
                <w:color w:val="auto"/>
              </w:rPr>
            </w:pPr>
          </w:p>
        </w:tc>
      </w:tr>
      <w:tr>
        <w:trPr>
          <w:trHeight w:val="258"/>
        </w:trPr>
        <w:tc>
          <w:tcPr>
            <w:tcW w:w="680" w:type="dxa"/>
            <w:vAlign w:val="bottom"/>
            <w:tcBorders>
              <w:left w:val="single" w:sz="8" w:color="auto"/>
            </w:tcBorders>
          </w:tcPr>
          <w:p>
            <w:pPr>
              <w:spacing w:after="0"/>
              <w:rPr>
                <w:sz w:val="22"/>
                <w:szCs w:val="22"/>
                <w:color w:val="auto"/>
              </w:rPr>
            </w:pPr>
          </w:p>
        </w:tc>
        <w:tc>
          <w:tcPr>
            <w:tcW w:w="2400" w:type="dxa"/>
            <w:vAlign w:val="bottom"/>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74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0"/>
                <w:szCs w:val="20"/>
                <w:color w:val="auto"/>
              </w:rPr>
              <w:t>and fax number</w:t>
            </w:r>
          </w:p>
        </w:tc>
        <w:tc>
          <w:tcPr>
            <w:tcW w:w="0" w:type="dxa"/>
            <w:vAlign w:val="bottom"/>
          </w:tcPr>
          <w:p>
            <w:pPr>
              <w:spacing w:after="0"/>
              <w:rPr>
                <w:sz w:val="1"/>
                <w:szCs w:val="1"/>
                <w:color w:val="auto"/>
              </w:rPr>
            </w:pPr>
          </w:p>
        </w:tc>
      </w:tr>
      <w:tr>
        <w:trPr>
          <w:trHeight w:val="116"/>
        </w:trPr>
        <w:tc>
          <w:tcPr>
            <w:tcW w:w="680" w:type="dxa"/>
            <w:vAlign w:val="bottom"/>
            <w:tcBorders>
              <w:left w:val="single" w:sz="8" w:color="auto"/>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3780" w:type="dxa"/>
            <w:vAlign w:val="bottom"/>
            <w:tcBorders>
              <w:left w:val="single" w:sz="8" w:color="auto"/>
              <w:right w:val="single" w:sz="8" w:color="auto"/>
            </w:tcBorders>
            <w:gridSpan w:val="3"/>
          </w:tcPr>
          <w:p>
            <w:pPr>
              <w:ind w:left="120"/>
              <w:spacing w:after="0" w:line="213" w:lineRule="exact"/>
              <w:rPr>
                <w:sz w:val="20"/>
                <w:szCs w:val="20"/>
                <w:color w:val="auto"/>
              </w:rPr>
            </w:pPr>
            <w:r>
              <w:rPr>
                <w:rFonts w:ascii="Times New Roman" w:cs="Times New Roman" w:eastAsia="Times New Roman" w:hAnsi="Times New Roman"/>
                <w:sz w:val="20"/>
                <w:szCs w:val="20"/>
                <w:color w:val="auto"/>
              </w:rPr>
              <w:t>Controller’s EU and US regulatory vendors</w:t>
            </w:r>
          </w:p>
        </w:tc>
        <w:tc>
          <w:tcPr>
            <w:tcW w:w="7460" w:type="dxa"/>
            <w:vAlign w:val="bottom"/>
            <w:tcBorders>
              <w:right w:val="single" w:sz="8" w:color="auto"/>
            </w:tcBorders>
            <w:gridSpan w:val="5"/>
          </w:tcPr>
          <w:p>
            <w:pPr>
              <w:ind w:left="60"/>
              <w:spacing w:after="0" w:line="213" w:lineRule="exact"/>
              <w:rPr>
                <w:sz w:val="20"/>
                <w:szCs w:val="20"/>
                <w:color w:val="auto"/>
              </w:rPr>
            </w:pPr>
            <w:r>
              <w:rPr>
                <w:rFonts w:ascii="Times New Roman" w:cs="Times New Roman" w:eastAsia="Times New Roman" w:hAnsi="Times New Roman"/>
                <w:sz w:val="20"/>
                <w:szCs w:val="20"/>
                <w:color w:val="auto"/>
              </w:rPr>
              <w:t>Name/Title of Vendor/Consultant Personnel</w:t>
            </w:r>
          </w:p>
        </w:tc>
        <w:tc>
          <w:tcPr>
            <w:tcW w:w="0" w:type="dxa"/>
            <w:vAlign w:val="bottom"/>
          </w:tcPr>
          <w:p>
            <w:pPr>
              <w:spacing w:after="0"/>
              <w:rPr>
                <w:sz w:val="1"/>
                <w:szCs w:val="1"/>
                <w:color w:val="auto"/>
              </w:rPr>
            </w:pPr>
          </w:p>
        </w:tc>
      </w:tr>
      <w:tr>
        <w:trPr>
          <w:trHeight w:val="258"/>
        </w:trPr>
        <w:tc>
          <w:tcPr>
            <w:tcW w:w="378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0"/>
                <w:szCs w:val="20"/>
                <w:color w:val="auto"/>
              </w:rPr>
              <w:t>and/or consultants</w:t>
            </w:r>
          </w:p>
        </w:tc>
        <w:tc>
          <w:tcPr>
            <w:tcW w:w="7460" w:type="dxa"/>
            <w:vAlign w:val="bottom"/>
            <w:tcBorders>
              <w:right w:val="single" w:sz="8" w:color="auto"/>
            </w:tcBorders>
            <w:gridSpan w:val="5"/>
            <w:vMerge w:val="restart"/>
          </w:tcPr>
          <w:p>
            <w:pPr>
              <w:ind w:left="60"/>
              <w:spacing w:after="0"/>
              <w:rPr>
                <w:sz w:val="20"/>
                <w:szCs w:val="20"/>
                <w:color w:val="auto"/>
              </w:rPr>
            </w:pPr>
            <w:r>
              <w:rPr>
                <w:rFonts w:ascii="Times New Roman" w:cs="Times New Roman" w:eastAsia="Times New Roman" w:hAnsi="Times New Roman"/>
                <w:sz w:val="20"/>
                <w:szCs w:val="20"/>
                <w:color w:val="auto"/>
              </w:rPr>
              <w:t>Street Address</w:t>
            </w:r>
          </w:p>
        </w:tc>
        <w:tc>
          <w:tcPr>
            <w:tcW w:w="0" w:type="dxa"/>
            <w:vAlign w:val="bottom"/>
          </w:tcPr>
          <w:p>
            <w:pPr>
              <w:spacing w:after="0"/>
              <w:rPr>
                <w:sz w:val="1"/>
                <w:szCs w:val="1"/>
                <w:color w:val="auto"/>
              </w:rPr>
            </w:pPr>
          </w:p>
        </w:tc>
      </w:tr>
      <w:tr>
        <w:trPr>
          <w:trHeight w:val="108"/>
        </w:trPr>
        <w:tc>
          <w:tcPr>
            <w:tcW w:w="680" w:type="dxa"/>
            <w:vAlign w:val="bottom"/>
            <w:tcBorders>
              <w:left w:val="single" w:sz="8" w:color="auto"/>
            </w:tcBorders>
          </w:tcPr>
          <w:p>
            <w:pPr>
              <w:spacing w:after="0"/>
              <w:rPr>
                <w:sz w:val="9"/>
                <w:szCs w:val="9"/>
                <w:color w:val="auto"/>
              </w:rPr>
            </w:pPr>
          </w:p>
        </w:tc>
        <w:tc>
          <w:tcPr>
            <w:tcW w:w="240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460" w:type="dxa"/>
            <w:vAlign w:val="bottom"/>
            <w:tcBorders>
              <w:right w:val="single" w:sz="8" w:color="auto"/>
            </w:tcBorders>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680" w:type="dxa"/>
            <w:vAlign w:val="bottom"/>
            <w:tcBorders>
              <w:left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0"/>
                <w:szCs w:val="20"/>
                <w:color w:val="auto"/>
              </w:rPr>
              <w:t>Mailing Address</w:t>
            </w:r>
          </w:p>
        </w:tc>
        <w:tc>
          <w:tcPr>
            <w:tcW w:w="0" w:type="dxa"/>
            <w:vAlign w:val="bottom"/>
          </w:tcPr>
          <w:p>
            <w:pPr>
              <w:spacing w:after="0"/>
              <w:rPr>
                <w:sz w:val="1"/>
                <w:szCs w:val="1"/>
                <w:color w:val="auto"/>
              </w:rPr>
            </w:pPr>
          </w:p>
        </w:tc>
      </w:tr>
      <w:tr>
        <w:trPr>
          <w:trHeight w:val="338"/>
        </w:trPr>
        <w:tc>
          <w:tcPr>
            <w:tcW w:w="680" w:type="dxa"/>
            <w:vAlign w:val="bottom"/>
            <w:tcBorders>
              <w:left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0"/>
                <w:szCs w:val="20"/>
                <w:color w:val="auto"/>
              </w:rPr>
              <w:t>Phone Number</w:t>
            </w:r>
          </w:p>
        </w:tc>
        <w:tc>
          <w:tcPr>
            <w:tcW w:w="0" w:type="dxa"/>
            <w:vAlign w:val="bottom"/>
          </w:tcPr>
          <w:p>
            <w:pPr>
              <w:spacing w:after="0"/>
              <w:rPr>
                <w:sz w:val="1"/>
                <w:szCs w:val="1"/>
                <w:color w:val="auto"/>
              </w:rPr>
            </w:pPr>
          </w:p>
        </w:tc>
      </w:tr>
      <w:tr>
        <w:trPr>
          <w:trHeight w:val="338"/>
        </w:trPr>
        <w:tc>
          <w:tcPr>
            <w:tcW w:w="680" w:type="dxa"/>
            <w:vAlign w:val="bottom"/>
            <w:tcBorders>
              <w:left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0"/>
                <w:szCs w:val="20"/>
                <w:color w:val="auto"/>
              </w:rPr>
              <w:t>Email Address</w:t>
            </w:r>
          </w:p>
        </w:tc>
        <w:tc>
          <w:tcPr>
            <w:tcW w:w="0" w:type="dxa"/>
            <w:vAlign w:val="bottom"/>
          </w:tcPr>
          <w:p>
            <w:pPr>
              <w:spacing w:after="0"/>
              <w:rPr>
                <w:sz w:val="1"/>
                <w:szCs w:val="1"/>
                <w:color w:val="auto"/>
              </w:rPr>
            </w:pPr>
          </w:p>
        </w:tc>
      </w:tr>
      <w:tr>
        <w:trPr>
          <w:trHeight w:val="338"/>
        </w:trPr>
        <w:tc>
          <w:tcPr>
            <w:tcW w:w="680" w:type="dxa"/>
            <w:vAlign w:val="bottom"/>
            <w:tcBorders>
              <w:left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0"/>
                <w:szCs w:val="20"/>
                <w:color w:val="auto"/>
              </w:rPr>
              <w:t>Fax Number</w:t>
            </w:r>
          </w:p>
        </w:tc>
        <w:tc>
          <w:tcPr>
            <w:tcW w:w="0" w:type="dxa"/>
            <w:vAlign w:val="bottom"/>
          </w:tcPr>
          <w:p>
            <w:pPr>
              <w:spacing w:after="0"/>
              <w:rPr>
                <w:sz w:val="1"/>
                <w:szCs w:val="1"/>
                <w:color w:val="auto"/>
              </w:rPr>
            </w:pPr>
          </w:p>
        </w:tc>
      </w:tr>
      <w:tr>
        <w:trPr>
          <w:trHeight w:val="115"/>
        </w:trPr>
        <w:tc>
          <w:tcPr>
            <w:tcW w:w="680" w:type="dxa"/>
            <w:vAlign w:val="bottom"/>
            <w:tcBorders>
              <w:left w:val="single" w:sz="8" w:color="auto"/>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378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0"/>
                <w:szCs w:val="20"/>
                <w:color w:val="auto"/>
              </w:rPr>
              <w:t>Controller’s personnel</w:t>
            </w:r>
          </w:p>
        </w:tc>
        <w:tc>
          <w:tcPr>
            <w:tcW w:w="74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0"/>
                <w:szCs w:val="20"/>
                <w:color w:val="auto"/>
              </w:rPr>
              <w:t>Name/Title of Controller’s Personnel</w:t>
            </w:r>
          </w:p>
        </w:tc>
        <w:tc>
          <w:tcPr>
            <w:tcW w:w="0" w:type="dxa"/>
            <w:vAlign w:val="bottom"/>
          </w:tcPr>
          <w:p>
            <w:pPr>
              <w:spacing w:after="0"/>
              <w:rPr>
                <w:sz w:val="1"/>
                <w:szCs w:val="1"/>
                <w:color w:val="auto"/>
              </w:rPr>
            </w:pPr>
          </w:p>
        </w:tc>
      </w:tr>
      <w:tr>
        <w:trPr>
          <w:trHeight w:val="328"/>
        </w:trPr>
        <w:tc>
          <w:tcPr>
            <w:tcW w:w="680" w:type="dxa"/>
            <w:vAlign w:val="bottom"/>
            <w:tcBorders>
              <w:left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0"/>
                <w:szCs w:val="20"/>
                <w:color w:val="auto"/>
              </w:rPr>
              <w:t>DOB</w:t>
            </w:r>
          </w:p>
        </w:tc>
        <w:tc>
          <w:tcPr>
            <w:tcW w:w="0" w:type="dxa"/>
            <w:vAlign w:val="bottom"/>
          </w:tcPr>
          <w:p>
            <w:pPr>
              <w:spacing w:after="0"/>
              <w:rPr>
                <w:sz w:val="1"/>
                <w:szCs w:val="1"/>
                <w:color w:val="auto"/>
              </w:rPr>
            </w:pPr>
          </w:p>
        </w:tc>
      </w:tr>
      <w:tr>
        <w:trPr>
          <w:trHeight w:val="338"/>
        </w:trPr>
        <w:tc>
          <w:tcPr>
            <w:tcW w:w="680" w:type="dxa"/>
            <w:vAlign w:val="bottom"/>
            <w:tcBorders>
              <w:left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0"/>
                <w:szCs w:val="20"/>
                <w:color w:val="auto"/>
              </w:rPr>
              <w:t>Phone number</w:t>
            </w:r>
          </w:p>
        </w:tc>
        <w:tc>
          <w:tcPr>
            <w:tcW w:w="0" w:type="dxa"/>
            <w:vAlign w:val="bottom"/>
          </w:tcPr>
          <w:p>
            <w:pPr>
              <w:spacing w:after="0"/>
              <w:rPr>
                <w:sz w:val="1"/>
                <w:szCs w:val="1"/>
                <w:color w:val="auto"/>
              </w:rPr>
            </w:pPr>
          </w:p>
        </w:tc>
      </w:tr>
      <w:tr>
        <w:trPr>
          <w:trHeight w:val="338"/>
        </w:trPr>
        <w:tc>
          <w:tcPr>
            <w:tcW w:w="680" w:type="dxa"/>
            <w:vAlign w:val="bottom"/>
            <w:tcBorders>
              <w:left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0"/>
                <w:szCs w:val="20"/>
                <w:color w:val="auto"/>
              </w:rPr>
              <w:t>Email address</w:t>
            </w:r>
          </w:p>
        </w:tc>
        <w:tc>
          <w:tcPr>
            <w:tcW w:w="0" w:type="dxa"/>
            <w:vAlign w:val="bottom"/>
          </w:tcPr>
          <w:p>
            <w:pPr>
              <w:spacing w:after="0"/>
              <w:rPr>
                <w:sz w:val="1"/>
                <w:szCs w:val="1"/>
                <w:color w:val="auto"/>
              </w:rPr>
            </w:pPr>
          </w:p>
        </w:tc>
      </w:tr>
      <w:tr>
        <w:trPr>
          <w:trHeight w:val="338"/>
        </w:trPr>
        <w:tc>
          <w:tcPr>
            <w:tcW w:w="680" w:type="dxa"/>
            <w:vAlign w:val="bottom"/>
            <w:tcBorders>
              <w:left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0"/>
                <w:szCs w:val="20"/>
                <w:color w:val="auto"/>
              </w:rPr>
              <w:t>Street address</w:t>
            </w:r>
          </w:p>
        </w:tc>
        <w:tc>
          <w:tcPr>
            <w:tcW w:w="0" w:type="dxa"/>
            <w:vAlign w:val="bottom"/>
          </w:tcPr>
          <w:p>
            <w:pPr>
              <w:spacing w:after="0"/>
              <w:rPr>
                <w:sz w:val="1"/>
                <w:szCs w:val="1"/>
                <w:color w:val="auto"/>
              </w:rPr>
            </w:pPr>
          </w:p>
        </w:tc>
      </w:tr>
      <w:tr>
        <w:trPr>
          <w:trHeight w:val="338"/>
        </w:trPr>
        <w:tc>
          <w:tcPr>
            <w:tcW w:w="680" w:type="dxa"/>
            <w:vAlign w:val="bottom"/>
            <w:tcBorders>
              <w:left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0"/>
                <w:szCs w:val="20"/>
                <w:color w:val="auto"/>
              </w:rPr>
              <w:t>Mailing address</w:t>
            </w:r>
          </w:p>
        </w:tc>
        <w:tc>
          <w:tcPr>
            <w:tcW w:w="0" w:type="dxa"/>
            <w:vAlign w:val="bottom"/>
          </w:tcPr>
          <w:p>
            <w:pPr>
              <w:spacing w:after="0"/>
              <w:rPr>
                <w:sz w:val="1"/>
                <w:szCs w:val="1"/>
                <w:color w:val="auto"/>
              </w:rPr>
            </w:pPr>
          </w:p>
        </w:tc>
      </w:tr>
      <w:tr>
        <w:trPr>
          <w:trHeight w:val="115"/>
        </w:trPr>
        <w:tc>
          <w:tcPr>
            <w:tcW w:w="680" w:type="dxa"/>
            <w:vAlign w:val="bottom"/>
            <w:tcBorders>
              <w:left w:val="single" w:sz="8" w:color="auto"/>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0"/>
        </w:trPr>
        <w:tc>
          <w:tcPr>
            <w:tcW w:w="68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90" w:name="page91"/>
    <w:bookmarkEnd w:id="90"/>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6157595</wp:posOffset>
            </wp:positionH>
            <wp:positionV relativeFrom="page">
              <wp:posOffset>294640</wp:posOffset>
            </wp:positionV>
            <wp:extent cx="1183005" cy="5575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clrChange>
                        <a:clrFrom>
                          <a:srgbClr val="FFFFFF"/>
                        </a:clrFrom>
                        <a:clrTo>
                          <a:srgbClr val="FFFFFF">
                            <a:alpha val="0"/>
                          </a:srgbClr>
                        </a:clrTo>
                      </a:clrChange>
                      <a:extLst>
                        <a:ext uri="{28A0092B-C50C-407E-A947-70E740481C1C}"/>
                      </a:extLst>
                    </a:blip>
                    <a:srcRect/>
                    <a:stretch>
                      <a:fillRect/>
                    </a:stretch>
                  </pic:blipFill>
                  <pic:spPr bwMode="auto">
                    <a:xfrm>
                      <a:off x="0" y="0"/>
                      <a:ext cx="1183005" cy="5575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September 27,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Cassella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Jim: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pleased to offer you employment with Trevi Therapeutics, Inc. (the “Company” or “Trevi”) under the terms and conditions described in this letter.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accept this offer, please sign, date, and return one copy of the signed letter by Monday, September 30, 2024.</w:t>
      </w:r>
    </w:p>
    <w:p>
      <w:pPr>
        <w:spacing w:after="0" w:line="20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Position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hold the position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Chief Development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will assume the responsibilities of that position (and other duties as assigned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delegated to you by your supervisor). Your supervisor will be the Chief Executive Officer and President of the Company.</w:t>
      </w:r>
    </w:p>
    <w:p>
      <w:pPr>
        <w:spacing w:after="0" w:line="15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Your employment will begin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Monday September 30, 2024</w:t>
      </w:r>
      <w:r>
        <w:rPr>
          <w:rFonts w:ascii="Times New Roman" w:cs="Times New Roman" w:eastAsia="Times New Roman" w:hAnsi="Times New Roman"/>
          <w:sz w:val="18"/>
          <w:szCs w:val="18"/>
          <w:color w:val="auto"/>
        </w:rPr>
        <w:t>, “Start Date”, and your employment will be at will. This means that both you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have the right to terminate the employment relationship at any time and for any reason. Like all other employees, your employment is subject in all respects to the Company’s employment policies, which may change from time to time. This letter shall not be construed as an agreement, either expressed or implied, to employ you for any stated term, and shall in no way alter the Company’s policy of employment at will.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Full-Time Exempt employee, your compensation will be:</w:t>
      </w:r>
    </w:p>
    <w:p>
      <w:pPr>
        <w:spacing w:after="0" w:line="225" w:lineRule="exact"/>
        <w:rPr>
          <w:sz w:val="20"/>
          <w:szCs w:val="20"/>
          <w:color w:val="auto"/>
        </w:rPr>
      </w:pPr>
    </w:p>
    <w:p>
      <w:pPr>
        <w:ind w:left="760" w:right="180" w:hanging="378"/>
        <w:spacing w:after="0" w:line="268" w:lineRule="auto"/>
        <w:tabs>
          <w:tab w:leader="none" w:pos="760" w:val="left"/>
        </w:tabs>
        <w:numPr>
          <w:ilvl w:val="0"/>
          <w:numId w:val="6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xml:space="preserve">: Your base salary will be at the rate of $18,461.54 per bi-weekly pay period (which if annualized equals </w:t>
      </w:r>
      <w:r>
        <w:rPr>
          <w:rFonts w:ascii="Times New Roman" w:cs="Times New Roman" w:eastAsia="Times New Roman" w:hAnsi="Times New Roman"/>
          <w:sz w:val="18"/>
          <w:szCs w:val="18"/>
          <w:b w:val="1"/>
          <w:bCs w:val="1"/>
          <w:color w:val="auto"/>
        </w:rPr>
        <w:t>$480,000</w:t>
      </w:r>
      <w:r>
        <w:rPr>
          <w:rFonts w:ascii="Times New Roman" w:cs="Times New Roman" w:eastAsia="Times New Roman" w:hAnsi="Times New Roman"/>
          <w:sz w:val="18"/>
          <w:szCs w:val="18"/>
          <w:color w:val="auto"/>
        </w:rPr>
        <w:t>), payable in accordance with the regular payroll practices of the Company and subject to all applicable deductions and withholdings. Because of your start date, you will not be eligible for an annual review for this cycle in Q1 2025.</w:t>
      </w:r>
    </w:p>
    <w:p>
      <w:pPr>
        <w:spacing w:after="0" w:line="174" w:lineRule="exact"/>
        <w:rPr>
          <w:rFonts w:ascii="Times New Roman" w:cs="Times New Roman" w:eastAsia="Times New Roman" w:hAnsi="Times New Roman"/>
          <w:sz w:val="18"/>
          <w:szCs w:val="18"/>
          <w:u w:val="single" w:color="auto"/>
          <w:color w:val="auto"/>
        </w:rPr>
      </w:pPr>
    </w:p>
    <w:p>
      <w:pPr>
        <w:ind w:left="760" w:right="20" w:hanging="378"/>
        <w:spacing w:after="0" w:line="256" w:lineRule="auto"/>
        <w:tabs>
          <w:tab w:leader="none" w:pos="760" w:val="left"/>
        </w:tabs>
        <w:numPr>
          <w:ilvl w:val="0"/>
          <w:numId w:val="6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Annual Incentive Bonus</w:t>
      </w:r>
      <w:r>
        <w:rPr>
          <w:rFonts w:ascii="Times New Roman" w:cs="Times New Roman" w:eastAsia="Times New Roman" w:hAnsi="Times New Roman"/>
          <w:sz w:val="18"/>
          <w:szCs w:val="18"/>
          <w:color w:val="auto"/>
        </w:rPr>
        <w:t xml:space="preserve">: Following the end of each fiscal year and subject to the approval by the Company’s Board of Directors in its sole discretion, you will be eligible to earn an annual incentive bonus, based on your performance and the Company’s performance, as determined by the Company in its sole discretion, during the applicable fiscal year. Your target annual incentive bonus opportunity shall be up to </w:t>
      </w:r>
      <w:r>
        <w:rPr>
          <w:rFonts w:ascii="Times New Roman" w:cs="Times New Roman" w:eastAsia="Times New Roman" w:hAnsi="Times New Roman"/>
          <w:sz w:val="18"/>
          <w:szCs w:val="18"/>
          <w:b w:val="1"/>
          <w:bCs w:val="1"/>
          <w:color w:val="auto"/>
        </w:rPr>
        <w:t>40%</w:t>
      </w:r>
      <w:r>
        <w:rPr>
          <w:rFonts w:ascii="Times New Roman" w:cs="Times New Roman" w:eastAsia="Times New Roman" w:hAnsi="Times New Roman"/>
          <w:sz w:val="18"/>
          <w:szCs w:val="18"/>
          <w:color w:val="auto"/>
        </w:rPr>
        <w:t xml:space="preserve"> of your annualized base salary. To be eligible for the bonus, you must be employed and in good standing on the date of payment, as such bonus also serves as an incentive to remain employed by the Company. Your annual incentive bonus for 2024 will be pro-rated based on your start date and in accordance with the Company’s policy.</w:t>
      </w:r>
    </w:p>
    <w:p>
      <w:pPr>
        <w:spacing w:after="0" w:line="183" w:lineRule="exact"/>
        <w:rPr>
          <w:rFonts w:ascii="Times New Roman" w:cs="Times New Roman" w:eastAsia="Times New Roman" w:hAnsi="Times New Roman"/>
          <w:sz w:val="18"/>
          <w:szCs w:val="18"/>
          <w:u w:val="single" w:color="auto"/>
          <w:color w:val="auto"/>
        </w:rPr>
      </w:pPr>
    </w:p>
    <w:p>
      <w:pPr>
        <w:ind w:left="760" w:hanging="378"/>
        <w:spacing w:after="0" w:line="268" w:lineRule="auto"/>
        <w:tabs>
          <w:tab w:leader="none" w:pos="760" w:val="left"/>
        </w:tabs>
        <w:numPr>
          <w:ilvl w:val="0"/>
          <w:numId w:val="6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Trevi Equity Grants:</w:t>
      </w:r>
      <w:r>
        <w:rPr>
          <w:rFonts w:ascii="Times New Roman" w:cs="Times New Roman" w:eastAsia="Times New Roman" w:hAnsi="Times New Roman"/>
          <w:sz w:val="18"/>
          <w:szCs w:val="18"/>
          <w:color w:val="auto"/>
        </w:rPr>
        <w:t xml:space="preserve"> Upon your Start Date, you will be granted a stock option (the “Option”) to purchase </w:t>
      </w:r>
      <w:r>
        <w:rPr>
          <w:rFonts w:ascii="Times New Roman" w:cs="Times New Roman" w:eastAsia="Times New Roman" w:hAnsi="Times New Roman"/>
          <w:sz w:val="18"/>
          <w:szCs w:val="18"/>
          <w:b w:val="1"/>
          <w:bCs w:val="1"/>
          <w:color w:val="auto"/>
        </w:rPr>
        <w:t>400,000</w:t>
      </w:r>
      <w:r>
        <w:rPr>
          <w:rFonts w:ascii="Times New Roman" w:cs="Times New Roman" w:eastAsia="Times New Roman" w:hAnsi="Times New Roman"/>
          <w:sz w:val="18"/>
          <w:szCs w:val="18"/>
          <w:color w:val="auto"/>
        </w:rPr>
        <w:t xml:space="preserve"> shares of the Company’s common stock under the Company’s 2019 Equity Incentive Plan (“Plan”). The exercise price of the Option will be equal to the fair market value of the Common Stock as determined by the Board of Directors of the Company on the date of the grant of the Option (the “Grant Date”).</w:t>
      </w:r>
    </w:p>
    <w:p>
      <w:pPr>
        <w:spacing w:after="0" w:line="201" w:lineRule="exact"/>
        <w:rPr>
          <w:rFonts w:ascii="Times New Roman" w:cs="Times New Roman" w:eastAsia="Times New Roman" w:hAnsi="Times New Roman"/>
          <w:sz w:val="18"/>
          <w:szCs w:val="18"/>
          <w:u w:val="single" w:color="auto"/>
          <w:color w:val="auto"/>
        </w:rPr>
      </w:pPr>
    </w:p>
    <w:p>
      <w:pPr>
        <w:ind w:left="760" w:right="140"/>
        <w:spacing w:after="0" w:line="266"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Promptly after the Grant Date, the Company and you shall execute and deliver to each other the Company’s then standard form of stock option agreement, evidencing the Option and the terms thereof. The Option shall be subject to, and governed by, the terms, provisions, and restrictions on transfer of the Plan, your stock option agreement, and any other agreement to which you shall become, or are required to become, a party pursuant to the terms of the Plan.</w:t>
      </w:r>
    </w:p>
    <w:p>
      <w:pPr>
        <w:spacing w:after="0" w:line="175" w:lineRule="exact"/>
        <w:rPr>
          <w:rFonts w:ascii="Times New Roman" w:cs="Times New Roman" w:eastAsia="Times New Roman" w:hAnsi="Times New Roman"/>
          <w:sz w:val="18"/>
          <w:szCs w:val="18"/>
          <w:u w:val="single" w:color="auto"/>
          <w:color w:val="auto"/>
        </w:rPr>
      </w:pPr>
    </w:p>
    <w:p>
      <w:pPr>
        <w:ind w:left="760" w:right="260"/>
        <w:spacing w:after="0" w:line="266"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You may be awarded additional equity grants from time to time in accordance with normal business practice and at the sole discretion of the Board of Directors. The terms of any future equity grant(s) will be consistent with any plan under which they are granted and the terms of the applicable agreement under which the award(s) are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1" w:name="page92"/>
    <w:bookmarkEnd w:id="91"/>
    <w:p>
      <w:pPr>
        <w:spacing w:after="0" w:line="190" w:lineRule="exact"/>
        <w:rPr>
          <w:sz w:val="20"/>
          <w:szCs w:val="20"/>
          <w:color w:val="auto"/>
        </w:rPr>
      </w:pPr>
    </w:p>
    <w:p>
      <w:pPr>
        <w:ind w:left="100" w:right="1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Severance</w:t>
      </w:r>
      <w:r>
        <w:rPr>
          <w:rFonts w:ascii="Times New Roman" w:cs="Times New Roman" w:eastAsia="Times New Roman" w:hAnsi="Times New Roman"/>
          <w:sz w:val="18"/>
          <w:szCs w:val="18"/>
          <w:color w:val="auto"/>
        </w:rPr>
        <w:t>. You are eligible for severance benefits pursuant to the terms and conditions of the Company’s Executive Separation Benefits and Retention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as may be amended from time to time.</w:t>
      </w:r>
    </w:p>
    <w:p>
      <w:pPr>
        <w:spacing w:after="0" w:line="155" w:lineRule="exact"/>
        <w:rPr>
          <w:sz w:val="20"/>
          <w:szCs w:val="20"/>
          <w:color w:val="auto"/>
        </w:rPr>
      </w:pPr>
    </w:p>
    <w:p>
      <w:pPr>
        <w:jc w:val="both"/>
        <w:ind w:left="100" w:right="8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be eligible to work a hybrid schedule consisting of a minimum of 3 days in the New Haven, CT office with an opportunity to work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per week from home. The Company may modify your work schedule at the sole discretion of the Company. Further, you agree to travel as may be required for the performance of your duties and responsibilities.</w:t>
      </w:r>
    </w:p>
    <w:p>
      <w:pPr>
        <w:spacing w:after="0" w:line="17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t>Benefits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participate in all benefits and conditions of employment available generally to employees of the same level and responsibility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benefit policies and programs offered by the Company, provided you are eligible under (and subject to all provisions of) the plan documents governing those programs, e.g.: group health, dental, vision, short and long-term disability coverage, and life insurance, etc. The Company also offers a 401(k) Plan. Employees are eligible to receive a fixed match equal to 50% of their Eligible Contributions up to the first 6% of their annual income based on their actual salary deferrals, subject to IRS limits. The benefit plans and programs made available by the Company, and the rules, terms and conditions for participation in such benefit plans, may be changed by the Company at any time without advance notice at the sole discretion of the Company. Please contact the Human Resources Department for a description of these benefits.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Vacation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accrue vacation days at a rate of 6.153 hours per pay period, with a maximum accrual of up to 20 days per year.</w:t>
      </w:r>
    </w:p>
    <w:p>
      <w:pPr>
        <w:spacing w:after="0" w:line="225"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Sick Time and Holiday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accrue up to five (5) days of Sick Time per year at a rate of 1.54 hours per pay period (your accrual for 2024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prorated based on your Start Date). You will also be eligible for all Company designated Holidays.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Contingencies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760" w:hanging="378"/>
        <w:spacing w:after="0" w:line="312" w:lineRule="auto"/>
        <w:tabs>
          <w:tab w:leader="none" w:pos="76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offer is contingent on your successful completion of a background check/investigation prior to your agreed upon starting date. The Company may obtain background reports both pre-employment and from time to time during your employment with the Company, as necessary.</w:t>
      </w:r>
    </w:p>
    <w:p>
      <w:pPr>
        <w:spacing w:after="0" w:line="139" w:lineRule="exact"/>
        <w:rPr>
          <w:rFonts w:ascii="Times New Roman" w:cs="Times New Roman" w:eastAsia="Times New Roman" w:hAnsi="Times New Roman"/>
          <w:sz w:val="17"/>
          <w:szCs w:val="17"/>
          <w:color w:val="auto"/>
        </w:rPr>
      </w:pPr>
    </w:p>
    <w:p>
      <w:pPr>
        <w:ind w:left="760" w:right="320" w:hanging="378"/>
        <w:spacing w:after="0" w:line="266"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that, during the term of your employment with Trevi, you will neither engage in any other employment, occupation, consulting or other business activity directly related to the business in which Trevi is now involved (or becomes involved during the term of your employment), nor engage in any other activities that conflict with your obligations to Trevi.</w:t>
      </w:r>
    </w:p>
    <w:p>
      <w:pPr>
        <w:spacing w:after="0" w:line="202" w:lineRule="exact"/>
        <w:rPr>
          <w:rFonts w:ascii="Times New Roman" w:cs="Times New Roman" w:eastAsia="Times New Roman" w:hAnsi="Times New Roman"/>
          <w:sz w:val="18"/>
          <w:szCs w:val="18"/>
          <w:color w:val="auto"/>
        </w:rPr>
      </w:pPr>
    </w:p>
    <w:p>
      <w:pPr>
        <w:ind w:left="760" w:right="40" w:hanging="378"/>
        <w:spacing w:after="0" w:line="266"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to devote your full business time, best efforts, skill, knowledge, attention and energies to the advancement of the Company’s business and interest and to the performance of your duties and responsibilities as an employee of the Company and shall not engage in any other employment, consulting or other business activity without prior written consent by the CEO.</w:t>
      </w:r>
    </w:p>
    <w:p>
      <w:pPr>
        <w:spacing w:after="0" w:line="202"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subject to, and required to comply with, all Company policies and procedures and all applicable laws and regulations during your employment with the Company.</w:t>
      </w:r>
    </w:p>
    <w:p>
      <w:pPr>
        <w:spacing w:after="0" w:line="188" w:lineRule="exact"/>
        <w:rPr>
          <w:rFonts w:ascii="Times New Roman" w:cs="Times New Roman" w:eastAsia="Times New Roman" w:hAnsi="Times New Roman"/>
          <w:sz w:val="18"/>
          <w:szCs w:val="18"/>
          <w:color w:val="auto"/>
        </w:rPr>
      </w:pPr>
    </w:p>
    <w:p>
      <w:pPr>
        <w:jc w:val="both"/>
        <w:ind w:left="760" w:right="520" w:hanging="378"/>
        <w:spacing w:after="0" w:line="312" w:lineRule="auto"/>
        <w:tabs>
          <w:tab w:leader="none" w:pos="76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will be required to execute and deliver at or prior to the Start Date for the benefit of the Company the Invention and Non-Disclosure Agreement and Non-Competition and Non-Solicitation Agreement which is an express condition of your employment with the Company.</w:t>
      </w:r>
    </w:p>
    <w:p>
      <w:pPr>
        <w:spacing w:after="0" w:line="166" w:lineRule="exact"/>
        <w:rPr>
          <w:rFonts w:ascii="Times New Roman" w:cs="Times New Roman" w:eastAsia="Times New Roman" w:hAnsi="Times New Roman"/>
          <w:sz w:val="17"/>
          <w:szCs w:val="17"/>
          <w:color w:val="auto"/>
        </w:rPr>
      </w:pPr>
    </w:p>
    <w:p>
      <w:pPr>
        <w:ind w:left="760" w:right="120" w:hanging="378"/>
        <w:spacing w:after="0" w:line="261"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offer of employment is contingent upon your disclosure to Trevi of any and all agreements relating to your prior employment that may affect your eligibility to be employed by Trevi or limit the manner in which you may be employed. You hereby represent and warrant to the Company that the execution, delivery and performance of this offer letter by you does not and shall not conflict with, breach, violate or cause a default under any contract, agreement, instrument, order, judgment or decree to which you are a party or by which you are bound.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2" w:name="page93"/>
    <w:bookmarkEnd w:id="92"/>
    <w:p>
      <w:pPr>
        <w:spacing w:after="0" w:line="2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Cooperation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your employment with the Company and thereafter, you shall cooperate with the Company and be reasonably available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with respect to continuing and /or future matters relating to your employment period with the Company and/or its affiliates, whether such matters are business-related, legal, regulatory or otherwise (including, without limitation, your appearing at the Company’s request to give testimony without requiring service of a subpoena or other legal process, volunteering to the Company all pertinent information and turning over to the Company all relevant documents which are or may come into your possession). Following your employment with the Company, the Company shall reimburse you for all reasonable out-of-pocket travel expenses incurred by you in rendering such services that are approved by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enclosed several documents for your review prior to your first day. They are:</w:t>
      </w:r>
    </w:p>
    <w:p>
      <w:pPr>
        <w:spacing w:after="0" w:line="252" w:lineRule="exact"/>
        <w:rPr>
          <w:sz w:val="20"/>
          <w:szCs w:val="20"/>
          <w:color w:val="auto"/>
        </w:rPr>
      </w:pPr>
    </w:p>
    <w:p>
      <w:pPr>
        <w:ind w:left="760" w:hanging="378"/>
        <w:spacing w:after="0"/>
        <w:tabs>
          <w:tab w:leader="none" w:pos="7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w:t>
      </w:r>
      <w:r>
        <w:rPr>
          <w:rFonts w:ascii="Times New Roman" w:cs="Times New Roman" w:eastAsia="Times New Roman" w:hAnsi="Times New Roman"/>
          <w:sz w:val="18"/>
          <w:szCs w:val="18"/>
          <w:u w:val="single" w:color="auto"/>
          <w:color w:val="auto"/>
        </w:rPr>
        <w:t>Invention &amp; Non-Disclosure Agreement and the Non-Competition and Non-Solicitation Agreement</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INS Work Authorization Form</w:t>
      </w:r>
      <w:r>
        <w:rPr>
          <w:rFonts w:ascii="Times New Roman" w:cs="Times New Roman" w:eastAsia="Times New Roman" w:hAnsi="Times New Roman"/>
          <w:sz w:val="18"/>
          <w:szCs w:val="18"/>
          <w:color w:val="auto"/>
        </w:rPr>
        <w:t>: You are required to present documentation verifying your right to work in the United States on your first day.</w:t>
      </w:r>
    </w:p>
    <w:p>
      <w:pPr>
        <w:spacing w:after="0" w:line="20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letter sets forth the entire agreement between you and the Company and supersedes all written and oral agreements relating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matter of this offer letter or your employment with the Company. The provisions of this letter may be amended or waived only by a written instrument executed by both you and the Company, and no course of conduct or course of dealing or failure or delay by you or the Company in enforcing or exercising any of the provisions of this letter shall affect the validity, binding effect or enforceability of the letter or be deemed to be an implied waiver of any similar or dissimilar requirement, provision or condition of this letter at the same or any prior subsequent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Jim, we look forward to having you join the Trevi Leadership Team.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Jennifer Good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CEO</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accept employment with Trevi under the terms and conditions set forth in this letter.</w:t>
      </w:r>
    </w:p>
    <w:p>
      <w:pPr>
        <w:spacing w:after="0" w:line="200" w:lineRule="exact"/>
        <w:rPr>
          <w:sz w:val="20"/>
          <w:szCs w:val="20"/>
          <w:color w:val="auto"/>
        </w:rPr>
      </w:pPr>
    </w:p>
    <w:p>
      <w:pPr>
        <w:spacing w:after="0" w:line="237" w:lineRule="exact"/>
        <w:rPr>
          <w:sz w:val="20"/>
          <w:szCs w:val="20"/>
          <w:color w:val="auto"/>
        </w:rPr>
      </w:pPr>
    </w:p>
    <w:p>
      <w:pPr>
        <w:spacing w:after="0"/>
        <w:tabs>
          <w:tab w:leader="none" w:pos="4760" w:val="left"/>
        </w:tabs>
        <w:rPr>
          <w:sz w:val="20"/>
          <w:szCs w:val="20"/>
          <w:color w:val="auto"/>
        </w:rPr>
      </w:pPr>
      <w:r>
        <w:rPr>
          <w:rFonts w:ascii="Times New Roman" w:cs="Times New Roman" w:eastAsia="Times New Roman" w:hAnsi="Times New Roman"/>
          <w:sz w:val="18"/>
          <w:szCs w:val="18"/>
          <w:color w:val="auto"/>
        </w:rPr>
        <w:t>/s/ James Cassella</w:t>
      </w:r>
      <w:r>
        <w:rPr>
          <w:sz w:val="20"/>
          <w:szCs w:val="20"/>
          <w:color w:val="auto"/>
        </w:rPr>
        <w:tab/>
      </w:r>
      <w:r>
        <w:rPr>
          <w:rFonts w:ascii="Times New Roman" w:cs="Times New Roman" w:eastAsia="Times New Roman" w:hAnsi="Times New Roman"/>
          <w:sz w:val="17"/>
          <w:szCs w:val="17"/>
          <w:b w:val="1"/>
          <w:bCs w:val="1"/>
          <w:color w:val="auto"/>
        </w:rPr>
        <w:t xml:space="preserve">Date: </w:t>
      </w:r>
      <w:r>
        <w:rPr>
          <w:rFonts w:ascii="Times New Roman" w:cs="Times New Roman" w:eastAsia="Times New Roman" w:hAnsi="Times New Roman"/>
          <w:sz w:val="17"/>
          <w:szCs w:val="17"/>
          <w:color w:val="auto"/>
        </w:rPr>
        <w:t>September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3" w:name="page94"/>
    <w:bookmarkEnd w:id="93"/>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OR 15d-14(a) UNDER THE SECURITIES EXCHANGE ACT OF 1934, 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L. Good, certify that:</w:t>
      </w:r>
    </w:p>
    <w:p>
      <w:pPr>
        <w:spacing w:after="0" w:line="225" w:lineRule="exact"/>
        <w:rPr>
          <w:sz w:val="20"/>
          <w:szCs w:val="20"/>
          <w:color w:val="auto"/>
        </w:rPr>
      </w:pPr>
    </w:p>
    <w:p>
      <w:pPr>
        <w:ind w:left="700" w:hanging="183"/>
        <w:spacing w:after="0"/>
        <w:tabs>
          <w:tab w:leader="none" w:pos="7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Trevi Therapeutics, Inc.;</w:t>
      </w:r>
    </w:p>
    <w:p>
      <w:pPr>
        <w:spacing w:after="0" w:line="225"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80" w:firstLine="517"/>
        <w:spacing w:after="0" w:line="266" w:lineRule="auto"/>
        <w:tabs>
          <w:tab w:leader="none" w:pos="68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firstLine="506"/>
        <w:spacing w:after="0" w:line="266" w:lineRule="auto"/>
        <w:tabs>
          <w:tab w:leader="none" w:pos="121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200" w:firstLine="506"/>
        <w:spacing w:after="0" w:line="266" w:lineRule="auto"/>
        <w:tabs>
          <w:tab w:leader="none" w:pos="122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320" w:firstLine="506"/>
        <w:spacing w:after="0" w:line="282" w:lineRule="auto"/>
        <w:tabs>
          <w:tab w:leader="none" w:pos="121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300" w:firstLine="506"/>
        <w:spacing w:after="0" w:line="266" w:lineRule="auto"/>
        <w:tabs>
          <w:tab w:leader="none" w:pos="122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0" w:firstLine="517"/>
        <w:spacing w:after="0" w:line="282" w:lineRule="auto"/>
        <w:tabs>
          <w:tab w:leader="none" w:pos="68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540" w:firstLine="506"/>
        <w:spacing w:after="0" w:line="282" w:lineRule="auto"/>
        <w:tabs>
          <w:tab w:leader="none" w:pos="121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82" w:lineRule="auto"/>
        <w:tabs>
          <w:tab w:leader="none" w:pos="122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5600" w:val="left"/>
          <w:tab w:leader="none" w:pos="6120" w:val="left"/>
        </w:tabs>
        <w:rPr>
          <w:sz w:val="20"/>
          <w:szCs w:val="20"/>
          <w:color w:val="auto"/>
        </w:rPr>
      </w:pPr>
      <w:r>
        <w:rPr>
          <w:rFonts w:ascii="Times New Roman" w:cs="Times New Roman" w:eastAsia="Times New Roman" w:hAnsi="Times New Roman"/>
          <w:sz w:val="18"/>
          <w:szCs w:val="18"/>
          <w:color w:val="auto"/>
        </w:rPr>
        <w:t>Date: 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3151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4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Jennifer L. Good</w:t>
      </w:r>
    </w:p>
    <w:p>
      <w:pPr>
        <w:spacing w:after="0" w:line="3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4" w:name="page95"/>
    <w:bookmarkEnd w:id="94"/>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OR 15d-14(a) UNDER THE SECURITIES EXCHANGE ACT OF 1934, 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Lisa Delfini, certify that:</w:t>
      </w:r>
    </w:p>
    <w:p>
      <w:pPr>
        <w:spacing w:after="0" w:line="225" w:lineRule="exact"/>
        <w:rPr>
          <w:sz w:val="20"/>
          <w:szCs w:val="20"/>
          <w:color w:val="auto"/>
        </w:rPr>
      </w:pPr>
    </w:p>
    <w:p>
      <w:pPr>
        <w:ind w:left="700" w:hanging="183"/>
        <w:spacing w:after="0"/>
        <w:tabs>
          <w:tab w:leader="none" w:pos="7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Trevi Therapeutics, Inc.;</w:t>
      </w:r>
    </w:p>
    <w:p>
      <w:pPr>
        <w:spacing w:after="0" w:line="225"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80" w:firstLine="517"/>
        <w:spacing w:after="0" w:line="266" w:lineRule="auto"/>
        <w:tabs>
          <w:tab w:leader="none" w:pos="68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firstLine="506"/>
        <w:spacing w:after="0" w:line="266" w:lineRule="auto"/>
        <w:tabs>
          <w:tab w:leader="none" w:pos="121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200" w:firstLine="506"/>
        <w:spacing w:after="0" w:line="266" w:lineRule="auto"/>
        <w:tabs>
          <w:tab w:leader="none" w:pos="122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320" w:firstLine="506"/>
        <w:spacing w:after="0" w:line="282" w:lineRule="auto"/>
        <w:tabs>
          <w:tab w:leader="none" w:pos="121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300" w:firstLine="506"/>
        <w:spacing w:after="0" w:line="266" w:lineRule="auto"/>
        <w:tabs>
          <w:tab w:leader="none" w:pos="122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0" w:firstLine="517"/>
        <w:spacing w:after="0" w:line="282" w:lineRule="auto"/>
        <w:tabs>
          <w:tab w:leader="none" w:pos="68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540" w:firstLine="506"/>
        <w:spacing w:after="0" w:line="282" w:lineRule="auto"/>
        <w:tabs>
          <w:tab w:leader="none" w:pos="121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82" w:lineRule="auto"/>
        <w:tabs>
          <w:tab w:leader="none" w:pos="122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5600" w:val="left"/>
          <w:tab w:leader="none" w:pos="6120" w:val="left"/>
        </w:tabs>
        <w:rPr>
          <w:sz w:val="20"/>
          <w:szCs w:val="20"/>
          <w:color w:val="auto"/>
        </w:rPr>
      </w:pPr>
      <w:r>
        <w:rPr>
          <w:rFonts w:ascii="Times New Roman" w:cs="Times New Roman" w:eastAsia="Times New Roman" w:hAnsi="Times New Roman"/>
          <w:sz w:val="18"/>
          <w:szCs w:val="18"/>
          <w:color w:val="auto"/>
        </w:rPr>
        <w:t>Date: 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Lisa Delfini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3151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231515" cy="8890"/>
                    </a:xfrm>
                    <a:prstGeom prst="rect">
                      <a:avLst/>
                    </a:prstGeom>
                    <a:noFill/>
                  </pic:spPr>
                </pic:pic>
              </a:graphicData>
            </a:graphic>
          </wp:anchor>
        </w:drawing>
      </w:r>
    </w:p>
    <w:p>
      <w:pPr>
        <w:spacing w:after="0" w:line="4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Lisa Delfini</w:t>
      </w:r>
    </w:p>
    <w:p>
      <w:pPr>
        <w:spacing w:after="0" w:line="3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Trevi Therapeutics, Inc. (the “Company”) for the period ended September 30, 2024, as filed with the Securities and Exchange Commission on the date hereof (the “Report”), the undersigned, Jennifer L. Good, President and Chief Executive Officer of the Company, hereby certifies, pursuant to 18 U.S.C. Section 1350, as adopted pursuant to Section 906 of the Sarbanes-Oxley Act of 2002, that to her knowledge:</w:t>
      </w:r>
    </w:p>
    <w:p>
      <w:pPr>
        <w:spacing w:after="0" w:line="180" w:lineRule="exact"/>
        <w:rPr>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5500" w:val="left"/>
          <w:tab w:leader="none" w:pos="5960" w:val="left"/>
        </w:tabs>
        <w:rPr>
          <w:sz w:val="20"/>
          <w:szCs w:val="20"/>
          <w:color w:val="auto"/>
        </w:rPr>
      </w:pPr>
      <w:r>
        <w:rPr>
          <w:rFonts w:ascii="Times New Roman" w:cs="Times New Roman" w:eastAsia="Times New Roman" w:hAnsi="Times New Roman"/>
          <w:sz w:val="18"/>
          <w:szCs w:val="18"/>
          <w:color w:val="auto"/>
        </w:rPr>
        <w:t>Date: 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3438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4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Jennifer L. Good</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Trevi Therapeutics, Inc. (the “Company”) for the period ended September 30, 2024, as filed with the Securities and Exchange Commission on the date hereof (the “Report”), the undersigned, Lisa Delfini, Chief Financial Officer of the Company, hereby certifies, pursuant to 18 U.S.C. Section 1350, as adopted pursuant to Section 906 of the Sarbanes-Oxley Act of 2002, that to her knowledge:</w:t>
      </w:r>
    </w:p>
    <w:p>
      <w:pPr>
        <w:spacing w:after="0" w:line="180" w:lineRule="exact"/>
        <w:rPr>
          <w:sz w:val="20"/>
          <w:szCs w:val="20"/>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5500" w:val="left"/>
          <w:tab w:leader="none" w:pos="5960" w:val="left"/>
        </w:tabs>
        <w:rPr>
          <w:sz w:val="20"/>
          <w:szCs w:val="20"/>
          <w:color w:val="auto"/>
        </w:rPr>
      </w:pPr>
      <w:r>
        <w:rPr>
          <w:rFonts w:ascii="Times New Roman" w:cs="Times New Roman" w:eastAsia="Times New Roman" w:hAnsi="Times New Roman"/>
          <w:sz w:val="18"/>
          <w:szCs w:val="18"/>
          <w:color w:val="auto"/>
        </w:rPr>
        <w:t>Date: 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Lisa Delfini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3438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4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Lisa Delfini</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7" w:name="page98"/>
    <w:bookmarkEnd w:id="9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1."/>
      <w:numFmt w:val="decimal"/>
      <w:start w:val="1"/>
    </w:lvl>
  </w:abstractNum>
  <w:abstractNum w:abstractNumId="6">
    <w:nsid w:val="2463B9EA"/>
    <w:multiLevelType w:val="hybridMultilevel"/>
    <w:lvl w:ilvl="0">
      <w:lvlJc w:val="left"/>
      <w:lvlText w:val="%1."/>
      <w:numFmt w:val="decimal"/>
      <w:start w:val="2"/>
    </w:lvl>
  </w:abstractNum>
  <w:abstractNum w:abstractNumId="7">
    <w:nsid w:val="5E884ADC"/>
    <w:multiLevelType w:val="hybridMultilevel"/>
    <w:lvl w:ilvl="0">
      <w:lvlJc w:val="left"/>
      <w:lvlText w:val="%1."/>
      <w:numFmt w:val="decimal"/>
      <w:start w:val="3"/>
    </w:lvl>
  </w:abstractNum>
  <w:abstractNum w:abstractNumId="8">
    <w:nsid w:val="51EAD36B"/>
    <w:multiLevelType w:val="hybridMultilevel"/>
    <w:lvl w:ilvl="0">
      <w:lvlJc w:val="left"/>
      <w:lvlText w:val="%1."/>
      <w:numFmt w:val="decimal"/>
      <w:start w:val="4"/>
    </w:lvl>
  </w:abstractNum>
  <w:abstractNum w:abstractNumId="9">
    <w:nsid w:val="2D517796"/>
    <w:multiLevelType w:val="hybridMultilevel"/>
    <w:lvl w:ilvl="0">
      <w:lvlJc w:val="left"/>
      <w:lvlText w:val="%1."/>
      <w:numFmt w:val="decimal"/>
      <w:start w:val="5"/>
    </w:lvl>
  </w:abstractNum>
  <w:abstractNum w:abstractNumId="10">
    <w:nsid w:val="580BD78F"/>
    <w:multiLevelType w:val="hybridMultilevel"/>
    <w:lvl w:ilvl="0">
      <w:lvlJc w:val="left"/>
      <w:lvlText w:val="%1."/>
      <w:numFmt w:val="decimal"/>
      <w:start w:val="6"/>
    </w:lvl>
  </w:abstractNum>
  <w:abstractNum w:abstractNumId="11">
    <w:nsid w:val="153EA438"/>
    <w:multiLevelType w:val="hybridMultilevel"/>
    <w:lvl w:ilvl="0">
      <w:lvlJc w:val="left"/>
      <w:lvlText w:val="%1."/>
      <w:numFmt w:val="decimal"/>
      <w:start w:val="7"/>
    </w:lvl>
  </w:abstractNum>
  <w:abstractNum w:abstractNumId="12">
    <w:nsid w:val="3855585C"/>
    <w:multiLevelType w:val="hybridMultilevel"/>
    <w:lvl w:ilvl="0">
      <w:lvlJc w:val="left"/>
      <w:lvlText w:val="(%1)"/>
      <w:numFmt w:val="upperLetter"/>
      <w:start w:val="1"/>
    </w:lvl>
  </w:abstractNum>
  <w:abstractNum w:abstractNumId="13">
    <w:nsid w:val="70A64E2A"/>
    <w:multiLevelType w:val="hybridMultilevel"/>
    <w:lvl w:ilvl="0">
      <w:lvlJc w:val="left"/>
      <w:lvlText w:val="%1."/>
      <w:numFmt w:val="decimal"/>
      <w:start w:val="8"/>
    </w:lvl>
  </w:abstractNum>
  <w:abstractNum w:abstractNumId="14">
    <w:nsid w:val="6A2342EC"/>
    <w:multiLevelType w:val="hybridMultilevel"/>
    <w:lvl w:ilvl="0">
      <w:lvlJc w:val="left"/>
      <w:lvlText w:val="%1."/>
      <w:numFmt w:val="decimal"/>
      <w:start w:val="9"/>
    </w:lvl>
  </w:abstractNum>
  <w:abstractNum w:abstractNumId="15">
    <w:nsid w:val="2A487CB0"/>
    <w:multiLevelType w:val="hybridMultilevel"/>
    <w:lvl w:ilvl="0">
      <w:lvlJc w:val="left"/>
      <w:lvlText w:val="%1."/>
      <w:numFmt w:val="decimal"/>
      <w:start w:val="10"/>
    </w:lvl>
  </w:abstractNum>
  <w:abstractNum w:abstractNumId="16">
    <w:nsid w:val="1D4ED43B"/>
    <w:multiLevelType w:val="hybridMultilevel"/>
    <w:lvl w:ilvl="0">
      <w:lvlJc w:val="left"/>
      <w:lvlText w:val="%1."/>
      <w:numFmt w:val="decimal"/>
      <w:start w:val="11"/>
    </w:lvl>
  </w:abstractNum>
  <w:abstractNum w:abstractNumId="17">
    <w:nsid w:val="725A06FB"/>
    <w:multiLevelType w:val="hybridMultilevel"/>
    <w:lvl w:ilvl="0">
      <w:lvlJc w:val="left"/>
      <w:lvlText w:val="%1."/>
      <w:numFmt w:val="decimal"/>
      <w:start w:val="12"/>
    </w:lvl>
  </w:abstractNum>
  <w:abstractNum w:abstractNumId="18">
    <w:nsid w:val="2CD89A32"/>
    <w:multiLevelType w:val="hybridMultilevel"/>
    <w:lvl w:ilvl="0">
      <w:lvlJc w:val="left"/>
      <w:lvlText w:val="(%1)"/>
      <w:numFmt w:val="lowerRoman"/>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1)"/>
      <w:numFmt w:val="decimal"/>
      <w:start w:val="4"/>
    </w:lvl>
  </w:abstractNum>
  <w:abstractNum w:abstractNumId="51">
    <w:nsid w:val="10233C99"/>
    <w:multiLevelType w:val="hybridMultilevel"/>
    <w:lvl w:ilvl="0">
      <w:lvlJc w:val="left"/>
      <w:lvlText w:val="*"/>
      <w:numFmt w:val="bullet"/>
      <w:start w:val="1"/>
    </w:lvl>
    <w:lvl w:ilvl="1">
      <w:lvlJc w:val="left"/>
      <w:lvlText w:val="%2"/>
      <w:numFmt w:val="decimal"/>
      <w:start w:val="104"/>
    </w:lvl>
  </w:abstractNum>
  <w:abstractNum w:abstractNumId="52">
    <w:nsid w:val="3F6AB60F"/>
    <w:multiLevelType w:val="hybridMultilevel"/>
    <w:lvl w:ilvl="0">
      <w:lvlJc w:val="left"/>
      <w:lvlText w:val="**"/>
      <w:numFmt w:val="bullet"/>
      <w:start w:val="1"/>
    </w:lvl>
    <w:lvl w:ilvl="1">
      <w:lvlJc w:val="left"/>
      <w:lvlText w:val="%2"/>
      <w:numFmt w:val="decimal"/>
      <w:start w:val="1"/>
    </w:lvl>
  </w:abstractNum>
  <w:abstractNum w:abstractNumId="53">
    <w:nsid w:val="61574095"/>
    <w:multiLevelType w:val="hybridMultilevel"/>
    <w:lvl w:ilvl="0">
      <w:lvlJc w:val="left"/>
      <w:lvlText w:val="%1."/>
      <w:numFmt w:val="decimal"/>
      <w:start w:val="1"/>
    </w:lvl>
  </w:abstractNum>
  <w:abstractNum w:abstractNumId="54">
    <w:nsid w:val="7E0C57B1"/>
    <w:multiLevelType w:val="hybridMultilevel"/>
    <w:lvl w:ilvl="0">
      <w:lvlJc w:val="left"/>
      <w:lvlText w:val="%1."/>
      <w:numFmt w:val="decimal"/>
      <w:start w:val="2"/>
    </w:lvl>
  </w:abstractNum>
  <w:abstractNum w:abstractNumId="55">
    <w:nsid w:val="77AE35EB"/>
    <w:multiLevelType w:val="hybridMultilevel"/>
    <w:lvl w:ilvl="0">
      <w:lvlJc w:val="left"/>
      <w:lvlText w:val="%1."/>
      <w:numFmt w:val="decimal"/>
      <w:start w:val="3"/>
    </w:lvl>
  </w:abstractNum>
  <w:abstractNum w:abstractNumId="56">
    <w:nsid w:val="579BE4F1"/>
    <w:multiLevelType w:val="hybridMultilevel"/>
    <w:lvl w:ilvl="0">
      <w:lvlJc w:val="left"/>
      <w:lvlText w:val="%1."/>
      <w:numFmt w:val="decimal"/>
      <w:start w:val="4"/>
    </w:lvl>
  </w:abstractNum>
  <w:abstractNum w:abstractNumId="57">
    <w:nsid w:val="310C50B3"/>
    <w:multiLevelType w:val="hybridMultilevel"/>
    <w:lvl w:ilvl="0">
      <w:lvlJc w:val="left"/>
      <w:lvlText w:val="%1."/>
      <w:numFmt w:val="decimal"/>
      <w:start w:val="5"/>
    </w:lvl>
  </w:abstractNum>
  <w:abstractNum w:abstractNumId="58">
    <w:nsid w:val="5FF87E05"/>
    <w:multiLevelType w:val="hybridMultilevel"/>
    <w:lvl w:ilvl="0">
      <w:lvlJc w:val="left"/>
      <w:lvlText w:val="(%1)"/>
      <w:numFmt w:val="lowerRoman"/>
      <w:start w:val="3"/>
    </w:lvl>
  </w:abstractNum>
  <w:abstractNum w:abstractNumId="59">
    <w:nsid w:val="2F305DEF"/>
    <w:multiLevelType w:val="hybridMultilevel"/>
    <w:lvl w:ilvl="0">
      <w:lvlJc w:val="left"/>
      <w:lvlText w:val="%1."/>
      <w:numFmt w:val="decimal"/>
      <w:start w:val="6"/>
    </w:lvl>
  </w:abstractNum>
  <w:abstractNum w:abstractNumId="60">
    <w:nsid w:val="25A70BF7"/>
    <w:multiLevelType w:val="hybridMultilevel"/>
    <w:lvl w:ilvl="0">
      <w:lvlJc w:val="left"/>
      <w:lvlText w:val="%1."/>
      <w:numFmt w:val="decimal"/>
      <w:start w:val="8"/>
    </w:lvl>
  </w:abstractNum>
  <w:abstractNum w:abstractNumId="61">
    <w:nsid w:val="1DBABF00"/>
    <w:multiLevelType w:val="hybridMultilevel"/>
    <w:lvl w:ilvl="0">
      <w:lvlJc w:val="left"/>
      <w:lvlText w:val="%1."/>
      <w:numFmt w:val="decimal"/>
      <w:start w:val="1"/>
    </w:lvl>
  </w:abstractNum>
  <w:abstractNum w:abstractNumId="62">
    <w:nsid w:val="4AD084E9"/>
    <w:multiLevelType w:val="hybridMultilevel"/>
    <w:lvl w:ilvl="0">
      <w:lvlJc w:val="left"/>
      <w:lvlText w:val="%1."/>
      <w:numFmt w:val="lowerLetter"/>
      <w:start w:val="1"/>
    </w:lvl>
  </w:abstractNum>
  <w:abstractNum w:abstractNumId="63">
    <w:nsid w:val="1F48EAA1"/>
    <w:multiLevelType w:val="hybridMultilevel"/>
    <w:lvl w:ilvl="0">
      <w:lvlJc w:val="left"/>
      <w:lvlText w:val="•"/>
      <w:numFmt w:val="bullet"/>
      <w:start w:val="1"/>
    </w:lvl>
  </w:abstractNum>
  <w:abstractNum w:abstractNumId="64">
    <w:nsid w:val="1381823A"/>
    <w:multiLevelType w:val="hybridMultilevel"/>
    <w:lvl w:ilvl="0">
      <w:lvlJc w:val="left"/>
      <w:lvlText w:val="•"/>
      <w:numFmt w:val="bullet"/>
      <w:start w:val="1"/>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2024-11-06T16:03:25Z</dcterms:created>
  <dcterms:modified xsi:type="dcterms:W3CDTF">2024-11-06T16:03:25Z</dcterms:modified>
</cp:coreProperties>
</file>