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17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-7620</wp:posOffset>
            </wp:positionV>
            <wp:extent cx="952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6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jc w:val="right"/>
              <w:ind w:right="234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jc w:val="center"/>
              <w:ind w:left="103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40" w:type="dxa"/>
            <w:vAlign w:val="bottom"/>
          </w:tcPr>
          <w:p>
            <w:pPr>
              <w:jc w:val="center"/>
              <w:ind w:right="206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20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56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0"/>
              </w:rPr>
              <w:t>New Haven, Connecticut</w:t>
            </w: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jc w:val="right"/>
              <w:ind w:right="254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20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7"/>
          </w:tcPr>
          <w:p>
            <w:pPr>
              <w:jc w:val="center"/>
              <w:ind w:left="34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80" w:type="dxa"/>
            <w:vAlign w:val="bottom"/>
            <w:gridSpan w:val="4"/>
            <w:vMerge w:val="restart"/>
          </w:tcPr>
          <w:p>
            <w:pPr>
              <w:jc w:val="center"/>
              <w:ind w:right="60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80" w:type="dxa"/>
            <w:vAlign w:val="bottom"/>
            <w:gridSpan w:val="4"/>
            <w:vMerge w:val="continue"/>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3"/>
            <w:vMerge w:val="continue"/>
          </w:tcPr>
          <w:p>
            <w:pPr>
              <w:spacing w:after="0"/>
              <w:rPr>
                <w:sz w:val="14"/>
                <w:szCs w:val="14"/>
                <w:color w:val="auto"/>
              </w:rPr>
            </w:pPr>
          </w:p>
        </w:tc>
        <w:tc>
          <w:tcPr>
            <w:tcW w:w="330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38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1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jc w:val="both"/>
        <w:ind w:right="4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26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3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12, 2019, the registrant had 17,834,570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33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clinical trials, including our Phase 2b/3 PRISM trial of nalbuphine ER for the treatment of pruritus associated with prurigo nodularis;</w:t>
      </w:r>
    </w:p>
    <w:p>
      <w:pPr>
        <w:spacing w:after="0" w:line="140" w:lineRule="exact"/>
        <w:rPr>
          <w:rFonts w:ascii="Arial" w:cs="Arial" w:eastAsia="Arial" w:hAnsi="Arial"/>
          <w:sz w:val="16"/>
          <w:szCs w:val="16"/>
          <w:color w:val="auto"/>
        </w:rPr>
      </w:pPr>
    </w:p>
    <w:p>
      <w:pPr>
        <w:ind w:left="900" w:right="8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nalbuphine ER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nalbuphine ER;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2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3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gridSpan w:val="6"/>
          </w:tcPr>
          <w:p>
            <w:pPr>
              <w:ind w:left="40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820" w:type="dxa"/>
            <w:vAlign w:val="bottom"/>
            <w:gridSpan w:val="16"/>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Redeemable Convertible Preferred Stock and Stockholders’ Equity (Deficit)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502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36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8040" w:type="dxa"/>
            <w:vAlign w:val="bottom"/>
            <w:gridSpan w:val="1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OTHER INFORMATION</w:t>
              </w:r>
            </w:hyperlink>
          </w:p>
        </w:tc>
        <w:tc>
          <w:tcPr>
            <w:tcW w:w="792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8"/>
                <w:szCs w:val="18"/>
                <w:color w:val="auto"/>
              </w:rPr>
            </w:pPr>
          </w:p>
        </w:tc>
        <w:tc>
          <w:tcPr>
            <w:tcW w:w="8480" w:type="dxa"/>
            <w:vAlign w:val="bottom"/>
            <w:gridSpan w:val="1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Unregistered Sales of Equity Securities and Use of Proceeds</w:t>
              </w:r>
            </w:hyperlink>
          </w:p>
        </w:tc>
        <w:tc>
          <w:tcPr>
            <w:tcW w:w="546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Current assets: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02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71,387</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Arial" w:cs="Arial" w:eastAsia="Arial" w:hAnsi="Arial"/>
                <w:sz w:val="17"/>
                <w:szCs w:val="17"/>
                <w:color w:val="auto"/>
              </w:rPr>
              <w:t>Tax credit and other receivables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w:t>
            </w:r>
          </w:p>
        </w:tc>
        <w:tc>
          <w:tcPr>
            <w:tcW w:w="7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74,608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Security deposit</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7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75,116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Current liabilities: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02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2,663</w:t>
            </w:r>
          </w:p>
        </w:tc>
        <w:tc>
          <w:tcPr>
            <w:tcW w:w="18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7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7,105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Obligation for loan success fee</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Series C redeemable convertible preferred stock liability</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Operating lease liability - long term portion</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13)</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tcPr>
          <w:p>
            <w:pPr>
              <w:spacing w:after="0"/>
              <w:rPr>
                <w:sz w:val="20"/>
                <w:szCs w:val="20"/>
                <w:color w:val="auto"/>
              </w:rPr>
            </w:pPr>
            <w:r>
              <w:rPr>
                <w:rFonts w:ascii="Arial" w:cs="Arial" w:eastAsia="Arial" w:hAnsi="Arial"/>
                <w:sz w:val="17"/>
                <w:szCs w:val="17"/>
                <w:color w:val="auto"/>
              </w:rPr>
              <w:t>Series A redeemable convertible preferred stock: no shares and 15,387,923</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shares authorized, issued and outstanding at June 30, 2019 and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December 31, 2018, respectively; liquidation preference of $0 and $20,469 at June 30,</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Arial" w:cs="Arial" w:eastAsia="Arial" w:hAnsi="Arial"/>
                <w:sz w:val="17"/>
                <w:szCs w:val="17"/>
                <w:color w:val="auto"/>
              </w:rPr>
              <w:t>2019 and December 31, 2018, respectively.</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Series B redeemable convertible preferred stock: no shares and 22,608,695 shares</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authorized, issued and outstanding at June 30, 2019 and December 31, 2018,</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respectively; liquidation preference of $0 and $32,900 at June 30, 2019 and</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2018, respectively.</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080" w:type="dxa"/>
            <w:vAlign w:val="bottom"/>
          </w:tcPr>
          <w:p>
            <w:pPr>
              <w:spacing w:after="0"/>
              <w:rPr>
                <w:sz w:val="20"/>
                <w:szCs w:val="20"/>
                <w:color w:val="auto"/>
              </w:rPr>
            </w:pPr>
            <w:r>
              <w:rPr>
                <w:rFonts w:ascii="Arial" w:cs="Arial" w:eastAsia="Arial" w:hAnsi="Arial"/>
                <w:sz w:val="17"/>
                <w:szCs w:val="17"/>
                <w:color w:val="auto"/>
              </w:rPr>
              <w:t>Series C redeemable convertible preferred stock: no shares and 48,200,412</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shares authorized at June 30, 2019 and December 31, 2018, respectively; and no shares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and 38,097,672 shares issued and outstanding at June 30, 2019 and December 31, 2018,</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respectively; liquidation preference of $0 and $59,798 at June 30, 2019</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Arial" w:cs="Arial" w:eastAsia="Arial" w:hAnsi="Arial"/>
                <w:sz w:val="17"/>
                <w:szCs w:val="17"/>
                <w:color w:val="auto"/>
              </w:rPr>
              <w:t>and December 31, 2018, respectively.</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 (deficit):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080" w:type="dxa"/>
            <w:vAlign w:val="bottom"/>
          </w:tcPr>
          <w:p>
            <w:pPr>
              <w:spacing w:after="0"/>
              <w:rPr>
                <w:sz w:val="20"/>
                <w:szCs w:val="20"/>
                <w:color w:val="auto"/>
              </w:rPr>
            </w:pPr>
            <w:r>
              <w:rPr>
                <w:rFonts w:ascii="Arial" w:cs="Arial" w:eastAsia="Arial" w:hAnsi="Arial"/>
                <w:sz w:val="17"/>
                <w:szCs w:val="17"/>
                <w:color w:val="auto"/>
              </w:rPr>
              <w:t>Common stock: $0.001 par value; 200,000,000 and 101,929,904 shares authorized at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June 30, 2019 and December 31, 2018, respectively; and 17,834,570 and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Arial" w:cs="Arial" w:eastAsia="Arial" w:hAnsi="Arial"/>
                <w:sz w:val="17"/>
                <w:szCs w:val="17"/>
                <w:color w:val="auto"/>
              </w:rPr>
              <w:t>438,600 shares issued and outstanding at June 30, 2019 and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Arial" w:cs="Arial" w:eastAsia="Arial" w:hAnsi="Arial"/>
                <w:sz w:val="17"/>
                <w:szCs w:val="17"/>
                <w:color w:val="auto"/>
              </w:rPr>
              <w:t>December 31, 2018, respectively.</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$0.001 par value; 5,000,000 shares and no shares authorized at</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June 30, 2019 and December 31, 2018, respectively; no shares issued or outstanding</w:t>
            </w: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 June 30, 2019 or December 31, 2018.</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168,002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(100,317)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(109,498)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 (deficit)</w:t>
            </w:r>
          </w:p>
        </w:tc>
        <w:tc>
          <w:tcPr>
            <w:tcW w:w="70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67,703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(109,494)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7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75,116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8,866</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Change in fair value of Series C redeemable convertible preferred stock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10,571,736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438,606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5,535,907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5"/>
              </w:rPr>
              <w:t>Series B</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5"/>
              </w:rPr>
              <w:t>Series C</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49"/>
              <w:spacing w:after="0"/>
              <w:rPr>
                <w:sz w:val="20"/>
                <w:szCs w:val="20"/>
                <w:color w:val="auto"/>
              </w:rPr>
            </w:pPr>
            <w:r>
              <w:rPr>
                <w:rFonts w:ascii="Arial" w:cs="Arial" w:eastAsia="Arial" w:hAnsi="Arial"/>
                <w:sz w:val="14"/>
                <w:szCs w:val="14"/>
                <w:b w:val="1"/>
                <w:bCs w:val="1"/>
                <w:color w:val="auto"/>
                <w:w w:val="84"/>
              </w:rPr>
              <w:t>Redeemable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7"/>
              </w:rPr>
              <w:t>Redeemable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84"/>
              </w:rPr>
              <w:t>Redeemable</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0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Preferred Stock</w:t>
            </w: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Preferred Stock</w:t>
            </w:r>
          </w:p>
        </w:tc>
        <w:tc>
          <w:tcPr>
            <w:tcW w:w="16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9"/>
              </w:rPr>
              <w:t>Paid-</w:t>
            </w:r>
          </w:p>
        </w:tc>
        <w:tc>
          <w:tcPr>
            <w:tcW w:w="1020" w:type="dxa"/>
            <w:vAlign w:val="bottom"/>
            <w:gridSpan w:val="4"/>
          </w:tcPr>
          <w:p>
            <w:pPr>
              <w:jc w:val="right"/>
              <w:ind w:right="139"/>
              <w:spacing w:after="0" w:line="14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760" w:type="dxa"/>
            <w:vAlign w:val="bottom"/>
          </w:tcPr>
          <w:p>
            <w:pPr>
              <w:jc w:val="center"/>
              <w:ind w:right="109"/>
              <w:spacing w:after="0" w:line="143"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76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15,387,923</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21,169</w:t>
            </w:r>
          </w:p>
        </w:tc>
        <w:tc>
          <w:tcPr>
            <w:tcW w:w="1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22,608,695</w:t>
            </w: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33,943</w:t>
            </w: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44,946,987</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73,039</w:t>
            </w:r>
          </w:p>
        </w:tc>
        <w:tc>
          <w:tcPr>
            <w:tcW w:w="10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446,494</w:t>
            </w: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70"/>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(115,480)</w:t>
            </w:r>
          </w:p>
        </w:tc>
        <w:tc>
          <w:tcPr>
            <w:tcW w:w="18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(115,476)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from</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w w:val="95"/>
              </w:rPr>
              <w:t>Dividends accrued on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5,406,844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6,478,999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3,792,386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(amortization) of</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premium (discount) 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issuance of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w w:val="99"/>
              </w:rPr>
              <w:t>Accretion of discount on investor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rights/obligation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 for excess (shortfall)</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of fair value over</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liquidation value of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(545)</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(787)</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Accretion of issuance costs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convertible preferred stock</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to common stock in connection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with initial public offering</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(20,794,767)</w:t>
            </w:r>
          </w:p>
        </w:tc>
        <w:tc>
          <w:tcPr>
            <w:tcW w:w="820" w:type="dxa"/>
            <w:vAlign w:val="bottom"/>
            <w:gridSpan w:val="4"/>
            <w:shd w:val="clear" w:color="auto" w:fill="CFF0FC"/>
          </w:tcPr>
          <w:p>
            <w:pPr>
              <w:jc w:val="right"/>
              <w:ind w:right="140"/>
              <w:spacing w:after="0"/>
              <w:rPr>
                <w:sz w:val="20"/>
                <w:szCs w:val="20"/>
                <w:color w:val="auto"/>
              </w:rPr>
            </w:pPr>
            <w:r>
              <w:rPr>
                <w:rFonts w:ascii="Arial" w:cs="Arial" w:eastAsia="Arial" w:hAnsi="Arial"/>
                <w:sz w:val="14"/>
                <w:szCs w:val="14"/>
                <w:color w:val="auto"/>
              </w:rPr>
              <w:t>(20,792)</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(29,087,694)</w:t>
            </w: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(33,449)</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(48,739,373)</w:t>
            </w:r>
          </w:p>
        </w:tc>
        <w:tc>
          <w:tcPr>
            <w:tcW w:w="680" w:type="dxa"/>
            <w:vAlign w:val="bottom"/>
            <w:tcBorders>
              <w:right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(73,264)</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10,381,234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105,634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21,863</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127,504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completion of initial public</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offering, net of underwriting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discounts and commissions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and issuance costs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5,500,000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48,169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48,174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completion of private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placement, net of private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placement agent fees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13,950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(7,346)</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17,834,570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170"/>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168,002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(100,317</w:t>
            </w:r>
          </w:p>
        </w:tc>
        <w:tc>
          <w:tcPr>
            <w:tcW w:w="180" w:type="dxa"/>
            <w:vAlign w:val="bottom"/>
            <w:tcBorders>
              <w:top w:val="single" w:sz="8" w:color="CFF0FC"/>
              <w:bottom w:val="single" w:sz="8" w:color="CFF0FC"/>
              <w:right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CFF0FC"/>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67,703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2018</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15,387,923</w:t>
            </w:r>
          </w:p>
        </w:tc>
        <w:tc>
          <w:tcPr>
            <w:tcW w:w="1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3"/>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20,615</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22,608,695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32,897</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30,886,507</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46,779</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438,600</w:t>
            </w:r>
          </w:p>
        </w:tc>
        <w:tc>
          <w:tcPr>
            <w:tcW w:w="480" w:type="dxa"/>
            <w:vAlign w:val="bottom"/>
            <w:gridSpan w:val="2"/>
            <w:shd w:val="clear" w:color="auto" w:fill="CFF0FC"/>
          </w:tcPr>
          <w:p>
            <w:pPr>
              <w:jc w:val="right"/>
              <w:ind w:right="1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(89,467)</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(89,463)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Dividends accrued on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Accretion (amortization)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premium (discount)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issuance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9"/>
              </w:rPr>
              <w:t>Accretion of discount on investor</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rights/obligation</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Adjustment for excess (shortfall)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of fair value over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w w:val="99"/>
              </w:rPr>
              <w:t>liquidation value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(153)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of issuance costs 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June 30, 2018</w:t>
            </w: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vMerge w:val="continue"/>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15,387,923</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23"/>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20,752</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22,608,695</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33,157</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30,886,507</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47,500</w:t>
            </w: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438,600</w:t>
            </w:r>
          </w:p>
        </w:tc>
        <w:tc>
          <w:tcPr>
            <w:tcW w:w="480" w:type="dxa"/>
            <w:vAlign w:val="bottom"/>
            <w:gridSpan w:val="2"/>
            <w:shd w:val="clear" w:color="auto" w:fill="CFF0FC"/>
          </w:tcPr>
          <w:p>
            <w:pPr>
              <w:jc w:val="right"/>
              <w:ind w:right="17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60" w:type="dxa"/>
            <w:vAlign w:val="bottom"/>
            <w:gridSpan w:val="2"/>
            <w:shd w:val="clear" w:color="auto" w:fill="CFF0FC"/>
          </w:tcPr>
          <w:p>
            <w:pPr>
              <w:ind w:left="16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FF0FC"/>
            </w:tcBorders>
            <w:gridSpan w:val="2"/>
            <w:shd w:val="clear" w:color="auto" w:fill="CFF0FC"/>
          </w:tcPr>
          <w:p>
            <w:pPr>
              <w:jc w:val="right"/>
              <w:ind w:right="99"/>
              <w:spacing w:after="0" w:line="155" w:lineRule="exact"/>
              <w:rPr>
                <w:sz w:val="20"/>
                <w:szCs w:val="20"/>
                <w:color w:val="auto"/>
              </w:rPr>
            </w:pPr>
            <w:r>
              <w:rPr>
                <w:rFonts w:ascii="Arial" w:cs="Arial" w:eastAsia="Arial" w:hAnsi="Arial"/>
                <w:sz w:val="14"/>
                <w:szCs w:val="14"/>
                <w:color w:val="auto"/>
              </w:rPr>
              <w:t>(95,341)</w:t>
            </w: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 )</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5"/>
              </w:rPr>
              <w:t>Series B</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5"/>
              </w:rPr>
              <w:t>Series C</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49"/>
              <w:spacing w:after="0"/>
              <w:rPr>
                <w:sz w:val="20"/>
                <w:szCs w:val="20"/>
                <w:color w:val="auto"/>
              </w:rPr>
            </w:pPr>
            <w:r>
              <w:rPr>
                <w:rFonts w:ascii="Arial" w:cs="Arial" w:eastAsia="Arial" w:hAnsi="Arial"/>
                <w:sz w:val="14"/>
                <w:szCs w:val="14"/>
                <w:b w:val="1"/>
                <w:bCs w:val="1"/>
                <w:color w:val="auto"/>
                <w:w w:val="84"/>
              </w:rPr>
              <w:t>Redeemable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7"/>
              </w:rPr>
              <w:t>Redeemable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84"/>
              </w:rPr>
              <w:t>Redeemable</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Preferred Stock</w:t>
            </w: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Preferred Stock</w:t>
            </w:r>
          </w:p>
        </w:tc>
        <w:tc>
          <w:tcPr>
            <w:tcW w:w="16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9"/>
              </w:rPr>
              <w:t>Paid-</w:t>
            </w:r>
          </w:p>
        </w:tc>
        <w:tc>
          <w:tcPr>
            <w:tcW w:w="960" w:type="dxa"/>
            <w:vAlign w:val="bottom"/>
            <w:gridSpan w:val="4"/>
          </w:tcPr>
          <w:p>
            <w:pPr>
              <w:jc w:val="right"/>
              <w:ind w:right="79"/>
              <w:spacing w:after="0" w:line="143"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15,387,923</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21,033</w:t>
            </w:r>
          </w:p>
        </w:tc>
        <w:tc>
          <w:tcPr>
            <w:tcW w:w="1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22,608,695</w:t>
            </w: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33,686</w:t>
            </w: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38,097,672</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61,023</w:t>
            </w:r>
          </w:p>
        </w:tc>
        <w:tc>
          <w:tcPr>
            <w:tcW w:w="10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438,600</w:t>
            </w: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9"/>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(109,498)</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(109,494)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from</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14,736</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w w:val="97"/>
              </w:rPr>
              <w:t>Issuance of Series C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convertible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w w:val="98"/>
              </w:rPr>
              <w:t>preferred stock, net of issuance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costs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6,849,315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11,059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Dividends accrued on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5,406,844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6,478,999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3,792,386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(2,239)</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Accretion (amortization)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premium (discount)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issuance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9"/>
              </w:rPr>
              <w:t>Accretion of discount on investor</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rights/obligation</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(201)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Adjustment for excess (shortfall)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of fair value over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w w:val="99"/>
              </w:rPr>
              <w:t>liquidation value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(651)</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(940)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of issuance costs 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(234)</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Conversion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w w:val="99"/>
              </w:rPr>
              <w:t>to common stock in connection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with initial public offering</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(20,794,767)</w:t>
            </w:r>
          </w:p>
        </w:tc>
        <w:tc>
          <w:tcPr>
            <w:tcW w:w="820" w:type="dxa"/>
            <w:vAlign w:val="bottom"/>
            <w:gridSpan w:val="4"/>
          </w:tcPr>
          <w:p>
            <w:pPr>
              <w:jc w:val="right"/>
              <w:ind w:right="140"/>
              <w:spacing w:after="0"/>
              <w:rPr>
                <w:sz w:val="20"/>
                <w:szCs w:val="20"/>
                <w:color w:val="auto"/>
              </w:rPr>
            </w:pPr>
            <w:r>
              <w:rPr>
                <w:rFonts w:ascii="Arial" w:cs="Arial" w:eastAsia="Arial" w:hAnsi="Arial"/>
                <w:sz w:val="14"/>
                <w:szCs w:val="14"/>
                <w:color w:val="auto"/>
              </w:rPr>
              <w:t>(20,792)</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(29,087,694)</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(33,449)</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(48,739,373)</w:t>
            </w:r>
          </w:p>
        </w:tc>
        <w:tc>
          <w:tcPr>
            <w:tcW w:w="6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(73,264)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10,381,234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105,464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127,504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completion of initial public</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offering, net of underwriting</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discounts and commissions</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and issuance costs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5,500,000</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48,169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completion of private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placement, net of private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placement agent fees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13,948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(12,148)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(12,148)</w:t>
            </w:r>
          </w:p>
        </w:tc>
        <w:tc>
          <w:tcPr>
            <w:tcW w:w="0" w:type="dxa"/>
            <w:vAlign w:val="bottom"/>
          </w:tcPr>
          <w:p>
            <w:pPr>
              <w:spacing w:after="0"/>
              <w:rPr>
                <w:sz w:val="1"/>
                <w:szCs w:val="1"/>
                <w:color w:val="auto"/>
              </w:rPr>
            </w:pPr>
          </w:p>
        </w:tc>
      </w:tr>
      <w:tr>
        <w:trPr>
          <w:trHeight w:val="196"/>
        </w:trPr>
        <w:tc>
          <w:tcPr>
            <w:tcW w:w="2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17,834,570</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168,002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(100,317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b w:val="1"/>
                <w:bCs w:val="1"/>
                <w:color w:val="auto"/>
              </w:rPr>
              <w:t>Balance at December 31, 2017</w:t>
            </w:r>
          </w:p>
        </w:tc>
        <w:tc>
          <w:tcPr>
            <w:tcW w:w="800" w:type="dxa"/>
            <w:vAlign w:val="bottom"/>
          </w:tcPr>
          <w:p>
            <w:pPr>
              <w:jc w:val="right"/>
              <w:spacing w:after="0"/>
              <w:rPr>
                <w:sz w:val="20"/>
                <w:szCs w:val="20"/>
                <w:color w:val="auto"/>
              </w:rPr>
            </w:pPr>
            <w:r>
              <w:rPr>
                <w:rFonts w:ascii="Arial" w:cs="Arial" w:eastAsia="Arial" w:hAnsi="Arial"/>
                <w:sz w:val="14"/>
                <w:szCs w:val="14"/>
                <w:color w:val="auto"/>
              </w:rPr>
              <w:t>15,387,923</w:t>
            </w:r>
          </w:p>
        </w:tc>
        <w:tc>
          <w:tcPr>
            <w:tcW w:w="100" w:type="dxa"/>
            <w:vAlign w:val="bottom"/>
          </w:tcPr>
          <w:p>
            <w:pPr>
              <w:spacing w:after="0"/>
              <w:rPr>
                <w:sz w:val="14"/>
                <w:szCs w:val="14"/>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20,479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22,608,695</w:t>
            </w:r>
          </w:p>
        </w:tc>
        <w:tc>
          <w:tcPr>
            <w:tcW w:w="16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32,640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30,886,507</w:t>
            </w:r>
          </w:p>
        </w:tc>
        <w:tc>
          <w:tcPr>
            <w:tcW w:w="18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46,087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432,921</w:t>
            </w:r>
          </w:p>
        </w:tc>
        <w:tc>
          <w:tcPr>
            <w:tcW w:w="4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(84,432)</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(84,428)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Issuance of common stock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Dividends accrued on 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(2,370)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(2,573)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Accretion (amortization)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premium (discount)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rPr>
              <w:t>issuance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9"/>
              </w:rPr>
              <w:t>Accretion of discount on investor</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rights/obligation</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line="143" w:lineRule="exact"/>
              <w:rPr>
                <w:sz w:val="20"/>
                <w:szCs w:val="20"/>
                <w:color w:val="auto"/>
              </w:rPr>
            </w:pPr>
            <w:r>
              <w:rPr>
                <w:rFonts w:ascii="Arial" w:cs="Arial" w:eastAsia="Arial" w:hAnsi="Arial"/>
                <w:sz w:val="14"/>
                <w:szCs w:val="14"/>
                <w:color w:val="auto"/>
              </w:rPr>
              <w:t>Adjustment for excess (shortfall)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of fair value over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00"/>
              <w:spacing w:after="0" w:line="149" w:lineRule="exact"/>
              <w:rPr>
                <w:sz w:val="20"/>
                <w:szCs w:val="20"/>
                <w:color w:val="auto"/>
              </w:rPr>
            </w:pPr>
            <w:r>
              <w:rPr>
                <w:rFonts w:ascii="Arial" w:cs="Arial" w:eastAsia="Arial" w:hAnsi="Arial"/>
                <w:sz w:val="14"/>
                <w:szCs w:val="14"/>
                <w:color w:val="auto"/>
                <w:w w:val="99"/>
              </w:rPr>
              <w:t>liquidation value of redeemable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convertible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preferred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(212)</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(306)</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of issuance costs on</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redeemable</w:t>
            </w: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convertible preferred stock</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(55)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(8,909)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(8,909)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15,387,923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20,752</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22,608,695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33,157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30,886,507</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47,500</w:t>
            </w:r>
          </w:p>
        </w:tc>
        <w:tc>
          <w:tcPr>
            <w:tcW w:w="1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438,600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169"/>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(95,341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(95,337)</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Net loss</w:t>
            </w:r>
          </w:p>
        </w:tc>
        <w:tc>
          <w:tcPr>
            <w:tcW w:w="1860" w:type="dxa"/>
            <w:vAlign w:val="bottom"/>
            <w:gridSpan w:val="2"/>
          </w:tcPr>
          <w:p>
            <w:pPr>
              <w:jc w:val="right"/>
              <w:ind w:right="79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(12,148)</w:t>
            </w:r>
          </w:p>
        </w:tc>
        <w:tc>
          <w:tcPr>
            <w:tcW w:w="48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(8,909)</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fair value of Series C redeemable convertible preferred stock liability</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Changes in fair value of obligation for loan success fee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Accretion/accrual of term loan discounts and debt issuance costs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Receivables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(1,532)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(1,559)</w:t>
            </w: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Arial" w:cs="Arial" w:eastAsia="Arial" w:hAnsi="Arial"/>
                <w:sz w:val="17"/>
                <w:szCs w:val="17"/>
                <w:color w:val="auto"/>
              </w:rPr>
              <w:t>Security deposit</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operating activities</w:t>
            </w:r>
          </w:p>
        </w:tc>
        <w:tc>
          <w:tcPr>
            <w:tcW w:w="8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(9,157)</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Acquisitions of property, equipment and leasehold improvements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Repayments of term loan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(4,812)</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Payment of final fees on term loan</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Payment of loan success fee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stock options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tcPr>
          <w:p>
            <w:pPr>
              <w:spacing w:after="0"/>
              <w:rPr>
                <w:sz w:val="20"/>
                <w:szCs w:val="20"/>
                <w:color w:val="auto"/>
              </w:rPr>
            </w:pPr>
            <w:r>
              <w:rPr>
                <w:rFonts w:ascii="Arial" w:cs="Arial" w:eastAsia="Arial" w:hAnsi="Arial"/>
                <w:sz w:val="17"/>
                <w:szCs w:val="17"/>
                <w:color w:val="auto"/>
              </w:rPr>
              <w:t>Proceeds from sale of Series C redeemable convertible preferred stock, net of</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7"/>
                <w:szCs w:val="17"/>
                <w:color w:val="auto"/>
              </w:rPr>
              <w:t>issuance costs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common shares upon completion of initial public offering, net</w:t>
            </w:r>
          </w:p>
        </w:tc>
        <w:tc>
          <w:tcPr>
            <w:tcW w:w="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underwriting commissions and discounts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Payments of initial public offering costs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(1,075)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private placement, net of private placement agent fees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8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73,351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Net cash increase (decrease)</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64,185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8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8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71,387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Interest paid</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State research tax credits exchanged for cash</w:t>
            </w:r>
          </w:p>
        </w:tc>
        <w:tc>
          <w:tcPr>
            <w:tcW w:w="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vMerge w:val="continue"/>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financing activities</w:t>
            </w:r>
          </w:p>
        </w:tc>
        <w:tc>
          <w:tcPr>
            <w:tcW w:w="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Initial public offering costs included in accounts payable and accrued expenses</w:t>
            </w:r>
          </w:p>
        </w:tc>
        <w:tc>
          <w:tcPr>
            <w:tcW w:w="1860" w:type="dxa"/>
            <w:vAlign w:val="bottom"/>
            <w:gridSpan w:val="2"/>
          </w:tcPr>
          <w:p>
            <w:pPr>
              <w:jc w:val="right"/>
              <w:ind w:right="79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597</w:t>
            </w:r>
          </w:p>
        </w:tc>
        <w:tc>
          <w:tcPr>
            <w:tcW w:w="160" w:type="dxa"/>
            <w:vAlign w:val="bottom"/>
          </w:tcPr>
          <w:p>
            <w:pPr>
              <w:spacing w:after="0"/>
              <w:rPr>
                <w:sz w:val="18"/>
                <w:szCs w:val="18"/>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7"/>
                <w:szCs w:val="17"/>
                <w:color w:val="auto"/>
              </w:rPr>
              <w:t>Dividends accrued on redeemable convertible preferred stock</w:t>
            </w:r>
          </w:p>
        </w:tc>
        <w:tc>
          <w:tcPr>
            <w:tcW w:w="1860" w:type="dxa"/>
            <w:vAlign w:val="bottom"/>
            <w:gridSpan w:val="2"/>
            <w:shd w:val="clear" w:color="auto" w:fill="CFF0FC"/>
          </w:tcPr>
          <w:p>
            <w:pPr>
              <w:jc w:val="right"/>
              <w:ind w:right="798"/>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7"/>
                <w:szCs w:val="17"/>
                <w:color w:val="auto"/>
              </w:rPr>
              <w:t>Accretion on redeemable convertible preferred stock</w:t>
            </w:r>
          </w:p>
        </w:tc>
        <w:tc>
          <w:tcPr>
            <w:tcW w:w="1860" w:type="dxa"/>
            <w:vAlign w:val="bottom"/>
            <w:gridSpan w:val="2"/>
          </w:tcPr>
          <w:p>
            <w:pPr>
              <w:jc w:val="right"/>
              <w:ind w:right="798"/>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(1,535)</w:t>
            </w:r>
          </w:p>
        </w:tc>
        <w:tc>
          <w:tcPr>
            <w:tcW w:w="48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3"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nalbuphine ER to treat serious neurologically mediated conditions. The Company is currently developing nalbuphine ER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nalbuphine ER has the potential to be effective in treating each of these conditions.</w:t>
      </w:r>
    </w:p>
    <w:p>
      <w:pPr>
        <w:spacing w:after="0" w:line="193"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Nalbuphine ER is an oral extended release formulation of nalbuphine. Nalbuphine is a mixed κ-opioid receptor agonist and μ-opioid receptor antagonist that has been approved and marketed as an injectable for pain indications for more than 20 years in both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213"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88"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On May 9, 2019, the Company completed its initial public offering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171"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Upon the closing of the IPO, the Company’s outstanding redeemable convertible preferred stock, including the accrued dividends theron,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66"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$12.1 million for the six months ended June 30, 2019 and $20.5 million for the year ended December 31, 2018. In addition, as of June 30, 2019, the Company had an accumulated deficit of $100.3 million. The Company expects to continue to generate operating losses for the foreseeable future. As of August 12, 2019, the issuance date of these Condensed Consolidated Financial Statements, the Company expects that its cash and cash equivalents of $71.4 million as of June 30, 2019, will be sufficient to fund its operating expenses and capital expenditure requirements through at least 12 months from the date of issuance of these Condensed Consolidated Financial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left="520" w:right="7520" w:hanging="512"/>
        <w:spacing w:after="0" w:line="378" w:lineRule="auto"/>
        <w:tabs>
          <w:tab w:leader="none" w:pos="5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518"/>
        <w:spacing w:after="0" w:line="270" w:lineRule="auto"/>
        <w:rPr>
          <w:sz w:val="20"/>
          <w:szCs w:val="20"/>
          <w:color w:val="auto"/>
        </w:rPr>
      </w:pPr>
      <w:r>
        <w:rPr>
          <w:rFonts w:ascii="Arial" w:cs="Arial" w:eastAsia="Arial" w:hAnsi="Arial"/>
          <w:sz w:val="17"/>
          <w:szCs w:val="17"/>
          <w:color w:val="auto"/>
        </w:rPr>
        <w:t>The accompanying unaudited interim condensed consolidated financial statements for the three and six months ended June 30, 2019 and 2018 included herein, have been prepared in accordance with accounting principles generally accepted in the United States of America (“GAAP”)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2018 included in the final prospectus for the IPO filed with the SEC on May 8, 2019.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18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June 30, 2019 for potential recognition or disclosure in the Condensed Consolidated Financial Statements and concluded there were no subsequent events that required recognition or disclosure other than those provided.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accompanying interim Condensed Consolidated Balance Sheet as of June 30, 2019, the Condensed Consolidated Statements of Operations and the Condensed Consolidated Statements of Redeemable Convertible Preferred Stock and Stockholders’ Equity (Deficit) for the three and six months ended June 30, 2019 and 2018, and the Condensed Consolidated Statements of Cash Flows for the six months ended June 30, 2019 and 2018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2019 and the results of its operations for the three and six months ended June 30, 2019 and 2018, and its cash flows for the six months ended June 30, 2019 and 2018. The results for the three and six months ended June 30, 2019 and 2018 are not necessarily indicative of results to be expected for the year ending December 31, 2019, any other interim period, or any future year or period.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The Company’s financial instruments consist of cash and cash equivalents, tax credit and other receivables, accounts payable, accrued expenses, Series C redeemable convertible preferred stock liability and obligation for loan success fee </w:t>
      </w:r>
      <w:r>
        <w:rPr>
          <w:rFonts w:ascii="Arial" w:cs="Arial" w:eastAsia="Arial" w:hAnsi="Arial"/>
          <w:sz w:val="17"/>
          <w:szCs w:val="17"/>
          <w:i w:val="1"/>
          <w:iCs w:val="1"/>
          <w:color w:val="auto"/>
        </w:rPr>
        <w:t>(Note 6 and Note 8).</w:t>
      </w:r>
      <w:r>
        <w:rPr>
          <w:rFonts w:ascii="Arial" w:cs="Arial" w:eastAsia="Arial" w:hAnsi="Arial"/>
          <w:sz w:val="17"/>
          <w:szCs w:val="17"/>
          <w:color w:val="auto"/>
        </w:rPr>
        <w:t xml:space="preserve">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 term nature of those instruments. The fair value of the obligation for loan success fee was estimated utilizing a probability-weighted income approach, including variables for the timing of the success event and other probability estimates. The fair value of Series C redeemable convertible preferred stock liability at December 31, 2018 has been estimated as the excess, if any, of the fair value of the Company’s Series C redeemable convertible preferred stock (“Series C Preferred Stock”) over the purchase price of any outstanding tranches that may be sold pursuant to the Series C Preferred Stock purchase agreement (the “Series C Purchase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360" w:firstLine="518"/>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600"/>
        <w:spacing w:after="0" w:line="264"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3"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 xml:space="preserve">The following table summarizes the financial liabilities measured at fair value on a recurring basis as of December 31, 2018, and the basis for that measurement, by level within the fair value hierarchy </w:t>
      </w:r>
      <w:r>
        <w:rPr>
          <w:rFonts w:ascii="Arial" w:cs="Arial" w:eastAsia="Arial" w:hAnsi="Arial"/>
          <w:sz w:val="17"/>
          <w:szCs w:val="17"/>
          <w:i w:val="1"/>
          <w:iCs w:val="1"/>
          <w:color w:val="auto"/>
        </w:rPr>
        <w:t>(Note 6 and Note 8).</w:t>
      </w:r>
      <w:r>
        <w:rPr>
          <w:rFonts w:ascii="Arial" w:cs="Arial" w:eastAsia="Arial" w:hAnsi="Arial"/>
          <w:sz w:val="17"/>
          <w:szCs w:val="17"/>
          <w:color w:val="auto"/>
        </w:rPr>
        <w:t xml:space="preserve"> There were no such financial liabilities as of June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Series C redeemable convertible preferred stock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Obligation for loan success fee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1540" w:type="dxa"/>
            <w:vAlign w:val="bottom"/>
            <w:tcBorders>
              <w:bottom w:val="single" w:sz="8" w:color="CFF0FC"/>
            </w:tcBorders>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Balance at beginning of year</w:t>
            </w:r>
            <w:r>
              <w:rPr>
                <w:rFonts w:ascii="Arial" w:cs="Arial" w:eastAsia="Arial" w:hAnsi="Arial"/>
                <w:sz w:val="15"/>
                <w:szCs w:val="15"/>
                <w:color w:val="auto"/>
              </w:rPr>
              <w:t>(1)</w:t>
            </w:r>
          </w:p>
        </w:tc>
        <w:tc>
          <w:tcPr>
            <w:tcW w:w="2140" w:type="dxa"/>
            <w:vAlign w:val="bottom"/>
            <w:gridSpan w:val="2"/>
          </w:tcPr>
          <w:p>
            <w:pPr>
              <w:jc w:val="right"/>
              <w:ind w:right="88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Series C redeemable convertible preferred stock liability</w:t>
            </w:r>
          </w:p>
        </w:tc>
        <w:tc>
          <w:tcPr>
            <w:tcW w:w="1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Unrealized loss on obligation for loan success fee</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tc>
        <w:tc>
          <w:tcPr>
            <w:tcW w:w="1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(1,771)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(1,009)</w:t>
            </w: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0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5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9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balance at January 1, 2018 relates to the obligation for the loan success fee.</w:t>
      </w:r>
    </w:p>
    <w:p>
      <w:pPr>
        <w:spacing w:after="0" w:line="225" w:lineRule="exact"/>
        <w:rPr>
          <w:rFonts w:ascii="Arial" w:cs="Arial" w:eastAsia="Arial" w:hAnsi="Arial"/>
          <w:sz w:val="18"/>
          <w:szCs w:val="18"/>
          <w:color w:val="auto"/>
        </w:rPr>
      </w:pPr>
    </w:p>
    <w:p>
      <w:pPr>
        <w:ind w:left="520" w:right="140" w:hanging="512"/>
        <w:spacing w:after="0" w:line="279"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net settlements in the six months ended June 30, 2019 relate to the $1,096 fair value of the Series C redeemable convertible preferred stock liability at the time of the third tranche of the Series C Preferred Stock financing in January 2019 and the payment of the $675 obligation for the loan success fee in May 2019. The net settlements in 2018 relate to the $1,009 fair value of the Series C redeemable convertible preferred stock liability at the time the second tranche of Series C redeemable convertible preferred stock shares was issued.</w:t>
      </w:r>
    </w:p>
    <w:p>
      <w:pPr>
        <w:spacing w:after="0" w:line="320"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capitalized as of December 31, 2018 were $1,534. The Company’s IPO was completed in May 2019 and these costs, as well as additional IPO costs incurred in 2019, were recorded as a reduction to stockholders’ equity. As a result, as of June 30, 2019, the Company did not have any deferred offering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redeemable convertible preferred stock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all periods presented.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titled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 xml:space="preserve">The Company adopted this new guidance as of January 1, 2019, which included an assessment of the impact of the new guidance on the Condensed Consolidated Financial Statements. The Company utilized the transition practical expedient added by the FASB, which eliminated the requirement that entities apply the new lease standard to the comparative periods presented in the year of adoption. The Company elected to use the package of practical expedients that allowed the Company to not reassess: (1) whether any expired or existing contracts were or contained leases, (2) lease classification for any expired or existing leases and (3) initial direct costs for any expired or existing leases. The Company additionally used the practical expedient that allows lessees to treat the lease and non-lease components of leases as a single lease component. The adoption of this standard resulted in the recognition of a right-of-use asset of $379 and related lease liabilities of $424 related to the Company’s operating lease commitments on the Condensed Consolidated Balance Sheet as of January 1, 2019 </w:t>
      </w:r>
      <w:r>
        <w:rPr>
          <w:rFonts w:ascii="Arial" w:cs="Arial" w:eastAsia="Arial" w:hAnsi="Arial"/>
          <w:sz w:val="17"/>
          <w:szCs w:val="17"/>
          <w:i w:val="1"/>
          <w:iCs w:val="1"/>
          <w:color w:val="auto"/>
        </w:rPr>
        <w:t>(Note 4).</w:t>
      </w:r>
      <w:r>
        <w:rPr>
          <w:rFonts w:ascii="Arial" w:cs="Arial" w:eastAsia="Arial" w:hAnsi="Arial"/>
          <w:sz w:val="17"/>
          <w:szCs w:val="17"/>
          <w:color w:val="auto"/>
        </w:rPr>
        <w:t xml:space="preserve"> The impact of adoption of the new leasing standard did not have a material impact on the Condensed Consolidated Statement of Operations during the three and six months ended June 30, 2019.</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There have been no new accounting pronouncements during the three and six months ended June 30, 2019, as compared to the recent accounting pronouncements described in Note 2 to the Company’s audited consolidated financial statements for the year ended December 31, 2018 included in the final prospectus for the IPO, which could be expected to materially impact the Company’s unaudited Condensed Consolidated Financial Statements.</w:t>
      </w:r>
    </w:p>
    <w:p>
      <w:pPr>
        <w:spacing w:after="0" w:line="25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00" w:type="dxa"/>
            <w:vAlign w:val="bottom"/>
          </w:tcPr>
          <w:p>
            <w:pPr>
              <w:jc w:val="center"/>
              <w:ind w:left="379"/>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0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940" w:type="dxa"/>
            <w:vAlign w:val="bottom"/>
          </w:tcPr>
          <w:p>
            <w:pPr>
              <w:spacing w:after="0"/>
              <w:rPr>
                <w:sz w:val="14"/>
                <w:szCs w:val="14"/>
                <w:color w:val="auto"/>
              </w:rPr>
            </w:pPr>
          </w:p>
        </w:tc>
        <w:tc>
          <w:tcPr>
            <w:tcW w:w="4020" w:type="dxa"/>
            <w:vAlign w:val="bottom"/>
            <w:gridSpan w:val="2"/>
          </w:tcPr>
          <w:p>
            <w:pPr>
              <w:jc w:val="center"/>
              <w:ind w:left="3308"/>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R&amp;D payments</w:t>
            </w:r>
          </w:p>
        </w:tc>
        <w:tc>
          <w:tcPr>
            <w:tcW w:w="29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1,765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of which had been paid by the landlord, and as defined in the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right="100" w:firstLine="518"/>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As of June 30, 2019, the incremental borrowing rate used on existing leases was 13.0%. The right-of-use asset also includes any lease payments related to initial direct costs and prepayments, and excludes lease incentives. Lease expense is recognized on a straight line basis over the lease term. The Company had no new leases during the six months ended June 30, 2019.</w:t>
      </w:r>
    </w:p>
    <w:p>
      <w:pPr>
        <w:spacing w:after="0" w:line="17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approximately 1 to 4 years. The Company has no financing leases. The following table summarizes the Company’s operating leases as presented on its Condensed Consolidated Balance Sheet as of June 30,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840" w:type="dxa"/>
            <w:vAlign w:val="bottom"/>
            <w:gridSpan w:val="2"/>
          </w:tcPr>
          <w:p>
            <w:pPr>
              <w:jc w:val="right"/>
              <w:ind w:right="66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long term portion</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500"/>
              <w:spacing w:after="0"/>
              <w:rPr>
                <w:sz w:val="20"/>
                <w:szCs w:val="20"/>
                <w:color w:val="auto"/>
              </w:rPr>
            </w:pPr>
            <w:r>
              <w:rPr>
                <w:rFonts w:ascii="Arial" w:cs="Arial" w:eastAsia="Arial" w:hAnsi="Arial"/>
                <w:sz w:val="18"/>
                <w:szCs w:val="18"/>
                <w:color w:val="auto"/>
              </w:rPr>
              <w:t>Future minimum lease payments under the operating leases are as follows as of June 30, 2019:</w:t>
            </w: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8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8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Less: imputed discount rate</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Carrying value of operating lease liabilities</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Lease expense under operating leases, including leases of office equipment, was $31 and $34 for the three months ended June 30, 2019 and 2018, respectively, and $62 and $54 for the six months ended June 30, 2019 and 2018, respectively. Lease payments made in the three months ended June 30, 2019 and 2018 were $23 and $30, respectively, and $57 and $56 in the six months ended June 30, 2019 and 2018, respectively, with such amounts reflected in the Condensed Consolidated Statement of Cash Flows in operating activities.</w:t>
      </w:r>
    </w:p>
    <w:p>
      <w:pPr>
        <w:spacing w:after="0" w:line="29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jc w:val="center"/>
              <w:ind w:left="379"/>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0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4860" w:type="dxa"/>
            <w:vAlign w:val="bottom"/>
            <w:gridSpan w:val="2"/>
          </w:tcPr>
          <w:p>
            <w:pPr>
              <w:jc w:val="center"/>
              <w:ind w:left="4139"/>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projects</w:t>
            </w:r>
          </w:p>
        </w:tc>
        <w:tc>
          <w:tcPr>
            <w:tcW w:w="37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3,044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3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7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4,351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60" w:type="dxa"/>
            <w:vAlign w:val="bottom"/>
            <w:vMerge w:val="restart"/>
          </w:tcPr>
          <w:p>
            <w:pPr>
              <w:jc w:val="right"/>
              <w:ind w:right="1979"/>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3" w:name="page14"/>
    <w:bookmarkEnd w:id="13"/>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Payable</w:t>
      </w:r>
    </w:p>
    <w:p>
      <w:pPr>
        <w:spacing w:after="0" w:line="13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June 30, 2019 or December 31, 2018, and the Company’s obligations to the Lenders under the Loan Agreement, other than the obligations under the Success Fee Agreement as described below, were terminated.</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7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Success Fee Agreement represented a free-standing financial instrument. Accordingly, the Company accounted for the Success Fee provision as a derivative under ASC 815, Derivatives and Hedging, and therefore recorded an obligation for the Success Fee at its fair value on the closing date of each advance under the Loan Agreement. Upon recording such obligations for the Success Fee, the Company also recorded an offsetting loan discount, which was accreted to interest expense in the Company’s Statements of Operations through the Term Loan’s maturity date. The Company adjusted these liabilities for the Success Fee to fair value at each reporting date they remained outstanding. As discussed above, the Success Fee was paid in May 2019; and therefore, the total fair value of the Success Fee liabilities was $0 at June 30, 2019. The total fair value of these liabilities was determined to be $460 at December 31, 2018. The Company recorded non-cash charges in the amount of $163 and $68 for the three months ended June 30, 2019 and 2018, respectively, and $215 and $80 for the six months ended June 30, 2019 and 2018, respectively, representing the changes in the fair value of these liabilities since their last measurement date. The non-cash charges are included in other income (expense) in the Company’s Condensed Consolidated Statements of Operations. The obligation for the Success Fee is presented as a non-current liability in the Company’s Condensed Consolidated Balance Sheet as of December 31, 2018.</w:t>
      </w:r>
    </w:p>
    <w:p>
      <w:pPr>
        <w:spacing w:after="0" w:line="16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fair values of the obligation for the Success Fee were estimated utilizing a probability-weighted income approach, including variables for the timing of the success event and other probability estimates. For the fair value calculations at December 31, 2018, significant inputs included the Success Fee rate of 4.5% of the Term Loan funded; a discount rate of 13.0%; weighted estimated time to Exit Event ranging from 0.4 to 3.1 years and probability estimates of several potential Exit Events ranging from 5.0% to 40.0%.</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Interest expense on the Term Loan, comprised of interest payments, amortization of financing costs, accrual of final and amendment fees, and accretion of the Success Fee are shown below for the three and six months ended June 30, 2018. There was no such interest expense on the Term Loan for the three and six months ended June 30,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37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Amortization of financing costs</w:t>
            </w: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Accrual of final and amendment fees</w:t>
            </w:r>
          </w:p>
        </w:tc>
        <w:tc>
          <w:tcPr>
            <w:tcW w:w="3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the Success Fee</w:t>
            </w:r>
          </w:p>
        </w:tc>
        <w:tc>
          <w:tcPr>
            <w:tcW w:w="3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720" w:type="dxa"/>
            <w:vAlign w:val="bottom"/>
            <w:vMerge w:val="restart"/>
          </w:tcPr>
          <w:p>
            <w:pPr>
              <w:jc w:val="right"/>
              <w:ind w:right="19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4" w:name="page15"/>
    <w:bookmarkEnd w:id="14"/>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June 30, 2019 and December 31, 2018, the Company’s certificate of incorporation, as amended and restated, authorized the Company to issue 200,000,000 shares and 101,929,904 shares of common stock, respectively, with a par value of $0.001 per share.</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of June 30, 2019, the Company had reserved 2,778,812 shares of common stock for the exercise of outstanding stock options and the number of shares of common stock remaining available for future stock-based awards under the Company’s 2012 Stock Incentive Plan, 2019 Stock Incentive Plan and 2019 Employee Stock Purchase Plan, as shown in the table below. As of December 31, 2018, the Company had reserved 10,690,261 shares of common stock for the conversion of outstanding shares of redeemable convertible preferred stock and accrued dividends thereon, the exercise of outstanding stock options, and the number of shares of common stock remaining available for future stock-based awards under the Company’s 2012 Stock Incentive Plan as shown below (</w:t>
      </w:r>
      <w:r>
        <w:rPr>
          <w:rFonts w:ascii="Arial" w:cs="Arial" w:eastAsia="Arial" w:hAnsi="Arial"/>
          <w:sz w:val="18"/>
          <w:szCs w:val="18"/>
          <w:i w:val="1"/>
          <w:iCs w:val="1"/>
          <w:color w:val="auto"/>
        </w:rPr>
        <w:t>Note 9</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common stock reserved for conversion of Series A preferred stock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2,154,572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Shares of common stock reserved for conversion of Series B preferred stock outstanding</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3,011,392</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of common stock reserved for conversion of Series C preferred stock outstanding</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4,311,279</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00" w:type="dxa"/>
            <w:vAlign w:val="bottom"/>
          </w:tcPr>
          <w:p>
            <w:pPr>
              <w:ind w:left="40"/>
              <w:spacing w:after="0"/>
              <w:rPr>
                <w:sz w:val="20"/>
                <w:szCs w:val="20"/>
                <w:color w:val="auto"/>
              </w:rPr>
            </w:pPr>
            <w:r>
              <w:rPr>
                <w:rFonts w:ascii="Arial" w:cs="Arial" w:eastAsia="Arial" w:hAnsi="Arial"/>
                <w:sz w:val="18"/>
                <w:szCs w:val="18"/>
                <w:color w:val="auto"/>
              </w:rPr>
              <w:t>Stock Incentive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1,044,759</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1,213,018</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Incentive Plan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1,578,947</w:t>
            </w: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00" w:type="dxa"/>
            <w:vAlign w:val="bottom"/>
          </w:tcPr>
          <w:p>
            <w:pPr>
              <w:ind w:left="40"/>
              <w:spacing w:after="0"/>
              <w:rPr>
                <w:sz w:val="20"/>
                <w:szCs w:val="20"/>
                <w:color w:val="auto"/>
              </w:rPr>
            </w:pPr>
            <w:r>
              <w:rPr>
                <w:rFonts w:ascii="Arial" w:cs="Arial" w:eastAsia="Arial" w:hAnsi="Arial"/>
                <w:sz w:val="18"/>
                <w:szCs w:val="18"/>
                <w:color w:val="auto"/>
              </w:rPr>
              <w:t>Employee Stock</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29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155,106</w:t>
            </w:r>
          </w:p>
        </w:tc>
        <w:tc>
          <w:tcPr>
            <w:tcW w:w="2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top w:val="single" w:sz="8" w:color="CFF0FC"/>
              <w:bottom w:val="single" w:sz="8" w:color="CFF0FC"/>
            </w:tcBorders>
            <w:shd w:val="clear" w:color="auto" w:fill="CFF0FC"/>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2,778,812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10,690,261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620" w:firstLine="518"/>
        <w:spacing w:after="0" w:line="264" w:lineRule="auto"/>
        <w:rPr>
          <w:sz w:val="20"/>
          <w:szCs w:val="20"/>
          <w:color w:val="auto"/>
        </w:rPr>
      </w:pPr>
      <w:r>
        <w:rPr>
          <w:rFonts w:ascii="Arial" w:cs="Arial" w:eastAsia="Arial" w:hAnsi="Arial"/>
          <w:sz w:val="18"/>
          <w:szCs w:val="18"/>
          <w:color w:val="auto"/>
        </w:rPr>
        <w:t>As of June 30, 2019 and December 31, 2018, under the Company’s certificate of incorporation, the authorized number of shares of redeemable convertible preferred stock was 0 and 86,197,030, respectively. See Note 1 with respect to the Company’s IPO and the conversion of its outstanding redeemable convertible preferred stock into shares of its common stock.</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June 30, 2019 and December 31, 2018, under the Company’s restated certificate of incorporation effective May 9, 2019, the authorized number of shares of preferred stock was 5,000,000 and 0, respectively.</w:t>
      </w:r>
    </w:p>
    <w:p>
      <w:pPr>
        <w:spacing w:after="0" w:line="170"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 xml:space="preserve">Prior to the conversion into common stock as noted above, the Company’s redeemable convertible preferred stock was redeemable on or after July 14, 2020 and carried a cumulative coupon dividend rate of 6%. The redemption amount per share for a share of redeemable convertible preferred stock was the greater of (A) the applicable original issue price per share for such series of redeemable convertible preferred stock, plus any of the dividends accrued but unpaid thereon, whether or not declared, together with any other dividends declared but unpaid thereon, and (B) the fair market value per share of redeemable convertible preferred stock, as described below under </w:t>
      </w:r>
      <w:r>
        <w:rPr>
          <w:rFonts w:ascii="Arial" w:cs="Arial" w:eastAsia="Arial" w:hAnsi="Arial"/>
          <w:sz w:val="17"/>
          <w:szCs w:val="17"/>
          <w:i w:val="1"/>
          <w:iCs w:val="1"/>
          <w:color w:val="auto"/>
        </w:rPr>
        <w:t>Redemption Rights.</w:t>
      </w:r>
      <w:r>
        <w:rPr>
          <w:rFonts w:ascii="Arial" w:cs="Arial" w:eastAsia="Arial" w:hAnsi="Arial"/>
          <w:sz w:val="17"/>
          <w:szCs w:val="17"/>
          <w:color w:val="auto"/>
        </w:rPr>
        <w:t xml:space="preserve"> The Company accounted for its redeemable convertible preferred stock under the requirements of ASC 480, which establishes standards for how an issuer classifies and measures certain financial instruments with characteristics of both liabilities and equity. The carrying value of the redeemable convertible preferred stock was presented as temporary equity and was adjusted by periodic accretions so that the carrying amount equaled the redemption amount at the estimated date that the redeemable convertible preferred stock would be redeemed. These adjustments were effected through charges against additional paid-in capital, to the extent it was available, or accumulated deficit. For all issuances of redeemable convertible preferred stock, the difference between the amount invested by the holders of the redeemable convertible preferred stock, net of issuance costs and premiums (or discounts), as compared to the redemption value, was recorded as accretion over the redemption period of the redeemable convertible preferred stock. The accretion was added to net loss to arrive at the net loss available to common stockholders in the calculation of net loss per common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Issuance of Series A Redeemable Convertible Preferred Stock</w:t>
      </w:r>
    </w:p>
    <w:p>
      <w:pPr>
        <w:spacing w:after="0" w:line="11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On December 4, 2012, the Company entered into the Series A Preferred Stock Purchase Agreement (the “Series A Purchase Agreement”) with TPG Biotechnology Partners III, L.P. (“TPG”) and nine other holders of the Company’s convertible notes that were issued in 2011 and 2012 (the “Series A Investors”). Pursuant to the Series A Purchase Agreement, the Company issued 6,000,000 shares (the “Series A Initial Closing”) of Series A Preferred Stock to TPG at a purchase price of $1.00 per share, resulting in proceeds, net of $128 in issuance costs, of $5.9 million (the “Series A Financing”). Concurrently, convertible notes held by the Series A Investors totaling $564, including accrued interest, were automatically converted at a conversion price of $0.467 per share in accordance with calculations specified in the applicable note purchase agreement, and the Company issued 1,207,923 shares of Series A Preferred Stock in settlement of the convertible notes.</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Series A Purchase Agreement also provided for the sale of 4,000,000 additional shares of Series A Preferred Stock (the “Series A Milestone Shares”) to TPG at a purchase price of $1.00 per share upon the Company’s achievement of specified Milestone Events, as defined in the Series A Purchase Agreement, involving the Company’s Phase 1b clinical trial in uremic pruritus and a pending patent application. In the event the Milestone Events were not achieved, TPG had the right to purchase the Series A Milestone Shares, in full or in part, under the same terms and conditions as the Series A Initial Closing, including the $1.00 per share purchase price, on or before June 30, 2014.</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TPG had the right to purchase, under the same terms and conditions as the Series A Initial Closing, including the $1.00 per share purchase price, the lesser of 2,500,000 additional shares of Series A Preferred Stock (the “Additional Series A Preferred Shares”) and the number of shares of Series A Preferred Stock equal to 25% of the total number of shares of Series A Preferred Stock it previously purchased for cash under the Series A Purchase Agreement. This additional right was exercisable until the date six months after the completion date of the Company’s Phase 2b/3 clinical trial of nalbuphine ER in patients with uremic pruritus.</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December 26, 2013, TPG purchased under a Series A Extension Preferred Stock Purchase Agreement (the “Series A Extension Purchase Agreement”) 6,500,000 additional shares of Series A Preferred Stock at $1.00 per share, which consisted of the Series A Milestone Shares and the Additional Series A Preferred Shares discussed above, resulting in proceeds, net of $39 in issuance costs, of $6.5 million. This agreement also provided that the Company could sell up to 2,000,000 additional shares at $1.00 per share to existing stockholders deemed accredited investors within 45 days of the December 26, 2013 closing.</w:t>
      </w:r>
    </w:p>
    <w:p>
      <w:pPr>
        <w:spacing w:after="0" w:line="188"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January 2014, the Company issued 1,680,000 shares of Series A Preferred Stock to eight of the Series A Investors at $1.00 per share, as provided for as Additional Closings under the Series A Extension Purchase Agreement, resulting in proceeds, net of $7 in issuance costs, of $1.7 million. The Company recorded this issuance at its fair value of $1.08 per share, totaling $1.8 million before financing costs, resulting in a discount on this issuance in the amount of $134, which amount was being amortized out of the carrying value of Series A Preferred Stock over the expected redemption period, which was three years from July 14, 2017, the date of the First Tranche Closing of the Series C Preferred Stock Financing (each such term as defined below), or July 14, 2020 (the “Redemption Period”). Such amortization totaled $7 and $1 for the three months ended June 30, 2019 and 2018, respectively, and $7 and $2 for the six months ended June 30, 2019 and 2018, respectively, which, for the three and six months ended June 30, 2019, includes $5 of previously unaccreted discount on issuance at the time of conversion to shares of common stock.</w:t>
      </w:r>
    </w:p>
    <w:p>
      <w:pPr>
        <w:spacing w:after="0" w:line="17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Preferences note below.)</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Issuance of Series B Redeemable Convertible Preferred Stock</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May 23, 2014, the Company entered into the Series B Preferred Stock Purchase Agreement (the “Series B Purchase Agreement”) with TPG. Pursuant to the Series B Purchase Agreement, the Company issued 13,043,478 shares (the “Series B Initial Closing”) of Series B Preferred Stock to TPG at a purchase price of $1.15 per share, resulting in proceeds, net of $56 in issuance costs, of $15.0 million.</w:t>
      </w:r>
    </w:p>
    <w:p>
      <w:pPr>
        <w:spacing w:after="0" w:line="181"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Series B Purchase Agreement also provided for the sale of 4,347,826 additional shares of Series B Preferred Stock (the “Series B Milestone Shares”) to TPG at a purchase price of $1.15 per share upon the Company’s achievement of specified Milestone Events, as defined in the Series B Purchase Agreement, involving the Company’s Phase 2b/3 clinical trial of nalbuphine ER in patients with uremic pruritus; its planned Phase 2 clinical trial of nalbuphine ER in patients with pruritus associated with prurigo nodularis; and a pending patent application. In the event the Milestone Events were not achieved, TPG had the right to purchase the Series B Milestone Shares, in full or in part, under the same terms and conditions as the Series B Initial Closing, at a purchase price of $1.15 per share, on or before November 30, 2015.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ind w:right="60" w:firstLine="518"/>
        <w:spacing w:after="0" w:line="302" w:lineRule="auto"/>
        <w:rPr>
          <w:sz w:val="20"/>
          <w:szCs w:val="20"/>
          <w:color w:val="auto"/>
        </w:rPr>
      </w:pPr>
      <w:r>
        <w:rPr>
          <w:rFonts w:ascii="Arial" w:cs="Arial" w:eastAsia="Arial" w:hAnsi="Arial"/>
          <w:sz w:val="16"/>
          <w:szCs w:val="16"/>
          <w:color w:val="auto"/>
        </w:rPr>
        <w:t>In addition, TPG had the right to purchase, on the same terms and conditions as the Series B Initial Closing, including the $1.15 per share purchase price, the lesser of 4,347,826 additional shares of Series B Preferred Stock and the number of shares equal to 25% of the total number of shares it previously purchased for cash under the Series B Purchase Agreement (the “Additional Series B Shares”). This additional right was exercisable until the date six months after the completion date of the Company’s Phase 2b/3 clinical trial of nalbuphine ER in patients with uremic pruritus.</w:t>
      </w:r>
    </w:p>
    <w:p>
      <w:pPr>
        <w:spacing w:after="0" w:line="154"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On October 30, 2014, TPG exercised its rights described above and purchased under an Additional Closing Agreement (the “Series B Second Closing”) 8,695,652 additional shares of Series B Preferred Stock at $1.15 per share, which consisted of the Series B Milestone Shares and the Additional Series B Shares. This agreement also provided for the Company to sell 869,565 additional shares of Series B Preferred Stock at $1.15 per share to an existing stockholder. The Series B Second Closing resulted in proceeds, net of $19 in issuance costs, of $11.0 million. The Company recorded this issuance at its fair value of $1.10 per share, totaling $10.5 million, net of financing costs, resulting in a premium on this issuance in the amount of $478, which amount was being accreted into the carrying value of the Series B Preferred Stock over the Redemption Period. Such accretion totaled $26 and $5 for the three months ended June 30, 2019 and 2018, respectively, and $31 and $10 for the six months ended June 30, 2019 and 2018, respectively, which includes $22, for the three and six months ended June 30, 2019 of unaccreted premium on issuance at the time of conversion to shares of common stock.</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Preferences note below)</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Issuance of Series C Redeemable Convertible Preferred Stock</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July 14, 2017, the Company entered into the Series C Purchase Agreement with TPG and other institutional investors (the “Series C Initial Purchasers”) for the issuance of $50.5 million of its Series C Preferred Stock. The Series C Purchase Agreement provided for the Company’s Series C Preferred Stock to be issued in two tranches, with the closing of the first tranche on July 14, 2017 (the “First Tranche Closing”) and the closing of the second tranche to occur following a determination by the Company’s board of directors that the Company’s cash and cash equivalents at such time are not sufficient to fund its operations for a period of three months following such determination (the “Second Tranche Closing”). Upon the First Tranche Closing, the Company issued 20,547,946 shares of its Series C Preferred Stock at a purchase price of $1.46 per share, resulting in proceeds of $29.7 million, net of issuance costs of $291.</w:t>
      </w:r>
    </w:p>
    <w:p>
      <w:pPr>
        <w:spacing w:after="0" w:line="18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Also party to the Series C Purchase Agreement were eleven holders of the Company’s Convertible Notes (together with the Initial Purchasers and the Series C Additional Purchasers, as defined below, the “Series C Investors”). Concurrently with the First Tranche Closing and pursuant to the Series C Purchase Agreement, the outstanding principal on the Company’s Convertible Notes, totaling $10.6 million, and all accrued interest thereon, totaling $564, were automatically converted at the Mandatory Conversion Price of $1.095 per share, and the Company issued 10,181,233 shares of its Series C Preferred Stock in full settlement of the Convertible Notes.</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Series C Purchase Agreement provided for a subsequent closing (the “Special Closing”), on the same terms and conditions as the First Tranche Closing, including the $1.46 per share purchase price, and on October 11, 2017, the Special Closing occurred, resulting in the issuance to two additional investors (the “Series C Additional Purchasers”) of 101,707 shares of the Company’s Series C Preferred Stock, at a purchase price of $1.46 per share, resulting in proceeds of $129, net of issuance costs of $19.</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November 12, 2017, one of the Series C Additional Purchasers purchased its second tranche shares pursuant to an election under the Series C Purchase Agreement, resulting in the issuance of 55,621 shares of the Company’s Series C Preferred Stock at a purchase price of $1.46 per share, resulting in proceeds of $81.</w:t>
      </w:r>
    </w:p>
    <w:p>
      <w:pPr>
        <w:spacing w:after="0" w:line="181" w:lineRule="exact"/>
        <w:rPr>
          <w:sz w:val="20"/>
          <w:szCs w:val="20"/>
          <w:color w:val="auto"/>
        </w:rPr>
      </w:pPr>
    </w:p>
    <w:p>
      <w:pPr>
        <w:jc w:val="both"/>
        <w:ind w:right="100" w:firstLine="518"/>
        <w:spacing w:after="0" w:line="279" w:lineRule="auto"/>
        <w:rPr>
          <w:sz w:val="20"/>
          <w:szCs w:val="20"/>
          <w:color w:val="auto"/>
        </w:rPr>
      </w:pPr>
      <w:r>
        <w:rPr>
          <w:rFonts w:ascii="Arial" w:cs="Arial" w:eastAsia="Arial" w:hAnsi="Arial"/>
          <w:sz w:val="17"/>
          <w:szCs w:val="17"/>
          <w:color w:val="auto"/>
        </w:rPr>
        <w:t>On August 28, 2018, the Company amended the Series C Purchase Agreement to provide that a portion of the shares of Series C Preferred Stock that would otherwise be issued and sold at the Second Tranche Closing would instead be issued and sold at a third tranche closing (the “Third Tranche Closing”), with such closing to occur following a determination by the Company’s board of directors that the Company’s cash and cash equivalents at such time are not sufficient to fund its operations for a period of three months following such determination.</w:t>
      </w:r>
    </w:p>
    <w:p>
      <w:pPr>
        <w:spacing w:after="0" w:line="17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On August 30, 2018, the Company completed the Second Tranche Closing, resulting in the issuance of 7,211,165 shares of the Company’s Series C Preferred Stock, at a purchase price of $1.46 per share, resulting in proceeds of $10.5 million, net of issuance costs of $32.</w:t>
      </w:r>
    </w:p>
    <w:p>
      <w:pPr>
        <w:spacing w:after="0" w:line="147"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On January 18, 2019, the Company completed the Third Tranche Closing, resulting in the issuance of 6,849,315 shares of the Company’s Series C Preferred Stock, at a purchase price of $1.46 per share, resulting in proceeds of $10.0 million, net of issuance costs of $37</w:t>
      </w:r>
      <w:r>
        <w:rPr>
          <w:rFonts w:ascii="Arial" w:cs="Arial" w:eastAsia="Arial" w:hAnsi="Arial"/>
          <w:sz w:val="17"/>
          <w:szCs w:val="17"/>
          <w:i w:val="1"/>
          <w:iCs w:val="1"/>
          <w:color w:val="auto"/>
        </w:rPr>
        <w:t>.</w:t>
      </w:r>
      <w:r>
        <w:rPr>
          <w:rFonts w:ascii="Arial" w:cs="Arial" w:eastAsia="Arial" w:hAnsi="Arial"/>
          <w:sz w:val="17"/>
          <w:szCs w:val="17"/>
          <w:color w:val="auto"/>
        </w:rPr>
        <w:t xml:space="preserve"> At such time, the Series C redeemable convertible preferred stock liability of $1.1 million was reclassified as Series C Preferred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i w:val="1"/>
          <w:iCs w:val="1"/>
          <w:color w:val="auto"/>
        </w:rPr>
        <w:t>Series C Redeemable Convertible Preferred Stock Liability and Changes in Fair Value</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As discussed above, the Series C Purchase Agreement provided for the issuance and sale of Series C Preferred Stock in three separate tranches. The tranches represented a freestanding financial instrument under ASC 480 and required fair value accounting until they were settled. The Company recognized a liability on its Consolidated Balance Sheet for the obligations under this financial instrument. The Company adjusted this liability to fair value at each reporting date, as applicable, and recognized any changes in fair value of the Series C Preferred Stock in its Consolidated Statements of Operations as a component of other income (expense). The Company continued to recognize any changes in the fair value of this liability through the closing of the third tranche.</w:t>
      </w:r>
    </w:p>
    <w:p>
      <w:pPr>
        <w:spacing w:after="0" w:line="193"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Accordingly, for the year ended December 31, 2018, the Company recorded the Series C redeemable convertible preferred stock liability at its fair value of $2.1 million, with a corresponding charge to other income (expense) in the Company’s Consolidated Statement of Operations. Upon the Second Tranche Closing in August 2018, as described above, $1.0 million was reclassified to Series C Preferred Stock. As a result, at December 31, 2018, the fair value of this liability, relating to the outstanding third tranche, was determined to be $1.1 million and was reclassified to Series C Preferred Stock upon the Third Tranche Closing in January 2019.</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 xml:space="preserve">The fair value of the Series C redeemable convertible preferred stock liability was estimated as the excess, if any, of the fair value per share of the Company’s Series C Preferred Stock, as described below under </w:t>
      </w:r>
      <w:r>
        <w:rPr>
          <w:rFonts w:ascii="Arial" w:cs="Arial" w:eastAsia="Arial" w:hAnsi="Arial"/>
          <w:sz w:val="18"/>
          <w:szCs w:val="18"/>
          <w:i w:val="1"/>
          <w:iCs w:val="1"/>
          <w:color w:val="auto"/>
        </w:rPr>
        <w:t>Redemption Rights</w:t>
      </w:r>
      <w:r>
        <w:rPr>
          <w:rFonts w:ascii="Arial" w:cs="Arial" w:eastAsia="Arial" w:hAnsi="Arial"/>
          <w:sz w:val="18"/>
          <w:szCs w:val="18"/>
          <w:color w:val="auto"/>
        </w:rPr>
        <w:t>, over the purchase price of any outstanding tranches to be sold pursuant to the Series C Purchase Agreement.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Holders of Series C Preferred Stock had a higher liquidation preference than the holders of Series A Preferred Stock and Series B Preferred Stock.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Preferences note below.)</w:t>
      </w:r>
    </w:p>
    <w:p>
      <w:pPr>
        <w:spacing w:after="0" w:line="170" w:lineRule="exact"/>
        <w:rPr>
          <w:sz w:val="20"/>
          <w:szCs w:val="20"/>
          <w:color w:val="auto"/>
        </w:rPr>
      </w:pPr>
    </w:p>
    <w:p>
      <w:pPr>
        <w:jc w:val="both"/>
        <w:ind w:right="820" w:firstLine="518"/>
        <w:spacing w:after="0" w:line="279" w:lineRule="auto"/>
        <w:rPr>
          <w:sz w:val="20"/>
          <w:szCs w:val="20"/>
          <w:color w:val="auto"/>
        </w:rPr>
      </w:pPr>
      <w:r>
        <w:rPr>
          <w:rFonts w:ascii="Arial" w:cs="Arial" w:eastAsia="Arial" w:hAnsi="Arial"/>
          <w:sz w:val="18"/>
          <w:szCs w:val="18"/>
          <w:color w:val="auto"/>
        </w:rPr>
        <w:t>As of June 30, 2019, there were no redeemable convertible preferred shares outstanding as a result of the conversion into common shares in connection with the IPO. As of December 31, 2018, redeemable convertible preferred stock consisted of the following (in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December 31, 2018</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Preferred</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Liquidation</w:t>
            </w: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Authorized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Preference</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18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15,387,923</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0"/>
              </w:rPr>
              <w:t>15,387,923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20,469</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2,154,572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180" w:type="dxa"/>
            <w:vAlign w:val="bottom"/>
          </w:tcPr>
          <w:p>
            <w:pPr>
              <w:ind w:left="360"/>
              <w:spacing w:after="0"/>
              <w:rPr>
                <w:sz w:val="20"/>
                <w:szCs w:val="20"/>
                <w:color w:val="auto"/>
              </w:rPr>
            </w:pPr>
            <w:r>
              <w:rPr>
                <w:rFonts w:ascii="Arial" w:cs="Arial" w:eastAsia="Arial" w:hAnsi="Arial"/>
                <w:sz w:val="18"/>
                <w:szCs w:val="18"/>
                <w:color w:val="auto"/>
                <w:w w:val="88"/>
              </w:rPr>
              <w:t>22,608,695</w:t>
            </w:r>
          </w:p>
        </w:tc>
        <w:tc>
          <w:tcPr>
            <w:tcW w:w="240" w:type="dxa"/>
            <w:vAlign w:val="bottom"/>
          </w:tcPr>
          <w:p>
            <w:pPr>
              <w:spacing w:after="0"/>
              <w:rPr>
                <w:sz w:val="19"/>
                <w:szCs w:val="19"/>
                <w:color w:val="auto"/>
              </w:rPr>
            </w:pPr>
          </w:p>
        </w:tc>
        <w:tc>
          <w:tcPr>
            <w:tcW w:w="1200" w:type="dxa"/>
            <w:vAlign w:val="bottom"/>
          </w:tcPr>
          <w:p>
            <w:pPr>
              <w:ind w:left="360"/>
              <w:spacing w:after="0"/>
              <w:rPr>
                <w:sz w:val="20"/>
                <w:szCs w:val="20"/>
                <w:color w:val="auto"/>
              </w:rPr>
            </w:pPr>
            <w:r>
              <w:rPr>
                <w:rFonts w:ascii="Arial" w:cs="Arial" w:eastAsia="Arial" w:hAnsi="Arial"/>
                <w:sz w:val="18"/>
                <w:szCs w:val="18"/>
                <w:color w:val="auto"/>
                <w:w w:val="90"/>
              </w:rPr>
              <w:t>22,608,695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 stock</w:t>
            </w:r>
          </w:p>
        </w:tc>
        <w:tc>
          <w:tcPr>
            <w:tcW w:w="11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48,200,412</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0"/>
              </w:rPr>
              <w:t>38,097,672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59,798</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8"/>
              </w:rPr>
              <w:t>86,197,030</w:t>
            </w:r>
          </w:p>
        </w:tc>
        <w:tc>
          <w:tcPr>
            <w:tcW w:w="240" w:type="dxa"/>
            <w:vAlign w:val="bottom"/>
          </w:tcPr>
          <w:p>
            <w:pPr>
              <w:spacing w:after="0"/>
              <w:rPr>
                <w:sz w:val="19"/>
                <w:szCs w:val="19"/>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0"/>
              </w:rPr>
              <w:t>76,094,290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115,742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113,167</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9,477,243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Dividends on outstanding shares of Series A, Series B and Series C Preferred Stock accrued at a rate of 6% per annum on their original purchase price of $1.00, $1.15 and $1.46 per share, respectively (the “Accruing Dividends”), whether or not declared, and were cumulative. However, Accruing Dividends on the Company’s outstanding redeemable convertible preferred stock were payable only when, as and if declared by the Company’s board of directors, or upon liquidation, redemption or conversion. No dividends were payable to the holders of the Company’s common stock unless equivalent dividends had been declared and paid on the Company’s outstanding Series A, Series B and Series C Preferred Stock. No dividends had been declared or paid by the Company through the date of the IPO. Accruing Dividends totaled $18.4 million through the date of the IPO, at which time they were converted into common shares. Accruing Dividends totaled $16.2 million as of December 31, 2018. Such amounts are included in the carrying values of Series A, Series B and Series C Preferred Stock, and in the accumulated deficit on the Company’s Condensed Consolidated Balance Sheets at December 31,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Series C Preferred Stock then outstanding were entitled to be paid out of the assets of the Company that were available for distribution to its stockholders, before any payments were to be made to the holders of Series A Preferred Stock, Series B Preferred Stock or common stock by reason of their ownership thereof, an amount per share equal to the Series C Preferred Stock original issue price of $1.46 per share,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C Preferred Stock the full amount to which they were entitled, the holders of Series C Preferred Stock were entitled to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were paid in full.</w:t>
      </w:r>
    </w:p>
    <w:p>
      <w:pPr>
        <w:spacing w:after="0" w:line="16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Series A Preferred Stock and Series B Preferred Stock then outstanding were entitled to be paid out of the assets of the Company available for distribution to its stockholders after the payment of all preferential amounts required to be paid to the holders of shares of Series C Preferred Stock but before any payments were made to the holders of common stock by reason of their ownership thereof, (i) an amount per share equal to the Series A original issue price of $1.00 per share in the case of the Series A Preferred Stock, plus any Accruing Dividends accrued but unpaid thereon, whether or not declared, together with any other dividends declared but unpaid thereon, and (ii) an amount per share equal to the Series B original issue price of $1.15 per share in the case of the Series B Preferred Stock,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A Preferred Stock and Series B Preferred Stock the full amount to which they were entitled (after the payment in full of all preferential amounts required to be paid to the holders of shares of Series C Preferred Stock), the holders of shares of Series A Preferred Stock and Series B Preferred Stock were entitled to share ratably in any distribution of the assets available for distribution in respect of such shares in proportion to the respective amounts which would otherwise be payable in respect of the share of Series A Preferred Stock and Series B Preferred Stock held by them upon such distribution if all amounts payable on or with respect to such shares were paid in full.</w:t>
      </w:r>
    </w:p>
    <w:p>
      <w:pPr>
        <w:spacing w:after="0" w:line="175"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were to be distributed among the holders of the shares of redeemable convertible preferred stock and common stock, in proportion to the number of shares held by each such holder, treating for this purpose all such securities as if they had been converted into common stock pursuant to the terms of the Company’s certificate of incorporation immediately prior to such dissolution, liquidation or winding up of the Company.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Company’s certificate of incorporation provided that, unless prohibited by Delaware law governing distributions to stockholders, shares of the redeemable convertible preferred stock were to be redeemed by the Company in three annual installments commencing not more than 60 days after receipt by the Company, at any time on or after July 14, 2020, of written notice from the holders of at least a majority of the outstanding shares of redeemable convertible preferred stock, voting together as a single class on an as-converted basis, requesting redemption of all shares of redeemable convertible preferred stock (a “Redemption Request”).</w:t>
      </w:r>
    </w:p>
    <w:p>
      <w:pPr>
        <w:spacing w:after="0" w:line="18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that event, unless prohibited by Delaware law governing distributions to stockholders, generally in connection with an insolvent corporation, shares of Series A Preferred Stock, Series B Preferred Stock and Series C Preferred Stock, respectively, were to be redeemed by the Company at a price equal to the greater of (A) the applicable original issue price per share for such series of redeemable convertible preferred stock, plus any Accruing Dividends accrued but unpaid thereon, whether or not declared, together with any other dividends declared but unpaid thereon, and (B) the fair market value per share of Series A Preferred Stock, Series B Preferred Stock or Series C Preferred Stock, as the case may be, as of the date of the Company’s receipt of the Redemption Request. For purposes of these redemption rights, the fair market value per share of the Series A Preferred Stock was defined as the value per share of Series A Preferred Stock as mutually agreed upon by the Company and the holders of 60% of the shares of Series A Preferred Stock then outstanding, and, in the event that they were unable to reach agreement, by a third-party appraiser agreed to by the Company and the holders of a majority of the shares of Series A Preferred Stock then outstanding; the fair market value per share of the Series B Preferred Stock was defined as the value per share of Series B Preferred Stock as mutually agreed upon by the Company and the holders of 60% of the shares of Series B Preferred Stock then outstanding, and, in the event that they were unable to reach agreement, by a third-party appraiser agreed to by the Company and the holders of a majority of the shares of Series B Preferred Stock then outstanding; and the fair market value per share of the Series C Preferred Stock was defined as the value per share of Series C Preferred Stock as mutually agreed upon by the Company and the holders of 66 2/3% of the shares of Series C Preferred Stock then outstanding, and, in the event that they were unable to reach agreement, by a third-party appraiser agreed to by the Company and the holders of a majority of the shares of Series C Preferred Stock then outstanding.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6"/>
          <w:szCs w:val="16"/>
          <w:color w:val="auto"/>
        </w:rPr>
        <w:t>As a result of the redemption rights described above, the carrying values of Series A Preferred Stock of $21.0 million, Series B Preferred Stock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$33.7 million, and Series C Preferred Stock of $61.0 million as of December 31, 2018, have been classified as temporary equity, and are presented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and stockholders’ equity (deficit) on the Company’s Condensed Consolidated Balance Sheets in accordance with ASC 480. The Company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accreting the carrying value of the redeemable convertible preferred stock up to the expected redemption value over the estimated Redemption Period.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accretion included cumulative unpaid and undeclared Accruing Dividends as well as additional increases, if any, when the fair value of the redeemable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exceeded the liquidation value at any point during the Redemption Period. Upon the IPO, all redeemable convertible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and Accruing Dividends thereon converted to common shares and all previously unaccreted amounts were fully accreted to the expected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3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At December 31, 2018, the fair values of the Company’s Series A Preferred Stock, Series B Preferred Stock and Series C Preferred Stock were determined utilizing a probability-weighted modeling approach that included both IPO and non-IPO based scenarios. The non-IPO based scenarios included the fair value estimates of the Company’s common stock, before marketability discount, of $0.47, and each issue of its redeemable convertible preferred stock of: $0.82 for its Series A Preferred Stock; $0.86 for its Series B Preferred Stock; and $1.44 for its Series C Preferred Stock, each calculated at December 31, 2017, as there were no clinical development milestones either achieved or not achieved during the period, and it was deemed that the Company’s total equity value had not changed to any significant degree through the December 31, 2018 measurement date. Additional significant inputs utilized for the non-IPO based scenario was a probability factor of 60% and a marketability discount of 20% applied in arriving at the fair value of the common stock. The IPO-based scenario utilized an expected pre-money valuation upon IPO; cost of equity estimate of 15%; estimated time to IPO date of 0.38 years; and a probability factor of 40%.</w:t>
      </w:r>
    </w:p>
    <w:p>
      <w:pPr>
        <w:spacing w:after="0" w:line="19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December 31, 2017, the fair value of the Company’s Series A Preferred Stock, Series B Preferred Stock and Series C Preferred Stock was determined utilizing the OPM; whereby each class of stock is modeled as a call option with a unique claim on the assets of the Company. Stock characteristics that were incorporated directly into the option valuation model include liquidation preferences, participation features, convertibility features and ratios, and value-sharing between classes of stock. The Company’s equity value was estimated by employing a back-solving approach to determine its implied equity value at December 31, 2017 based on the initial closing of the Series C Preferred Stock financing completed in July 2017. A Black-Scholes options pricing approach was utilized under the OPM to determine the fair value of each security, with significant inputs including a $1.44 fair value of the Series C Preferred Stock, a risk-free rate of 1.95%, volatility of 78.0% and a probability-weighted estimate of time to liquidity event of 2.71 years.</w:t>
      </w:r>
    </w:p>
    <w:p>
      <w:pPr>
        <w:spacing w:after="0" w:line="16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Financing costs of approximately $166 that were netted against the proceeds from the 2013 and 2012 Series A Preferred Stock financings were being accreted to Series A Preferred Stock over the period from their respective issuance dates to the earliest redemption date of July 14, 2020. The Company recorded $6 and $1 in accretion for financing costs for the three months ended June 30, 2019 and 2018, respectively, and $7 and $2 for the six months ended June 30, 2019 and 2018, respectively, which, for the three and six months ended June 30, 2019 includes $5 of previously unaccreted financing costs at the time of the conversion of the Series A Preferred Stock into shares of the Company’s common stock. In addition, the investor rights/obligation that was allocated from proceeds from the Series A Preferred Stock financings of $2.8 million, less $520 representing its fair value on the date of its exercise as noted above, was being accreted over the Redemption Period. The Company recorded $70 and $13 in accretion of investor rights/obligation in the three months ended June 30, 2019 and 2018, respectively, and $84 and $27 for the six months ended June 30, 2019 and 2018, respectively, which, for the three and six months ended June 30, 2019 includes $61 of previously unaccreted investor rights/obligations at the time of the conversion of the Series A Preferred Stock into shares of the Company’s common stock.</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Financing costs of approximately $76 that were netted against the proceeds from the 2014 Series B Preferred Stock financings were being accreted to Series B Preferred Stock over the period from their respective issuance dates to the earliest redemption date of July 14, 2020. The Company recorded $3 and $1 in accretion for financing costs in the three months ended June 30, 2019 and 2018, respectively, and $4 and $1 for the six months ended June 30, 2019 and 2018, respectively, which, for the three and six months ended June 30, 2019 includes $3 of previously unaccreted financing costs at the time of conversion of the Series B Preferred Stock into shares of the Company’s common stock. In addition, the investor rights/obligation that was allocated from proceeds from the Series B Preferred Stock financings of $2.0 million was being accreted over the remaining Redemption Period discussed above. The Company recorded $98 and $19 in accretion of Series B Preferred Stock investor rights/obligation in the three months ended June 30, 2019 and 2018, respectively, and $117 and $38 for the six months ended June 30, 2018 and 2019, respectively, which, for the three and six months ended June 30, 2019 includes $85 of previously unaccreted investor rights/obligations at the time of the conversion of the Series B Preferred Stock into shares of the Company’s common stock.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right="40" w:firstLine="518"/>
        <w:spacing w:after="0" w:line="276" w:lineRule="auto"/>
        <w:rPr>
          <w:sz w:val="20"/>
          <w:szCs w:val="20"/>
          <w:color w:val="auto"/>
        </w:rPr>
      </w:pPr>
      <w:r>
        <w:rPr>
          <w:rFonts w:ascii="Arial" w:cs="Arial" w:eastAsia="Arial" w:hAnsi="Arial"/>
          <w:sz w:val="17"/>
          <w:szCs w:val="17"/>
          <w:color w:val="auto"/>
        </w:rPr>
        <w:t>Financing costs of approximately $379 that were netted against the proceeds from the 2017, 2018 and 2019 Series C Preferred Stock financings were being accreted to Series C Preferred Stock over the period from their respective issuance dates to the earliest redemption date of July 14, 2020. The Company recorded $188 and $26 in accretion for financing costs in the three months ended June 30, 2019 and 2018, respectively, and $223 and $52 for the six months ended June 30, 2019 and 2018, respectively, which, for the three and six months ended June 30, 2019 includes $164 of previously unaccreted financing costs at the time of conversion of the Series C Preferred Stock into shares of the Company’s common stock.</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Optional Conversion</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Each holder of Series A, Series B or Series C Preferred Stock was able to convert any or all of such holder’s redeemable convertible preferred stock into common stock at any time. Each share of Series A Preferred Stock, Series B Preferred Stock and Series C Preferred Stock was convertible into such number of shares of common stock as determined by dividing the original issue price of such series by the conversion price for such series in effect at the time of conversion. As of December 31, 2018, each share of Series A Preferred Stock, Series B Preferred Stock and Series C Preferred Stock was convertible into common stock at a one-to-one conversion ratio. As of June 30, 2019, there were no redeemable convertible preferred shares outstanding as a result of the conversion into common shares in connection with the IPO.</w:t>
      </w:r>
    </w:p>
    <w:p>
      <w:pPr>
        <w:spacing w:after="0" w:line="17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addition, upon conversion of shares of Series A, Series B or Series C Preferred Stock, a holder was entitled to receive, at the election of the holder, either (i) payment in cash of any Accruing Dividends declared but unpaid thereon, or (ii) such number of shares of common stock as determined by dividing the Accruing Dividends for such share of Series A, Series B or Series C Preferred Stock, by the applicable conversion price for such series of redeemable preferred stock in effect at the time of conversion. The conversion prices for Series A, Series B or Series C Preferred Stock were subject to adjustment based on certain events specified in the Company’s certificate of incorporation, including anti-dilution adjustments.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Upon the closing of a qualified public offering of common stock, as defined in the Company’s certificate of incorporation, or approval of (i) the holders of at least 60% of the Series A Preferred Stock then outstanding, voting separately as a class, (ii) the holders of at least 60% of the Series B Preferred Stock then outstanding, voting separately as a class and (iii) the holders of at least 66 2/3% of the Series C Preferred Stock then outstanding, voting separately as a class, all outstanding shares of redeemable convertible preferred stock would have automatically converted into common stock at the then-applicable conversion rate for such shares. At June 30, 2019, there were no redeemable convertible preferred shares outstanding as a result of the conversion into common shares at a one-for-9.5 conversion ratio, in connection with the IPO.</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Prior to the IPO, and except as otherwise provided by law or by the other provisions of the Company’s certificate of incorporation, the holders of redeemable convertible preferred stock were entitled to vote as one class with the holders of common stock on any matter presented to the stockholders of the Company for their action or consideration at any meeting of stockholders of the Company (or by written consent of stockholders in lieu of a meeting), and each holder of outstanding shares of redeemable convertible preferred stock was entitled to cast the number of votes equal to the number of whole shares of common stock into which the shares of redeemable convertible preferred stock held by such holder were convertible as of the record date for determining stockholders entitled to vote on the matter. The holders of record of the shares of the Company’s Series B Preferred Stock, exclusively and as a separate class, were entitled to elect two directors of the Company, the holders of record of the shares of Series C Preferred Stock, exclusively, and as a separate class, were entitled to elect three directors of the Company, and the holders of record of the shares of common stock of the Company, exclusively and as a separate class, were entitled to elect two directors of the Company.</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right="240" w:firstLine="518"/>
        <w:spacing w:after="0" w:line="342" w:lineRule="auto"/>
        <w:rPr>
          <w:sz w:val="20"/>
          <w:szCs w:val="20"/>
          <w:color w:val="auto"/>
        </w:rPr>
      </w:pPr>
      <w:r>
        <w:rPr>
          <w:rFonts w:ascii="Arial" w:cs="Arial" w:eastAsia="Arial" w:hAnsi="Arial"/>
          <w:sz w:val="16"/>
          <w:szCs w:val="16"/>
          <w:color w:val="auto"/>
        </w:rPr>
        <w:t>The holders of shares of the Company’s common stock issued upon conversion of shares of Series A Preferred Stock, Series B Preferred Stock and Series C Preferred Stock have certain registration rights as set forth in an investors’ rights agreement between the Company and certain of its stockholders.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w:t>
      </w:r>
    </w:p>
    <w:p>
      <w:pPr>
        <w:spacing w:after="0" w:line="193" w:lineRule="exact"/>
        <w:rPr>
          <w:sz w:val="20"/>
          <w:szCs w:val="20"/>
          <w:color w:val="auto"/>
        </w:rPr>
      </w:pPr>
    </w:p>
    <w:p>
      <w:pPr>
        <w:ind w:right="280" w:firstLine="518"/>
        <w:spacing w:after="0" w:line="279" w:lineRule="auto"/>
        <w:rPr>
          <w:sz w:val="20"/>
          <w:szCs w:val="20"/>
          <w:color w:val="auto"/>
        </w:rPr>
      </w:pPr>
      <w:r>
        <w:rPr>
          <w:rFonts w:ascii="Arial" w:cs="Arial" w:eastAsia="Arial" w:hAnsi="Arial"/>
          <w:sz w:val="18"/>
          <w:szCs w:val="18"/>
          <w:color w:val="auto"/>
        </w:rPr>
        <w:t>The Company’s 2012 Stock Incentive Plan (the “2012 Plan”), as amended, was adopted by the Company’s board of directors and stockholders. The Company’s board of directors administers the 2012 Plan. The 2012 Plan provides for the issuance of stock-based awards to the Company’s employees, officers and directors, as well as non-employee/consultants and advisors to the Company.</w:t>
      </w:r>
    </w:p>
    <w:p>
      <w:pPr>
        <w:spacing w:after="0" w:line="21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Options granted under the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June 30, 2019 and December 31, 2018, respectively, options to purchase 1,044,759 and 1,077,148 shares of common stock were granted and outstanding, net of cancelations.</w:t>
      </w:r>
    </w:p>
    <w:p>
      <w:pPr>
        <w:spacing w:after="0" w:line="21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six months ended June 30, 2018, options to purchase 146,103 shares of the Company’s common stock were granted under the 2012 Plan.</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2018, options were exercised for 5,679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options were forfeited during the six months ended June 30,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options expired during the six months ended June 30,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option activity for the six months ended June 30, 2019 for the 2012 Plan and the 2019 Plan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years)</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1,077,148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00"/>
              <w:spacing w:after="0"/>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667,102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3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(35,745)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00"/>
              <w:spacing w:after="0"/>
              <w:rPr>
                <w:sz w:val="20"/>
                <w:szCs w:val="20"/>
                <w:color w:val="auto"/>
              </w:rPr>
            </w:pPr>
            <w:r>
              <w:rPr>
                <w:rFonts w:ascii="Arial" w:cs="Arial" w:eastAsia="Arial" w:hAnsi="Arial"/>
                <w:sz w:val="18"/>
                <w:szCs w:val="18"/>
                <w:color w:val="auto"/>
              </w:rPr>
              <w:t>Expired</w:t>
            </w:r>
          </w:p>
        </w:tc>
        <w:tc>
          <w:tcPr>
            <w:tcW w:w="3100" w:type="dxa"/>
            <w:vAlign w:val="bottom"/>
            <w:gridSpan w:val="3"/>
          </w:tcPr>
          <w:p>
            <w:pPr>
              <w:jc w:val="right"/>
              <w:ind w:right="180"/>
              <w:spacing w:after="0"/>
              <w:rPr>
                <w:sz w:val="20"/>
                <w:szCs w:val="20"/>
                <w:color w:val="auto"/>
              </w:rPr>
            </w:pPr>
            <w:r>
              <w:rPr>
                <w:rFonts w:ascii="Arial" w:cs="Arial" w:eastAsia="Arial" w:hAnsi="Arial"/>
                <w:sz w:val="18"/>
                <w:szCs w:val="18"/>
                <w:color w:val="auto"/>
              </w:rPr>
              <w:t>(5,592)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3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(14,736)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Outstanding as of June 30, 2019</w:t>
            </w:r>
          </w:p>
        </w:tc>
        <w:tc>
          <w:tcPr>
            <w:tcW w:w="17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1,688,177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June 30, 2019</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592,456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Options unvested as of June 30, 2019</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1,095,721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240" w:type="dxa"/>
            <w:vAlign w:val="bottom"/>
          </w:tcPr>
          <w:p>
            <w:pPr>
              <w:spacing w:after="0"/>
              <w:rPr>
                <w:sz w:val="24"/>
                <w:szCs w:val="24"/>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2" w:name="page23"/>
    <w:bookmarkEnd w:id="22"/>
    <w:p>
      <w:pPr>
        <w:ind w:left="520"/>
        <w:spacing w:after="0"/>
        <w:rPr>
          <w:sz w:val="20"/>
          <w:szCs w:val="20"/>
          <w:color w:val="auto"/>
        </w:rPr>
      </w:pPr>
      <w:r>
        <w:rPr>
          <w:rFonts w:ascii="Arial" w:cs="Arial" w:eastAsia="Arial" w:hAnsi="Arial"/>
          <w:sz w:val="16"/>
          <w:szCs w:val="16"/>
          <w:color w:val="auto"/>
        </w:rPr>
        <w:t>The following table summarizes the classifications of stock-based compensation expenses for the 2012 Plan and the 2019 Plan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21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900" w:hanging="379"/>
        <w:spacing w:after="0"/>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36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During the three and six months ended June 30, 2019 and 2018, the Company maintained a full valuation allowance on deferred tax assets. Therefore,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recorded a provision for income taxes.</w:t>
      </w:r>
    </w:p>
    <w:p>
      <w:pPr>
        <w:spacing w:after="0" w:line="35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Plus: Dividends accrued on redeemable convertible preferred stock</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Plus: Accretion of redeemable convertible preferred stock</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(686)</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(2,239)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10,571,736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438,606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5,535,907</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Accretion and dividends included in the table above were calculated through the IPO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240" w:firstLine="518"/>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June 30, 2019 and 2018, were excluded from the calculation of diluted net loss per share attributable to common stockholders for the periods indicated because including them would have had an anti-dilutive effect:</w:t>
      </w:r>
    </w:p>
    <w:p>
      <w:pPr>
        <w:spacing w:after="0" w:line="21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Shares as of</w:t>
      </w:r>
    </w:p>
    <w:p>
      <w:pPr>
        <w:jc w:val="center"/>
        <w:ind w:left="70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00" w:type="dxa"/>
            <w:vAlign w:val="bottom"/>
            <w:tcBorders>
              <w:bottom w:val="single" w:sz="8" w:color="CFF0FC"/>
            </w:tcBorders>
          </w:tcPr>
          <w:p>
            <w:pPr>
              <w:spacing w:after="0"/>
              <w:rPr>
                <w:sz w:val="13"/>
                <w:szCs w:val="13"/>
                <w:color w:val="auto"/>
              </w:rPr>
            </w:pPr>
          </w:p>
        </w:tc>
        <w:tc>
          <w:tcPr>
            <w:tcW w:w="1880" w:type="dxa"/>
            <w:vAlign w:val="bottom"/>
            <w:tcBorders>
              <w:top w:val="single" w:sz="8" w:color="auto"/>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right"/>
              <w:ind w:right="7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15,387,923</w:t>
            </w:r>
          </w:p>
        </w:tc>
        <w:tc>
          <w:tcPr>
            <w:tcW w:w="100" w:type="dxa"/>
            <w:vAlign w:val="bottom"/>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22,608,695</w:t>
            </w:r>
          </w:p>
        </w:tc>
        <w:tc>
          <w:tcPr>
            <w:tcW w:w="10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 stock</w:t>
            </w:r>
          </w:p>
        </w:tc>
        <w:tc>
          <w:tcPr>
            <w:tcW w:w="2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30,886,507</w:t>
            </w:r>
          </w:p>
        </w:tc>
        <w:tc>
          <w:tcPr>
            <w:tcW w:w="100" w:type="dxa"/>
            <w:vAlign w:val="bottom"/>
            <w:shd w:val="clear" w:color="auto" w:fill="CFF0FC"/>
          </w:tcPr>
          <w:p>
            <w:pPr>
              <w:spacing w:after="0"/>
              <w:rPr>
                <w:sz w:val="19"/>
                <w:szCs w:val="19"/>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stock options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1,688,177</w:t>
            </w:r>
          </w:p>
        </w:tc>
        <w:tc>
          <w:tcPr>
            <w:tcW w:w="32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983,849</w:t>
            </w:r>
          </w:p>
        </w:tc>
        <w:tc>
          <w:tcPr>
            <w:tcW w:w="100" w:type="dxa"/>
            <w:vAlign w:val="bottom"/>
            <w:tcBorders>
              <w:bottom w:val="single" w:sz="8" w:color="CFF0FC"/>
            </w:tcBorders>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1,688,177</w:t>
            </w:r>
          </w:p>
        </w:tc>
        <w:tc>
          <w:tcPr>
            <w:tcW w:w="32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69,866,974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jc w:val="both"/>
        <w:ind w:right="200"/>
        <w:spacing w:after="0" w:line="264" w:lineRule="auto"/>
        <w:rPr>
          <w:sz w:val="20"/>
          <w:szCs w:val="20"/>
          <w:color w:val="auto"/>
        </w:rPr>
      </w:pPr>
      <w:r>
        <w:rPr>
          <w:rFonts w:ascii="Arial" w:cs="Arial" w:eastAsia="Arial" w:hAnsi="Arial"/>
          <w:sz w:val="18"/>
          <w:szCs w:val="18"/>
          <w:color w:val="auto"/>
        </w:rPr>
        <w:t>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Inc.</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Inc. (“MentiNova”) for the purchase of specified information and know-how, specified contractual rights and benefits, and all books and records of MentiNova related thereto (collectively, the “Acquired Assets”).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9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Company also has commitments under lease and licensing agreements </w:t>
      </w:r>
      <w:r>
        <w:rPr>
          <w:rFonts w:ascii="Arial" w:cs="Arial" w:eastAsia="Arial" w:hAnsi="Arial"/>
          <w:sz w:val="18"/>
          <w:szCs w:val="18"/>
          <w:i w:val="1"/>
          <w:iCs w:val="1"/>
          <w:color w:val="auto"/>
        </w:rPr>
        <w:t>(Note 4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518"/>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2018 included in the final prospectus for our initial public offering of our common shares, or IPO, filed with the Securities and Exchange Commission, or SEC, pursuant to Rule 424(b)(4) on May 8, 2019.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8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700" w:firstLine="518"/>
        <w:spacing w:after="0" w:line="286"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nalbuphine ER to treat serious neurologically mediated conditions. We are currently developing nalbuphine ER for the treatment of chronic pruritus, chronic cough in patients with idiopathic pulmonary fibrosis, or IPF, and levodopa-induced dyskinesia, or LID, in patients with Parkinson’s disease.</w:t>
      </w:r>
    </w:p>
    <w:p>
      <w:pPr>
        <w:spacing w:after="0" w:line="166"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nalbuphine ER. We have not generated any revenue from product sales and, as a result, we have never been profitable and have incurred net losses in each year since commencement of our operations. As of June 30, 2019, we had an accumulated deficit of $100.3 million, primarily as a result of research and development and general and administrative expenses. We do not expect to generate product revenue unless and until we obtain marketing approval for and commercialize nalbuphine ER for the treatment of pruritus associated with prurigo nodularis, chronic cough in patients with IPF or LID in patients with Parkinson’s disease, and we can provide no assurance that we will ever generate significant revenue or profits.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May 9,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right="100" w:firstLine="518"/>
        <w:spacing w:after="0" w:line="257" w:lineRule="auto"/>
        <w:rPr>
          <w:sz w:val="20"/>
          <w:szCs w:val="20"/>
          <w:color w:val="auto"/>
        </w:rPr>
      </w:pPr>
      <w:r>
        <w:rPr>
          <w:rFonts w:ascii="Arial" w:cs="Arial" w:eastAsia="Arial" w:hAnsi="Arial"/>
          <w:sz w:val="18"/>
          <w:szCs w:val="18"/>
          <w:color w:val="auto"/>
        </w:rPr>
        <w:t>As of June 30, 2019, we had cash and cash equivalents of $71.4 million. We believe that our existing cash and cash equivalents will enable us to fund our operating expenses and capital expenditure requirements through the end of 2020.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the additional Phase 3 clinical trial we will be required to conduct to support the submission of a new drug application, or NDA, to the United States Food and Drug Administration, or FDA, for nalbuphine ER for the treatment of pruritus associated with prurigo nodularis, our ongoing Phase 1b clinical trial in patients with chronic liver disease, our ongoing Phase 2 clinical trial in chronic cough in patients with IPF and our planned Phase 2 clinical trial for the treatment of LID in patients with Parkinson’s disease, the development and validation of our commercial manufacturing process for nalbuphine ER and other development activities, including potentially commencing a Phase 2 clinical trial for pruritus associated with chronic liver disease. Furthermore, we expect to incur additional costs associated with operating as a public company, including significant legal, accounting, investor relations and other expenses that we did not incur as a private company.</w:t>
      </w:r>
    </w:p>
    <w:p>
      <w:pPr>
        <w:spacing w:after="0" w:line="182"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nalbuphine ER,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nalbuphine ER for one or more indications or delay our efforts to expand our product pipeline.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nalbuphine ER, as a significant amount of our development activities broadly support all indications. In addition, several of our departments support our nalbuphine ER drug candidate development program and we do not identify internal costs for each potential indication.</w:t>
      </w:r>
    </w:p>
    <w:p>
      <w:pPr>
        <w:spacing w:after="0" w:line="15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expect our research and development expenses to increase over the next few years as we pursue our development program, pursue regulatory approval of nalbuphine ER in the United States and Europe and prepare for a possible commercial launch of nalbuphine ER. Predicting the timing or the cost to conduct our nalbuphine ER development program and prepare for a possible commercial launch of nalbuphine ER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nalbuphine ER will receive regulatory approval in the United States or elsewhere with any certainty.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 on our Term Loan Facility</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December 2014, we entered into a loan and security agreement with Solar Capital Ltd. and Square 1 Bank under which we borrowed $15.0 million under a term loan, or the Term Loan. The Term Loan accrued interest at a floating rate equal to the one-month LIBOR plus 7.75% per annum. The Term Loan required interest-only payments until March 2016, which was extended to November 2016. After November 2016, payments on the Term Loan were made monthly in 20 equal installments of principal plus interest. In June 2018, we paid all amounts owed under the Term Loan.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Series C Redeemable Convertible Preferred Stock Liability</w:t>
      </w:r>
    </w:p>
    <w:p>
      <w:pPr>
        <w:spacing w:after="0" w:line="117" w:lineRule="exact"/>
        <w:rPr>
          <w:sz w:val="20"/>
          <w:szCs w:val="20"/>
          <w:color w:val="auto"/>
        </w:rPr>
      </w:pPr>
    </w:p>
    <w:p>
      <w:pPr>
        <w:ind w:right="60" w:firstLine="518"/>
        <w:spacing w:after="0" w:line="320" w:lineRule="auto"/>
        <w:rPr>
          <w:sz w:val="20"/>
          <w:szCs w:val="20"/>
          <w:color w:val="auto"/>
        </w:rPr>
      </w:pPr>
      <w:r>
        <w:rPr>
          <w:rFonts w:ascii="Arial" w:cs="Arial" w:eastAsia="Arial" w:hAnsi="Arial"/>
          <w:sz w:val="15"/>
          <w:szCs w:val="15"/>
          <w:color w:val="auto"/>
        </w:rPr>
        <w:t>The stock purchase agreement under which we sold shares of Series C preferred stock provided for the issuance and sale of our Series C preferred stock in three separate tranches. The tranches represented a free-standing financial instrument under Accounting Standards Codification, or ASC, 480 and required fair value accounting until they were settled. We recognized a liability on our consolidated balance sheet for the obligations under this financial instrument. We adjusted this liability to fair value at each reporting date and recognized the changes in fair value in our statements of operations as a component of other income (expense), net. We continued to recognize changes in the fair value of this liability through the closing of the third tranche, which occurred on January 18, 2019.</w:t>
      </w:r>
    </w:p>
    <w:p>
      <w:pPr>
        <w:spacing w:after="0" w:line="29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connection with the Term Loan, we entered into the Success Fee Agreement under which we agreed to pay the lenders a Success Fee upon the occurrence of an exit event, as defined in the Success Fee Agreement. We classified this contingent obligation for the Success Fee as a liability on our consolidated balance sheet and we adjusted this liability to fair value at each reporting date.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w:t>
      </w:r>
    </w:p>
    <w:p>
      <w:pPr>
        <w:spacing w:after="0" w:line="2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5,528</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3,439</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(7,417)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Change in fair value of Series C redeemable convertible preferred</w:t>
            </w:r>
          </w:p>
        </w:tc>
        <w:tc>
          <w:tcPr>
            <w:tcW w:w="1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liability</w:t>
            </w:r>
          </w:p>
        </w:tc>
        <w:tc>
          <w:tcPr>
            <w:tcW w:w="14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4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(7,351)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(7,346)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60" w:type="dxa"/>
            <w:vAlign w:val="bottom"/>
            <w:vMerge w:val="restart"/>
          </w:tcPr>
          <w:p>
            <w:pPr>
              <w:jc w:val="right"/>
              <w:ind w:right="890"/>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2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24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Research and development expenses for the three months ended June 30, 2019 increased to $5.5 million from $3.4 million for the corresponding period in 2018. The increase was primarily due to a $2.0 million increase in clinical development expenses primarily related to increased activity in our ongoing Phase 2b/3 PRISM trial, which commenced in the third quarter of 2018, and the initiation of our Phase 2 trial in chronic cough in patients with IPF in the second quarter of 2019. For the periods presented, all of our research and development expenses related to our development activity for nalbuphine ER.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General and administrative expenses for the three months ended June 30, 2019 increased to $1.9 million from $0.9 million for the corresponding period in 2018. The increase was primarily due to an increase in personnel and stock-based compensation expenses of $0.4 million, which we incurred as we expanded our operations, an increase in expenses related to being a public company of $0.3 million and an increase in consulting expenses and professional fees of $0.1 million.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for the three months ended June 30, 2019 increased to other income, net of $66 thousand from other (expense), net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$0.5 million for the corresponding period in 2018. The increase primarily reflects the change in fair value of our liability during the three months ended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2018 for the shares of Series C preferred stock purchasable in the second and third tranches of our Series C preferred stock financing as well as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of $0.2 million due to our larger cash balance following our IPO in May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Six Months Ended June 30,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8,866</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5,802</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Series C redeemable convertible preferred</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liability</w:t>
            </w: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(1,266)</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FF0FC"/>
          </w:tcPr>
          <w:p>
            <w:pPr>
              <w:spacing w:after="0"/>
              <w:rPr>
                <w:sz w:val="20"/>
                <w:szCs w:val="20"/>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23"/>
        </w:trPr>
        <w:tc>
          <w:tcPr>
            <w:tcW w:w="5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2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24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Research and development expenses for the six months ended June 30, 2019 increased to $8.9 million from $5.8 million for the corresponding period in 2018. The increase was primarily due to a $2.9 million increase in clinical development expenses primarily related to increased activities in our ongoing Phase 2b/3 PRISM trial, which commenced in the third quarter of 2018, and the initiation of our Phase 2 trial for chronic cough in patients with IPF in the second quarter of 2019. In addition, personnel and related expenses increased by $0.2 million as a result of an increase in our employee headcount. For the periods presented, all of our research and development expenses related to our development activity for nalbuphine ER.</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General and administrative expenses for the six months ended June 30, 2019 increased to $3.4 million from $1.7 million for the corresponding period in 2018. The increase was primarily due to an increase in personnel and stock-based compensation expenses of $0.9 million, which we incurred as we expanded our operations, an increase in expenses related to being a public company of $0.3 million and an increase in consulting expenses and professional fees of $0.3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Other income (expense), net for the six months ended June 30, 2019 increased to other income, net of $72 thousand from other (expense), net of $1.4 million for the corresponding period in 2018. The increase primarily reflects the change in fair value of our liability during the six months ended June 30, 2018 for the shares of Series C preferred stock purchasable in the second and third tranches of our Series C preferred stock financing as well as increased interest income of $0.2 million due to our larger cash balance following our IPO in May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term loan facility. From inception to our IPO, we raised an aggregate of $102.2 million in gross proceeds from sales of our preferred stock and convertible notes and borrowed $15.0 million under a term loan facility. As of June 30, 2018, all amounts owed under the term loan facility had been paid in full.</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2019, we had cash and cash equivalents of $71.4 million. Our cash and cash equivalents are primarily held in money market accounts.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5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(9,157)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73,351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(5,331)</w:t>
            </w: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2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64,185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(14,962)</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During the six months ended June 30, 2019, operating activities used $9.2 million of cash, resulting from our net loss of $12.1 million, partially offset by changes in our operating assets and liabilities of $2.4 million and non-cash charges of $0.6 million. Changes in our operating assets and liabilities for the six months ended June 30, 2019 consisted primarily of a $2.3 million increase in accrued expenses, a $1.7 million increase in accounts payable, and a $1.5 million increase in prepaid expenses. The increase in accrued expenses was primarily due to increases in accruals related to our Phase 2b/3 PRISM trial in prurigo nodularis and to our Phase 2 trial for chronic cough in IPF. The increase in accounts payable was primarily due to timing of vendor invoices from our CROs and clinical trial material suppliers. The increase in prepaid expenses was primarily due to prepayments of our insurance policies and prepayments made under our ongoing research, development and clinical trial work performed by our CROs. The non-cash charges for the six months ended June 30, 2019 consisted primarily of stock-based compensation expense of $0.4 million and changes in fair value of the Success Fee of $0.2 million.</w:t>
      </w:r>
    </w:p>
    <w:p>
      <w:pPr>
        <w:spacing w:after="0" w:line="166"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During the six months ended June 30, 2018, operating activities used $9.6 million of cash, resulting from our net loss of $8.9 million and changes in our operating assets and liabilities of $2.3 million, partially offset by non-cash charges of $1.6 million. Changes in our operating assets and liabilities for the six months ended June 30, 2018 consisted primarily of a $1.6 million increase in prepaid expenses due to prepayments made under our ongoing research, development and clinical trial work performed by our CROs and a $0.9 million decrease in accrued expenses primarily due to adjustments for the timing of vendor invoices related to our Phase 2 prurigo nodularis trial. The non-cash charges for the six months ended June 30, 2018 consisted primarily of a $1.3 million expense related to the change in fair value of our Series C redeemable convertible preferred stock liability.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six months ended June 30, 2019 and the six months ended June 30, 2018, we used an insignificant amount of cash in investing activities, consisting of purchases of property and equipment.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During the six months ended June 30, 2019, net cash provided by financing activities was $73.4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$1.1 million and payment of the $0.7 million Success Fee.</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During the six months ended June 30, 2018, net cash used in financing activities was $5.3 million, primarily consisting of repayments of $4.8 million on the Term Loan and $0.5 million of final fees on the Term Loan.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the additional Phase 3 clinical trial we will need to conduct to support the submission of an NDA to the FDA and a marketing authorization application to the European Medicines Agency for nalbuphine ER for the treatment of pruritus associated with prurigo nodularis, our ongoing Phase 1b clinical trial in patients with chronic liver disease, our ongoing Phase 2 clinical trial in chronic cough in patients with IPF and our planned Phase 2 clinical trial for the treatment of LID in patients with Parkinson’s disease, the costs of commercialization activities, including manufacturing capabilities, for nalbuphine ER and other development activities including potentially commencing a Phase 2 clinical trial for pruritus associated with chronic liver diseases. Furthermore, we expect to incur additional costs associated with operating as a public company, including significant legal, accounting, investor relations and other expenses that we did not incur as a private company.</w:t>
      </w:r>
    </w:p>
    <w:p>
      <w:pPr>
        <w:spacing w:after="0" w:line="182"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nalbuphine ER,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900" w:right="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nalbuphine ER for the treatment of pruritus associated with prurigo nodularis and for other serious neurologically mediated conditions, as well of as any future product candidates;</w:t>
      </w:r>
    </w:p>
    <w:p>
      <w:pPr>
        <w:spacing w:after="0" w:line="62"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62" w:lineRule="exact"/>
        <w:rPr>
          <w:rFonts w:ascii="Arial" w:cs="Arial" w:eastAsia="Arial" w:hAnsi="Arial"/>
          <w:sz w:val="18"/>
          <w:szCs w:val="18"/>
          <w:color w:val="auto"/>
        </w:rPr>
      </w:pPr>
    </w:p>
    <w:p>
      <w:pPr>
        <w:ind w:left="900" w:right="380" w:hanging="379"/>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900" w:right="2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jc w:val="both"/>
        <w:ind w:left="900" w:right="20" w:hanging="379"/>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left="900" w:right="660" w:hanging="379"/>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900" w:right="220" w:hanging="379"/>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3"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900" w:right="46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through the end of 2020.</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nalbuphine ER for pruritus associated with prurigo nodularis or any other indication.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w:t>
      </w:r>
    </w:p>
    <w:p>
      <w:pPr>
        <w:spacing w:after="0" w:line="16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3"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During the six months ended June 30, 2019, there were no material changes to our critical accounting policies. Our critical accounting policies are described under the heading “Management’s Discussion and Analysis of Financial Condition and Results of Operations—Critical Accounting Policies and Use of Estimates” in the final prospectus for our IPO filed with the SEC pursuant to Rule 424(b)(4) on May 8, 2019 and in the notes to the condensed consolidated financial statements appearing elsewhere in this Quarterly Report on Form 10-Q.</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13 to our condensed consolidated financial statements included elsewhere in this Quarterly Report on Form 10-Q for discussion regarding our commitments and contingent commitments.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February 2016, the Financial Accounting Standards Board, or FASB, issued Accounting Standards Update or, ASU, No. 2016-02 titled </w:t>
      </w:r>
      <w:r>
        <w:rPr>
          <w:rFonts w:ascii="Arial" w:cs="Arial" w:eastAsia="Arial" w:hAnsi="Arial"/>
          <w:sz w:val="16"/>
          <w:szCs w:val="16"/>
          <w:i w:val="1"/>
          <w:iCs w:val="1"/>
          <w:color w:val="auto"/>
        </w:rPr>
        <w:t>Leases</w:t>
      </w:r>
      <w:r>
        <w:rPr>
          <w:rFonts w:ascii="Arial" w:cs="Arial" w:eastAsia="Arial" w:hAnsi="Arial"/>
          <w:sz w:val="16"/>
          <w:szCs w:val="16"/>
          <w:color w:val="auto"/>
        </w:rPr>
        <w:t>, or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54"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We adopted this new guidance as of January 1, 2019, which included an assessment of the impact of the new guidance on the condensed consolidated financial statements. We utilized the transition practical expedient added by the FASB, which eliminated the requirement that entities apply the new lease standard to the comparative periods presented in the year of adoption. We elected to use the package of practical expedients that allowed us to not reassess:</w:t>
      </w:r>
    </w:p>
    <w:p>
      <w:pPr>
        <w:ind w:right="80" w:firstLine="8"/>
        <w:spacing w:after="0" w:line="292"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whether any expired or existing contracts were or contained leases, (2) lease classification for any expired or existing leases and (3) initial direct costs for any expired or existing leases. We used the practical expedient that allows lessees to treat the lease and non-lease components of leases as a single lease component. The adoption of this standard resulted in the recognition of a right-of-use asset of $379 and related lease liabilities of $424 related to our operating lease commitments on the Condensed Consolidated Balance Sheet as of January 1, 2019 </w:t>
      </w:r>
      <w:r>
        <w:rPr>
          <w:rFonts w:ascii="Arial" w:cs="Arial" w:eastAsia="Arial" w:hAnsi="Arial"/>
          <w:sz w:val="16"/>
          <w:szCs w:val="16"/>
          <w:i w:val="1"/>
          <w:iCs w:val="1"/>
          <w:color w:val="auto"/>
        </w:rPr>
        <w:t>(Note 4).</w:t>
      </w:r>
      <w:r>
        <w:rPr>
          <w:rFonts w:ascii="Arial" w:cs="Arial" w:eastAsia="Arial" w:hAnsi="Arial"/>
          <w:sz w:val="16"/>
          <w:szCs w:val="16"/>
          <w:color w:val="auto"/>
        </w:rPr>
        <w:t xml:space="preserve"> The impact of adoption of the new leasing standard did not have a material impact on the Condensed Consolidated Statement of Operations during the three and six months ended June 30, 2019.</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There have been no new accounting pronouncements during the three and six months ended June 30, 2019, as compared to the recent accounting pronouncements described in Note 2 to our audited consolidated financial statements for the year ended December 31, 2018 included in the final prospectus for our IPO, which could be expected to materially impact our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2019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We have incurred significant annual net losses every year since our inception. We expect to continue to incur significant and increasing net losses for at least the next several years. Our net losses were $12.1 million, $20.5 million and $12.9 million for the six months ended June 30, 2019, the year ended December 31, 2018 and the year ended December 31, 2017, respectively. As of June 30, 2019, we had an accumulated deficit of $100.3 million. We have not generated any revenues from product sales, have not completed the development of any product candidate and may never have a product candidate approved for commercialization. We have financed our operations to date primarily through our initial public offering and private placements of our convertible preferred stock prior to our initial public offering. We have devoted substantially all of our financial resources and efforts to the clinical development of our product candidate nalbuphine ER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900" w:right="24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nalbuphine ER, including our ongoing Phase 2b/3 trial of nalbuphine ER for the treatment of pruritus associated with prurigo nodularis, which we refer to as our PRISM trial;</w:t>
      </w:r>
    </w:p>
    <w:p>
      <w:pPr>
        <w:spacing w:after="0" w:line="62" w:lineRule="exact"/>
        <w:rPr>
          <w:rFonts w:ascii="Arial" w:cs="Arial" w:eastAsia="Arial" w:hAnsi="Arial"/>
          <w:sz w:val="18"/>
          <w:szCs w:val="18"/>
          <w:color w:val="auto"/>
        </w:rPr>
      </w:pPr>
    </w:p>
    <w:p>
      <w:pPr>
        <w:ind w:left="900" w:hanging="379"/>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nalbuphine ER for the treatment of pruritus associated with prurigo nodularis, including completing our PRISM trial and at least one additional Phase 3 clinical trial in this indication;</w:t>
      </w:r>
    </w:p>
    <w:p>
      <w:pPr>
        <w:spacing w:after="0" w:line="78" w:lineRule="exact"/>
        <w:rPr>
          <w:rFonts w:ascii="Arial" w:cs="Arial" w:eastAsia="Arial" w:hAnsi="Arial"/>
          <w:sz w:val="18"/>
          <w:szCs w:val="18"/>
          <w:color w:val="auto"/>
        </w:rPr>
      </w:pPr>
    </w:p>
    <w:p>
      <w:pPr>
        <w:ind w:left="900" w:right="280" w:hanging="379"/>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seek regulatory and marketing approvals for nalbuphine ER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900" w:right="20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900" w:right="74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manufacture of larger quantities of nalbuphine ER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nalbuphine ER and for any future product candidates.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5" w:name="page36"/>
    <w:bookmarkEnd w:id="35"/>
    <w:p>
      <w:pPr>
        <w:ind w:firstLine="518"/>
        <w:spacing w:after="0" w:line="287" w:lineRule="auto"/>
        <w:rPr>
          <w:sz w:val="20"/>
          <w:szCs w:val="20"/>
          <w:color w:val="auto"/>
        </w:rPr>
      </w:pPr>
      <w:r>
        <w:rPr>
          <w:rFonts w:ascii="Arial" w:cs="Arial" w:eastAsia="Arial" w:hAnsi="Arial"/>
          <w:sz w:val="16"/>
          <w:szCs w:val="16"/>
          <w:color w:val="auto"/>
        </w:rPr>
        <w:t>Our ability to become and remain profitable depends on our ability to generate revenue. We do not expect to generate significant revenue unless and until we are able to obtain marketing approval for, and successfully commercialize, nalbuphine ER or any future product candidate. Successful commercialization will require achievement of key milestones, including completing clinical trials of nalbuphine ER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nalbuphine ER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nalbuphine ER.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89"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If we are able to obtain marketing approval for nalbuphine ER or any future product candidate, we will need to transition from a company focused on clinical development to a company capable of supporting commercial activities. We may not be successful in effectuating such a transition.</w:t>
      </w:r>
    </w:p>
    <w:p>
      <w:pPr>
        <w:spacing w:after="0" w:line="166"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2019 and in the years ended December 31, 2018 and 2017, we used net cash of $9.2 million, $18.3 million and $8.0 million, respectively, in our operating activities, substantially all of which related to development activities for nalbuphine ER. As of June 30, 2019, our cash and cash equivalents were $71.4 million. We expect our expenses to increase substantially in connection with our ongoing activities, particularly as we continue to develop and conduct clinical trials of nalbuphine ER, including our ongoing PRISM trial and the additional Phase 3 clinical trial we will need to conduct for nalbuphine ER for the treatment of pruritus associated with prurigo nodularis, acquire or in-license rights to other potential product candidates or technologies and seek regulatory and marketing approvals for nalbuphine ER or any future product candidate that successfully completes clinical trials, if any. In addition, if we obtain marketing approval for nalbuphine ER or any future product candidate, we may incur significant commercialization expenses related to product sales, marketing, manufacturing and distribution. For instance, we currently intend to commercialize nalbuphine ER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firstLine="518"/>
        <w:spacing w:after="0" w:line="290" w:lineRule="auto"/>
        <w:rPr>
          <w:sz w:val="20"/>
          <w:szCs w:val="20"/>
          <w:color w:val="auto"/>
        </w:rPr>
      </w:pPr>
      <w:r>
        <w:rPr>
          <w:rFonts w:ascii="Arial" w:cs="Arial" w:eastAsia="Arial" w:hAnsi="Arial"/>
          <w:sz w:val="16"/>
          <w:szCs w:val="16"/>
          <w:color w:val="auto"/>
        </w:rPr>
        <w:t>We plan to use our existing cash and cash equivalents, to fund the development of nalbuphine ER for the treatment of pruritus associated with prurigo nodularis, to fund the development of nalbuphine ER for other serious neurologically mediated conditions and for working capital and other general corporate purposes. We will be required to expend significant funds in order to advance the development of nalbuphine ER in multiple indications, as well as any future product candidates we may seek to develop. Our existing cash and cash equivalents may not be sufficient to complete development of nalbuphine ER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6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through the end of 2020.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50" w:lineRule="exact"/>
        <w:rPr>
          <w:sz w:val="20"/>
          <w:szCs w:val="20"/>
          <w:color w:val="auto"/>
        </w:rPr>
      </w:pPr>
    </w:p>
    <w:p>
      <w:pPr>
        <w:ind w:left="900" w:right="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nalbuphine ER for the treatment of pruritus associated with prurigo nodularis and for other serious neurologically mediated conditions, as well of as any future product candidates;</w:t>
      </w:r>
    </w:p>
    <w:p>
      <w:pPr>
        <w:spacing w:after="0" w:line="62"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nalbuphine ER or any future product candidates, and their respective development requirements;</w:t>
      </w:r>
    </w:p>
    <w:p>
      <w:pPr>
        <w:spacing w:after="0" w:line="62" w:lineRule="exact"/>
        <w:rPr>
          <w:rFonts w:ascii="Arial" w:cs="Arial" w:eastAsia="Arial" w:hAnsi="Arial"/>
          <w:sz w:val="18"/>
          <w:szCs w:val="18"/>
          <w:color w:val="auto"/>
        </w:rPr>
      </w:pPr>
    </w:p>
    <w:p>
      <w:pPr>
        <w:ind w:left="900" w:right="380" w:hanging="379"/>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900" w:right="2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nalbuphine ER or any future product candidate for clinical development in connection with regulatory submissions;</w:t>
      </w:r>
    </w:p>
    <w:p>
      <w:pPr>
        <w:spacing w:after="0" w:line="62" w:lineRule="exact"/>
        <w:rPr>
          <w:rFonts w:ascii="Arial" w:cs="Arial" w:eastAsia="Arial" w:hAnsi="Arial"/>
          <w:sz w:val="18"/>
          <w:szCs w:val="18"/>
          <w:color w:val="auto"/>
        </w:rPr>
      </w:pPr>
    </w:p>
    <w:p>
      <w:pPr>
        <w:jc w:val="both"/>
        <w:ind w:left="900" w:right="20" w:hanging="379"/>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3" w:lineRule="exact"/>
        <w:rPr>
          <w:rFonts w:ascii="Arial" w:cs="Arial" w:eastAsia="Arial" w:hAnsi="Arial"/>
          <w:sz w:val="18"/>
          <w:szCs w:val="18"/>
          <w:color w:val="auto"/>
        </w:rPr>
      </w:pPr>
    </w:p>
    <w:p>
      <w:pPr>
        <w:ind w:left="900" w:right="660" w:hanging="379"/>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15" w:lineRule="exact"/>
        <w:rPr>
          <w:rFonts w:ascii="Arial" w:cs="Arial" w:eastAsia="Arial" w:hAnsi="Arial"/>
          <w:sz w:val="16"/>
          <w:szCs w:val="16"/>
          <w:color w:val="auto"/>
        </w:rPr>
      </w:pPr>
    </w:p>
    <w:p>
      <w:pPr>
        <w:ind w:left="900" w:right="220" w:hanging="379"/>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3"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900" w:right="46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report of our independent registered public accounting firm included a “going concern” explanatory paragraph.</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report of our independent registered public accounting firm on our consolidated financial statements as of and for the year ended December 31, 2018 that was issued prior to our initial public offering included an explanatory paragraph indicating that there was substantial doubt about our ability to continue as a going concern. Given our planned expenditures, including expenditures in connection with our clinical trials of nalbuphine ER, our independent registered public accounting firm may conclude, in connection with the audit of our financial statements for the year ended December 31, 2019 or any other subsequent period, that there is substantial doubt regarding our ability to continue as a going concern.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may materially adversely affect our share price and our ability to raise new capital, enter into critical contractual relations with third parties and otherwise execute our development strategy.</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product candidates.</w:t>
      </w:r>
    </w:p>
    <w:p>
      <w:pPr>
        <w:spacing w:after="0" w:line="14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expect our expenses to increase substantially in connection with our planned operations, particularly as we conduct our ongoing PRISM trial as well as the additional Phase 3 clinical trial we will need to conduct for nalbuphine ER for the treatment of pruritus associated with prurigo nodularis and develop nalbuphine ER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Securing financing could also require a substantial amount of time from our management and may divert a disproportionate amount of their attention away from daily activities, which may adversely affect our management’s ability to oversee the development of nalbuphine ER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Nalbuphine ER and Any Future Product Candidates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nalbuphine ER, our sole product candidate. If we are unable to complete the clinical development of, obtain marketing approval for or successfully commercialize nalbuphine ER, or if we experience significant delays in doing so, our business would be substantially harmed.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currently have no products approved for sale and are investing substantially all of our efforts and financial resources to fund the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nalbuphine ER for multiple serious neurologically mediated conditions. Our prospects are dependent on our ability to develop, obtain marketing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and successfully commercialize nalbuphine ER in one or more indications as we currently have no other product candidates under development.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 or in-license rights to other potential product candidates or technologies in the future, but we are currently not developing any other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candidates.</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most advanced program for nalbuphine ER is our program to develop nalbuphine ER for the treatment of pruritus associated with prurigo nodularis, as our efforts to develop nalbuphine ER for other serious neurologically mediated conditions are only at an early stage. As a result, if our efforts to develop and commercialize nalbuphine ER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success of nalbuphine ER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PRISM trial;</w:t>
      </w:r>
    </w:p>
    <w:p>
      <w:pPr>
        <w:spacing w:after="0" w:line="117" w:lineRule="exact"/>
        <w:rPr>
          <w:rFonts w:ascii="Arial" w:cs="Arial" w:eastAsia="Arial" w:hAnsi="Arial"/>
          <w:sz w:val="18"/>
          <w:szCs w:val="18"/>
          <w:color w:val="auto"/>
        </w:rPr>
      </w:pPr>
    </w:p>
    <w:p>
      <w:pPr>
        <w:ind w:left="900" w:right="220" w:hanging="379"/>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nalbuphine ER for the treatment of pruritus associated with prurigo nodularis and other supportive clinical studies such as our planned HAL study and TQT studies;</w:t>
      </w:r>
    </w:p>
    <w:p>
      <w:pPr>
        <w:spacing w:after="0" w:line="73"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8" w:name="page39"/>
    <w:bookmarkEnd w:id="38"/>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arrangements with third-party suppliers of drug substance for nalbuphine ER;</w:t>
      </w:r>
    </w:p>
    <w:p>
      <w:pPr>
        <w:spacing w:after="0" w:line="117"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arrangements with third-party manufacturers of nalbuphine ER, including developing, validating and maintaining a commercially viable manufacturing process that is compliant with current good manufacturing practices, or cGMPs;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United States and other countries;</w:t>
      </w:r>
    </w:p>
    <w:p>
      <w:pPr>
        <w:spacing w:after="0" w:line="117"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62"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nalbuphine ER, or if we experience delays as a result of any of these factors or otherwise, our business would be substantially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nalbuphine ER to treat serious neurologically mediated conditions is unproven.</w:t>
      </w:r>
    </w:p>
    <w:p>
      <w:pPr>
        <w:spacing w:after="0" w:line="12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are currently focused on the development and commercialization of nalbuphine ER to treat serious neurologically mediated conditions. Nalbuphine ER is an oral extended release formulation of nalbuphine,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nalbuphine ER. While we believe that nalbuphine’s dual mechanism of action, which targets both the central and peripheral nervous systems, makes nalbuphine ER a promising potential therapy for the treatment of chronic pruritus and other serious neurologically mediated conditions, and that nalbuphine ER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nalbuphine ER or any other future product candidate that we may seek to develop for this indication or for any other serious neurologically mediated condition will be effective or safe, obtain regulatory approval or be commercially successful.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nalbuphine ER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nalbuphine ER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nalbuphine ER or any future product candidate, including:</w:t>
      </w:r>
    </w:p>
    <w:p>
      <w:pPr>
        <w:spacing w:after="0" w:line="79"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900" w:right="200" w:hanging="379"/>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 patient enrollment in these clinical trials may be slower than we anticipate or participants may discontinue their participation in these clinical trials at a higher rate than we anticipate, as we experienced in our Phase 2 clinical trial of nalbuphine ER for the treatment of pruritus associated with prurigo nodularis;</w:t>
      </w:r>
    </w:p>
    <w:p>
      <w:pPr>
        <w:spacing w:after="0" w:line="57" w:lineRule="exact"/>
        <w:rPr>
          <w:rFonts w:ascii="Arial" w:cs="Arial" w:eastAsia="Arial" w:hAnsi="Arial"/>
          <w:sz w:val="17"/>
          <w:szCs w:val="17"/>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planned clinical trials may be greater than we anticipate;</w:t>
      </w:r>
    </w:p>
    <w:p>
      <w:pPr>
        <w:spacing w:after="0" w:line="117" w:lineRule="exact"/>
        <w:rPr>
          <w:rFonts w:ascii="Arial" w:cs="Arial" w:eastAsia="Arial" w:hAnsi="Arial"/>
          <w:sz w:val="18"/>
          <w:szCs w:val="18"/>
          <w:color w:val="auto"/>
        </w:rPr>
      </w:pPr>
    </w:p>
    <w:p>
      <w:pPr>
        <w:ind w:left="900" w:right="12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3"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24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73" w:lineRule="exact"/>
        <w:rPr>
          <w:rFonts w:ascii="Arial" w:cs="Arial" w:eastAsia="Arial" w:hAnsi="Arial"/>
          <w:sz w:val="18"/>
          <w:szCs w:val="18"/>
          <w:color w:val="auto"/>
        </w:rPr>
      </w:pPr>
    </w:p>
    <w:p>
      <w:pPr>
        <w:ind w:left="900" w:right="520" w:hanging="379"/>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900" w:right="180" w:hanging="379"/>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62" w:lineRule="exact"/>
        <w:rPr>
          <w:rFonts w:ascii="Arial" w:cs="Arial" w:eastAsia="Arial" w:hAnsi="Arial"/>
          <w:sz w:val="18"/>
          <w:szCs w:val="18"/>
          <w:color w:val="auto"/>
        </w:rPr>
      </w:pPr>
    </w:p>
    <w:p>
      <w:pPr>
        <w:ind w:left="900" w:right="10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3"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62" w:lineRule="exact"/>
        <w:rPr>
          <w:rFonts w:ascii="Arial" w:cs="Arial" w:eastAsia="Arial" w:hAnsi="Arial"/>
          <w:sz w:val="18"/>
          <w:szCs w:val="18"/>
          <w:color w:val="auto"/>
        </w:rPr>
      </w:pPr>
    </w:p>
    <w:p>
      <w:pPr>
        <w:ind w:left="900" w:right="18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Under the protocol for our ongoing Phase 2b/3 PRISM trial, once 50% of the patients are evaluable for the primary efficacy endpoint, an unblinded statistician for the trial will review the appropriate data, perform a sample size re-estimation and advise us on whether we should increase the number of patients in the trial. If we determine to increase the number of patients in the trial based on the re-estimation, the costs of the trial may increase, the results of the trial may be delayed, and we may need to raise additional funds or divert resources from and delay our other programs to complete the trial.</w:t>
      </w:r>
    </w:p>
    <w:p>
      <w:pPr>
        <w:spacing w:after="0" w:line="154"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nalbuphine ER or any future product candidate beyond the trials and testing that we contemplate, we are unable to successfully and timely complete clinical trials or other testing of nalbuphine ER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unplanned costs, which may exceed the resources that we have available or are able to obtain on reasonable terms;</w:t>
      </w:r>
    </w:p>
    <w:p>
      <w:pPr>
        <w:spacing w:after="0" w:line="117" w:lineRule="exact"/>
        <w:rPr>
          <w:rFonts w:ascii="Arial" w:cs="Arial" w:eastAsia="Arial" w:hAnsi="Arial"/>
          <w:sz w:val="18"/>
          <w:szCs w:val="18"/>
          <w:color w:val="auto"/>
        </w:rPr>
      </w:pPr>
    </w:p>
    <w:p>
      <w:pPr>
        <w:jc w:val="both"/>
        <w:ind w:left="900" w:hanging="379"/>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failure to successfully and timely complete clinical trials of nalbuphine ER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nalbuphine ER or any future product candidates, which would likely prevent or delay regulatory approval and commercialization.</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Before obtaining regulatory approvals for the commercial sale of nalbuphine ER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nalbuphine ER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nalbuphine ER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nalbuphine ER or any future product candidate that is greater than the actual positive effect, if any. Similarly, in our clinical trials we may fail to detect toxicity of, or intolerability caused by, nalbuphine ER or any future product candidate, or mistakenly believe that nalbuphine ER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nalbuphine ER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85"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nalbuphine ER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nalbuphine ER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nalbuphine ER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nalbuphine ER for the treatment of pruritus associated with prurigo nodularis.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38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nalbuphine ER or adversely impact our clinical trials.</w:t>
      </w:r>
    </w:p>
    <w:p>
      <w:pPr>
        <w:spacing w:after="0" w:line="6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Due to the difficulty of objectively measuring pruritus, the assessment of pruritus in clinical trials typically involves the use of PROs. Our clinical trials evaluating the efficacy of nalbuphine ER in pruritus indications have used PROs as primary endpoints. For example, the primary endpoint of our Phase 2 clinical trial of nalbuphine ER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9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addition, PROs for the assessment of pruritus have historically been observed to have high placebo group response rates. We observed this in some of our clinical trials of nalbuphine ER. For example, in our Phase 2 clinical trial of nalbuphine ER for the treatment of pruritus associated with prurigo nodularis, we observed a mean reduction from baseline in WI-NRS score for the trial’s modified intention-to-treat population of 1.75 points for placebo as compared to 2.14 points for nalbuphine ER dosed twice-daily at 81 mg and 2.51 points for nalbuphine ER dosed twice-daily at 162 mg. In discussions, the FDA has also indicated to us that changes in WI-NRS alone may not translate to clinically meaningfully differences and therefore may not be acceptable for labeling purposes.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7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nalbuphine ER. The FDA could also require changes in the PROs we are currently using or indicate that the PROs we are using are insufficient for demonstrating efficacy in pruritus, potentially delaying clinical development of nalbuphine ER, increasing our costs and making additional clinical trials necessary.</w:t>
      </w:r>
    </w:p>
    <w:p>
      <w:pPr>
        <w:spacing w:after="0" w:line="29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nalbuphine ER or any future product candidate may be identified during development and could delay or prevent the marketing approval or limit the use of nalbuphine ER or any future product candidate.</w:t>
      </w:r>
    </w:p>
    <w:p>
      <w:pPr>
        <w:spacing w:after="0" w:line="16"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Adverse events or undesirable side effects caused by, or other unexpected properties of, nalbuphine ER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nalbuphine ER,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nalbuphine ER to date. μ-opioid receptor antagonists have the potential to precipitate withdrawal effects in patients, including drug addicts, and are associated with respiratory depression and potential cardiac risk. The drug label for nalbuphine, the active ingredient in nalbuphine ER, carries an opioid class label warning for serious, life-threatening or fatal respiratory depression, and nalbuphine ER, if approved for marketing in any indication, will likely carry a similar opioid class label. To support our planned submission of an NDA to the FDA for nalbuphine ER, we will be required to conduct a clinical trial of nalbuphine ER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ind w:right="20" w:firstLine="518"/>
        <w:spacing w:after="0" w:line="259" w:lineRule="auto"/>
        <w:rPr>
          <w:sz w:val="20"/>
          <w:szCs w:val="20"/>
          <w:color w:val="auto"/>
        </w:rPr>
      </w:pPr>
      <w:r>
        <w:rPr>
          <w:rFonts w:ascii="Arial" w:cs="Arial" w:eastAsia="Arial" w:hAnsi="Arial"/>
          <w:sz w:val="18"/>
          <w:szCs w:val="18"/>
          <w:color w:val="auto"/>
        </w:rPr>
        <w:t>In our Phase 2 clinical trial of nalbuphine ER for the treatment of pruritus associated with prurigo nodularis, the most frequently reported adverse events associated with nalbuphine ER were nausea, dizziness and headache. In the open label extension of the trial, nausea, dizziness and fatigue were reported. Across both the Phase 2 clinical trial of nalbuphine ER for the treatment of pruritus associated with prurigo nodularis and the open label extension, a total of four patients reported SAEs, but none of these events was attributed to nalbuphine ER.</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our Phase 2b/3 trial of nalbuphine ER in patients with uremic pruritus, the most frequently reported adverse events attributed to nalbuphine ER were nausea, vomiting, somnolence and dizziness. In patients with uremic pruritus, SAEs were frequent but were primarily related to associated underlying diseases or to procedural complications related to hemodialysis.</w:t>
      </w:r>
    </w:p>
    <w:p>
      <w:pPr>
        <w:spacing w:after="0" w:line="181" w:lineRule="exact"/>
        <w:rPr>
          <w:sz w:val="20"/>
          <w:szCs w:val="20"/>
          <w:color w:val="auto"/>
        </w:rPr>
      </w:pPr>
    </w:p>
    <w:p>
      <w:pPr>
        <w:jc w:val="both"/>
        <w:ind w:right="120" w:firstLine="518"/>
        <w:spacing w:after="0" w:line="257" w:lineRule="auto"/>
        <w:rPr>
          <w:sz w:val="20"/>
          <w:szCs w:val="20"/>
          <w:color w:val="auto"/>
        </w:rPr>
      </w:pPr>
      <w:r>
        <w:rPr>
          <w:rFonts w:ascii="Arial" w:cs="Arial" w:eastAsia="Arial" w:hAnsi="Arial"/>
          <w:sz w:val="18"/>
          <w:szCs w:val="18"/>
          <w:color w:val="auto"/>
        </w:rPr>
        <w:t>If nalbuphine ER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nalbuphine ER, could potentially restrict its use and harm our ability to generate profits.</w:t>
      </w:r>
    </w:p>
    <w:p>
      <w:pPr>
        <w:spacing w:after="0" w:line="62"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nalbuphine ER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nalbuphine ER may carry risks of misuse, abuse or addiction, or even if the trial indicates that nalbuphine ER does not carry such risks, the FDA may require us to implement a REMS program in connection with any commercialization of nalbuphine ER. We cannot predict whether a REMS program would be required as part of FDA approval of nalbuphine ER and, if required, what requirements it might entail. Any limitations on approval or marketing could restrict the commercial promotion, distribution, prescription or dispensation of nalbuphine ER, if approved. If a REMS program is required, depending on the extent of the REMS requirements, the program might significantly increase our costs to commercialize nalbuphine ER. Furthermore, risks of nalbuphine ER that are not adequately addressed through a proposed REMS program for nalbuphine ER may also prevent or delay any approval for commercialization.</w:t>
      </w:r>
    </w:p>
    <w:p>
      <w:pPr>
        <w:spacing w:after="0" w:line="18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nalbuphine ER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nalbuphine ER as a controlled substance under different, but potentially no less burdensome, regulations.</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nalbuphine ER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nalbuphine ER is classified as a controlled substance, there is a risk that such regulations could limit its supply for use in clinical trials and, in the future, limit our ability to produce and distribute nalbuphine ER in the volume needed to meet potential commercial demand.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40" w:firstLine="518"/>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nalbuphine ER is classified as a controlled substance, failure to obtain and maintain required registrations or comply with any applicable regulations could delay or preclude us from developing and commercializing nalbuphine ER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nalbuphine ER is classified as a controlled substance, depending on how it is scheduled, its commercial prospects could be limited.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nalbuphine ER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At a meeting with the FDA following the completion of our Phase 2 clinical trial of nalbuphine ER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9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nalbuphine ER for the treatment of pruritus associated with prurigo nodularis. If enrolled patients withdraw from our PRISM trial at a rate that is higher than expected, as occurred in our Phase 2 clinical trial of nalbuphine ER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nalbuphine ER or any future product candidate warrant marketing approval, the FDA or comparable foreign regulatory authorities may disagree and may not grant marketing approval of the product candidate.</w:t>
      </w:r>
    </w:p>
    <w:p>
      <w:pPr>
        <w:spacing w:after="0" w:line="18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In addition, some of our data for nalbuphine ER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nalbuphine ER in patients with prurigo nodularis and uremic pruritus. While we believe these data may be useful in informing the design of our PRISM trial and other future Phase 3 clinical trials for nalbuphine ER,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nalbuphine ER or any future product candidate, the development timeline and regulatory approval and commercialization prospects for those product candidates and, correspondingly, our business and financial prospects would be negatively impacted.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may not be able to initiate or continue clinical trials for nalbuphine ER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3" w:lineRule="exact"/>
        <w:rPr>
          <w:sz w:val="20"/>
          <w:szCs w:val="20"/>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particular, the successful completion of our clinical development program for nalbuphine ER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We have taken actions to increase enrollment, including increasing the number of clinical sites and closing underperforming sites. However, these actions may not be successful. Other companies are conducting clinical trials or have announced plans for future clinical trials that are seeking, or are likely to seek, to enroll patients with prurigo nodularis,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66"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nalbuphine ER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62"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b w:val="1"/>
          <w:bCs w:val="1"/>
          <w:i w:val="1"/>
          <w:iCs w:val="1"/>
          <w:color w:val="auto"/>
        </w:rPr>
        <w:t>Even if nalbuphine ER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63" w:lineRule="exact"/>
        <w:rPr>
          <w:sz w:val="20"/>
          <w:szCs w:val="20"/>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Even if nalbuphine ER or any future product candidate receives marketing approval, it may fail to achieve the degree of market acceptance by physicians, patients, third-party payors and others in the medical community necessary for commercial success, in which case the market opportunity for nalbuphine ER may be smaller than we estimate and we may not generate significant revenues or become profitable.</w:t>
      </w:r>
    </w:p>
    <w:p>
      <w:pPr>
        <w:spacing w:after="0" w:line="57" w:lineRule="exact"/>
        <w:rPr>
          <w:sz w:val="20"/>
          <w:szCs w:val="20"/>
          <w:color w:val="auto"/>
        </w:rPr>
      </w:pPr>
    </w:p>
    <w:p>
      <w:pPr>
        <w:ind w:right="340" w:firstLine="518"/>
        <w:spacing w:after="0" w:line="273" w:lineRule="auto"/>
        <w:rPr>
          <w:sz w:val="20"/>
          <w:szCs w:val="20"/>
          <w:color w:val="auto"/>
        </w:rPr>
      </w:pPr>
      <w:r>
        <w:rPr>
          <w:rFonts w:ascii="Arial" w:cs="Arial" w:eastAsia="Arial" w:hAnsi="Arial"/>
          <w:sz w:val="17"/>
          <w:szCs w:val="17"/>
          <w:color w:val="auto"/>
        </w:rPr>
        <w:t>We have never commercialized a product, and even if nalbuphine ER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7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nalbuphine ER or any future product candidate may require significant resources and may not be successful. If nalbuphine ER or any future product candidate is approved but does not achieve an adequate level of market acceptance, we may not generate significant revenues and we may not become profitable. The degree of market acceptance of nalbuphine ER or any future product candidate, if approved for commercial sale, will depend on a number of factors, including:</w:t>
      </w:r>
    </w:p>
    <w:p>
      <w:pPr>
        <w:spacing w:after="0" w:line="79"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that the DEA could determine that nalbuphine ER should be classified as a controlled substance;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nalbuphine ER for the treatment of pruritus associated with prurigo nodularis as our lead program. However, the development of nalbuphine ER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arrangements with third parties, we may not be successful in commercializing nalbuphine ER or any future product candidates if and when they are approved.</w:t>
      </w:r>
    </w:p>
    <w:p>
      <w:pPr>
        <w:spacing w:after="0" w:line="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nalbuphine ER receives marketing approval from the FDA in any of our target indications, we believe we will have the opportunity to commercialize it in the United States directly through our own focused, specialty sales organization. If nalbuphine ER receives marketing approval outside the United States, we may develop a variety of collaboration, distribution and other marketing arrangements with one or more third parties to commercialize the product in those markets.</w:t>
      </w:r>
    </w:p>
    <w:p>
      <w:pPr>
        <w:spacing w:after="0" w:line="19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7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nalbuphine ER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nalbuphine ER or any future product candidate that we may seek to develop or commercialize. Our competitors may succeed in developing, acquiring or licensing technologies and products that are more effective, have fewer or more tolerable side effects or are more convenient or less costly than nalbuphine ER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89"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If nalbuphine ER is approved for the treatment of pruritus associated with prurigo nodularis, we expect that it would compete with a number of therapeutics that are used off-label to treat prurigo nodularis, including anti-itch creams and emollients, oral or injectable antihistamines, gabapentin and Lyrica (pregabalin), which are prescription medicines approved for the treatment of seizures and neuropathic pain, naltrexone and UVB light therapy. We also expect that nalbuphine ER might compete with product candidates currently in clinical development in this indication, including serlopitant, an oral neurokinin-1 receptor antagonist being developed by Menlo Therapeutics that is in Phase 3 clinical trials;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or for any other serious neurologically mediated condition, could face competition from these product candidates. These product candidates include KORSUVA, a κ-opioid receptor agonist being developed by Cara Therapeutics that is in Phase 3 clinical trials for administration by injection for uremic pruritus and earlier-stage clinical trials for oral administration for pruritus in chronic kidney disease and pruritus associated with chronic liver disease, and tradipitant, an oral neurokinin-1 receptor antagonist being developed by Vanda Pharmaceuticals that is in Phase 3 clinical trials for chronic pruritus in patients with atopic dermatitis.</w:t>
      </w:r>
    </w:p>
    <w:p>
      <w:pPr>
        <w:spacing w:after="0" w:line="169"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If nalbuphine ER is approved for the treatment of pruritus associated with chronic liver disease, we expect that it would compete with a number of therapeutics that are used off-label to treat pruritus associated with chronic liver disease,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In addition, it is possible that therapies to reduce chronic liver disease, such as ursodeoxycholic acid, which is approved for the treatment of primary biliary cholangitis, could reduce the need for therapies to treat pruritus associated with chronic liver disease.</w:t>
      </w:r>
    </w:p>
    <w:p>
      <w:pPr>
        <w:spacing w:after="0" w:line="166"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If nalbuphine ER is approved for the treatment of chronic cough associated with idiopathic pulmonary fibrosis, or IPF, we expect that it would compete with product candidates currently in development for the treatment of chronic cough, such as RVT-1601, a formulation of cromolyn sodium being developed by Respivant Sciences, and expect that it might also compete with other product candidates currently in development for the treatment of chronic cough by companies including Merck, Shinogi, Bellus Therapeutics and Nerre Therapeutics. In addition, it is possible that product candidates currently in development for the treatment of IPF could, if approved, reduce the need for therapies to treat chronic cough associated with IPF.</w:t>
      </w:r>
    </w:p>
    <w:p>
      <w:pPr>
        <w:spacing w:after="0" w:line="15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If nalbuphine ER is approved for the treatment of levodopa-induced dyskinesia, or LID, in patients with Parkinson’s disease, we expect that it would compete with Gocovri, an extended release capsule formulation of amantadine marketed by Adamas Pharmaceuticals, and expect that it might also compete with other product candidates currently in development for the treatment of LID by companies including Lundbeck, Addex Therapeutics and IRLAB Therapeutics. In addition, it is possible that product candidates currently in development for the treatment of Parkinson’s disease by companies could, if approved, reduce the need for therapies to treat LID.</w:t>
      </w:r>
    </w:p>
    <w:p>
      <w:pPr>
        <w:spacing w:after="0" w:line="188"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140"/>
        <w:spacing w:after="0" w:line="264"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3"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79"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78"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right="20"/>
        <w:spacing w:after="0" w:line="302" w:lineRule="auto"/>
        <w:rPr>
          <w:sz w:val="20"/>
          <w:szCs w:val="20"/>
          <w:color w:val="auto"/>
        </w:rPr>
      </w:pPr>
      <w:r>
        <w:rPr>
          <w:rFonts w:ascii="Arial" w:cs="Arial" w:eastAsia="Arial" w:hAnsi="Arial"/>
          <w:sz w:val="16"/>
          <w:szCs w:val="16"/>
          <w:color w:val="auto"/>
        </w:rPr>
        <w:t>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2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nalbuphine ER or any future product candidate could be prevented or inhibited, which could harm our business, financial condition, results of operations and prospects.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nalbuphine ER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9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8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nalbuphine ER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8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nalbuphine ER for clinical trials, including a single supplier for the active ingredient, and expect to continue to rely on third parties for these services in connection with our future development and commercialization efforts for nalbuphine ER and any future product candidates.</w:t>
      </w:r>
    </w:p>
    <w:p>
      <w:pPr>
        <w:spacing w:after="0" w:line="7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7" w:lineRule="exact"/>
        <w:rPr>
          <w:sz w:val="20"/>
          <w:szCs w:val="20"/>
          <w:color w:val="auto"/>
        </w:rPr>
      </w:pPr>
    </w:p>
    <w:p>
      <w:pPr>
        <w:ind w:left="900" w:right="40" w:hanging="379"/>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nalbuphine ER or any future product candidates or otherwise fail to satisfactorily perform according to the terms of the agreements between us and them, or if unforeseen events in the manufacturing process arise;</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ind w:left="900" w:right="1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nalbuphine ER or any future product candidates of ours or commercialization of any resulting products, producing additional losses and depriving us of potential product revenue.</w:t>
      </w:r>
    </w:p>
    <w:p>
      <w:pPr>
        <w:spacing w:after="0" w:line="18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nalbuphine ER, which could adversely impact the timing of our current and planned clinical trials and potential regulatory approval and commercialization of nalbuphine ER.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6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If nalbuphine ER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nalbuphine ER. We expect that we would be similarly dependent on third-party manufacturers of nalbuphine ER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nalbuphine ER or any future product candidate and harm our business, financial condition and results of operations.</w:t>
      </w:r>
    </w:p>
    <w:p>
      <w:pPr>
        <w:spacing w:after="0" w:line="16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nalbuphine ER or any future product candidate may harm our future profit margins and our ability to commercialize any products that receive marketing approval on a timely and competitive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nalbuphine ER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7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If we enter into collaborations with third parties for the development or commercialization of nalbuphine ER or any future product candidate, our prospects with respect to those product candidates will depend in significant part on the success of those collaborations.</w:t>
      </w:r>
    </w:p>
    <w:p>
      <w:pPr>
        <w:spacing w:after="0" w:line="1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nalbuphine ER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100" w:hanging="379"/>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57" w:lineRule="exact"/>
        <w:rPr>
          <w:rFonts w:ascii="Arial" w:cs="Arial" w:eastAsia="Arial" w:hAnsi="Arial"/>
          <w:sz w:val="17"/>
          <w:szCs w:val="17"/>
          <w:color w:val="auto"/>
        </w:rPr>
      </w:pPr>
    </w:p>
    <w:p>
      <w:pPr>
        <w:ind w:left="900" w:right="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900" w:right="740" w:hanging="379"/>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3" w:name="page54"/>
    <w:bookmarkEnd w:id="53"/>
    <w:p>
      <w:pPr>
        <w:ind w:left="900" w:right="8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900" w:right="8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40" w:hanging="379"/>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360" w:hanging="379"/>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900" w:right="94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engage in misconduct or other improper activities, including non-compliance with regulatory standards and requirements;</w:t>
      </w:r>
    </w:p>
    <w:p>
      <w:pPr>
        <w:spacing w:after="0" w:line="128" w:lineRule="exact"/>
        <w:rPr>
          <w:rFonts w:ascii="Arial" w:cs="Arial" w:eastAsia="Arial" w:hAnsi="Arial"/>
          <w:sz w:val="17"/>
          <w:szCs w:val="17"/>
          <w:color w:val="auto"/>
        </w:rPr>
      </w:pPr>
    </w:p>
    <w:p>
      <w:pPr>
        <w:ind w:left="900" w:right="1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900" w:right="128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nalbuphine ER.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ind w:right="120" w:firstLine="518"/>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nalbuphine ER or any future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nalbuphine ER and any future product candidates.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nalbuphine ER. The patent application and approval process is expensive and time-consuming. We may not be able to file and prosecute all necessary or desirable patent applications at a reasonable cost, in a timely manner or at all.</w:t>
      </w:r>
    </w:p>
    <w:p>
      <w:pPr>
        <w:spacing w:after="0" w:line="1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8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54"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line="253" w:lineRule="auto"/>
        <w:rPr>
          <w:sz w:val="20"/>
          <w:szCs w:val="20"/>
          <w:color w:val="auto"/>
        </w:rPr>
      </w:pPr>
      <w:r>
        <w:rPr>
          <w:rFonts w:ascii="Arial" w:cs="Arial" w:eastAsia="Arial" w:hAnsi="Arial"/>
          <w:sz w:val="18"/>
          <w:szCs w:val="18"/>
          <w:color w:val="auto"/>
        </w:rPr>
        <w:t>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nalbuphine ER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9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97"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3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40"/>
        <w:spacing w:after="0" w:line="291" w:lineRule="auto"/>
        <w:rPr>
          <w:sz w:val="20"/>
          <w:szCs w:val="20"/>
          <w:color w:val="auto"/>
        </w:rPr>
      </w:pPr>
      <w:r>
        <w:rPr>
          <w:rFonts w:ascii="Arial" w:cs="Arial" w:eastAsia="Arial" w:hAnsi="Arial"/>
          <w:sz w:val="16"/>
          <w:szCs w:val="16"/>
          <w:color w:val="auto"/>
        </w:rPr>
        <w:t>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30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nalbuphine ER or any future product candidate.</w:t>
      </w:r>
    </w:p>
    <w:p>
      <w:pPr>
        <w:spacing w:after="0" w:line="1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nalbuphine ER or any future product candidate. If any third-party patents or patent applications are found to cover nalbuphine ER or any future product candidate or their methods of use, we may not be free to manufacture or market the product candidates as planned without obtaining a license, which may not be available on commercially reasonable terms, or at all.</w:t>
      </w:r>
    </w:p>
    <w:p>
      <w:pPr>
        <w:spacing w:after="0" w:line="19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nalbuphine ER or any future product candidates, including interference proceedings before the USPTO. There may be third-party patents or patent applications with claims to materials, formulations, methods of manufacture or methods for treatment related to nalbuphine ER or any future product candidate. Because patent applications can take many years to issue, there may be currently pending patent applications which may later result in issued patents that nalbuphine ER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nalbuphine ER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65"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380" w:firstLine="518"/>
        <w:spacing w:after="0" w:line="264"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0" w:firstLine="518"/>
        <w:spacing w:after="0" w:line="270"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nalbuphine ER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1"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nalbuphine ER or any future product candidate, our competitive position would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nalbuphine ER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nalbuphine ER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9"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We commenced our Phase 2b/3 PRISM trial of nalbuphine ER for the treatment of pruritus associated with prurigo nodularis and expect to conduct an additional Phase 3 clinical trial of nalbuphine ER for the treatment of pruritus associated with prurigo nodularis under the FDA’s Section 505(b)(2) regulatory pathway. The Drug Price Competition and Patent Term Restoration Act of 1984, or the Hatch-Waxman Act, added Section 505(b)(2) to the FDCA.</w:t>
      </w:r>
    </w:p>
    <w:p>
      <w:pPr>
        <w:ind w:right="20"/>
        <w:spacing w:after="0" w:line="290" w:lineRule="auto"/>
        <w:rPr>
          <w:sz w:val="20"/>
          <w:szCs w:val="20"/>
          <w:color w:val="auto"/>
        </w:rPr>
      </w:pPr>
      <w:r>
        <w:rPr>
          <w:rFonts w:ascii="Arial" w:cs="Arial" w:eastAsia="Arial" w:hAnsi="Arial"/>
          <w:sz w:val="16"/>
          <w:szCs w:val="16"/>
          <w:color w:val="auto"/>
        </w:rPr>
        <w:t>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nalbuphine ER for the treatment of pruritus associated with prurigo nodularis and any future product candidates by potentially decreasing the amount of preclinical and clinical data that we would need to generate in order to obtain FDA approval. However, while we believe that nalbuphine ER is a reformulation of an existing drug or biologic and, therefore, will not be treated as a new chemical entity, or NCE, the submission of an NDA under the Section 505(b)(2) or similar regulatory pathway does not preclude the FDA from determining that nalbuphine ER is an NCE and therefore not eligible for review under such regulatory pathway.</w:t>
      </w:r>
    </w:p>
    <w:p>
      <w:pPr>
        <w:spacing w:after="0" w:line="16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nalbuphine ER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7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nalbuphine ER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are not permitted to market nalbuphine ER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0" w:name="page61"/>
    <w:bookmarkEnd w:id="60"/>
    <w:p>
      <w:pPr>
        <w:ind w:right="80" w:firstLine="518"/>
        <w:spacing w:after="0" w:line="253" w:lineRule="auto"/>
        <w:rPr>
          <w:sz w:val="20"/>
          <w:szCs w:val="20"/>
          <w:color w:val="auto"/>
        </w:rPr>
      </w:pPr>
      <w:r>
        <w:rPr>
          <w:rFonts w:ascii="Arial" w:cs="Arial" w:eastAsia="Arial" w:hAnsi="Arial"/>
          <w:sz w:val="18"/>
          <w:szCs w:val="18"/>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nalbuphine ER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640" w:firstLine="518"/>
        <w:spacing w:after="0" w:line="308" w:lineRule="auto"/>
        <w:rPr>
          <w:sz w:val="20"/>
          <w:szCs w:val="20"/>
          <w:color w:val="auto"/>
        </w:rPr>
      </w:pPr>
      <w:r>
        <w:rPr>
          <w:rFonts w:ascii="Arial" w:cs="Arial" w:eastAsia="Arial" w:hAnsi="Arial"/>
          <w:sz w:val="17"/>
          <w:szCs w:val="17"/>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nalbuphine ER,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conducted, are conducting and intend in the future to conduct clinical trials for nalbuphine ER,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nalbuphine ER or the applicable future product candidate.</w:t>
      </w:r>
    </w:p>
    <w:p>
      <w:pPr>
        <w:spacing w:after="0" w:line="183"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1" w:name="page62"/>
    <w:bookmarkEnd w:id="61"/>
    <w:p>
      <w:pPr>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nalbuphine ER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nalbuphine ER or any future product candidate will be harmed and our business, financial condition, results of operations and prospects may be adversely affected.</w:t>
      </w:r>
    </w:p>
    <w:p>
      <w:pPr>
        <w:spacing w:after="0" w:line="188"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additional time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 Since a significant proportion of the regulatory framework in the United Kingdom is derived from European Union directives and regulations, Brexit could materially impact the regulatory regime with respect to the approval of nalbuphine ER or any future product candidate in the United Kingdom or the European Union. Any delay in obtaining, or an inability to obtain, any marketing approvals, as a result of Brexit or otherwise, would prevent us from commercializing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7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nalbuphine ER or any future product candidate.</w:t>
      </w:r>
    </w:p>
    <w:p>
      <w:pPr>
        <w:spacing w:after="0" w:line="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ind w:right="12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520" w:firstLine="518"/>
        <w:spacing w:after="0" w:line="312"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expect that any regulatory approval to market nalbuphine ER in the United States will be limited by indication. If we fail to comply or are found to be in violation of FDA and other regulations restricting the promotion of nalbuphine ER for unapproved uses, we could be subject to criminal penalties, substantial fines or other sanctions and damage awards.</w:t>
      </w:r>
    </w:p>
    <w:p>
      <w:pPr>
        <w:spacing w:after="0" w:line="73"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If our clinical trials are successful, we intend to seek approval to market nalbuphine ER for the treatment of pruritus associated with prurigo nodularis. If we obtain regulatory approval to market nalbuphine ER with an indication statement for the treatment of pruritus associated with prurigo nodularis, we will likely be prohibited from marketing nalbuphine ER using any promotional claims relating to treatment of pruritus generally. Marketing of nalbuphine ER may also be limited by regulatory authorities based on use as a monotherapy or adjuvant, concomitant medications, severity of pruritus and other factors.</w:t>
      </w:r>
    </w:p>
    <w:p>
      <w:pPr>
        <w:spacing w:after="0" w:line="15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nalbuphine ER to treat pruritic conditions other than pruritus associated with prurigo nodularis, nalbuphine ER cannot be promoted for uses other than uses approved in the labeling by the FDA, EMA or other applicable regulatory authorities. Physicians may nevertheless prescribe nalbuphine ER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nalbuphine ER for unapproved uses. We also cannot be sure that our employees will comply with company policies and applicable regulations regarding the promotion of products for unapproved uses.</w:t>
      </w:r>
    </w:p>
    <w:p>
      <w:pPr>
        <w:spacing w:after="0" w:line="179"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right="100" w:firstLine="518"/>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89"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4" w:name="page65"/>
    <w:bookmarkEnd w:id="64"/>
    <w:p>
      <w:pPr>
        <w:ind w:right="620"/>
        <w:spacing w:after="0" w:line="264"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nalbuphine ER or any future product candidate, impacting our ability to generate revenue.</w:t>
      </w:r>
    </w:p>
    <w:p>
      <w:pPr>
        <w:spacing w:after="0" w:line="7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54"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2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nalbuphine ER or any future product candidate and may affect the prices we may obtain.</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nalbuphine ER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nalbuphine ER or any future product candidate are the following:</w:t>
      </w:r>
    </w:p>
    <w:p>
      <w:pPr>
        <w:spacing w:after="0" w:line="73" w:lineRule="exact"/>
        <w:rPr>
          <w:sz w:val="20"/>
          <w:szCs w:val="20"/>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8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the December 2017 enactment of the Tax Cuts and Jobs Act of 2017, or the Tax Act,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Congress will likely consider other legislation to replace elements of the ACA during the next congressional session.</w:t>
      </w:r>
    </w:p>
    <w:p>
      <w:pPr>
        <w:spacing w:after="0" w:line="16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ACA. In January 2017, the President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current presidential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 Further, in July 2018 following a federal district court decision from New Mexico, the current presidential administration announced that it would be freezing payments to insurers under the ACA to cover sicker patients until it or Congress can address the appropriate methodology for calculating and making such payments. It remains to be seen how this action will affect the implementation of the ACA.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right="40" w:firstLine="518"/>
        <w:spacing w:after="0" w:line="272" w:lineRule="auto"/>
        <w:rPr>
          <w:sz w:val="20"/>
          <w:szCs w:val="20"/>
          <w:color w:val="auto"/>
        </w:rPr>
      </w:pPr>
      <w:r>
        <w:rPr>
          <w:rFonts w:ascii="Arial" w:cs="Arial" w:eastAsia="Arial" w:hAnsi="Arial"/>
          <w:sz w:val="17"/>
          <w:szCs w:val="17"/>
          <w:color w:val="auto"/>
        </w:rPr>
        <w:t>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78"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current presidential administration have each indicated that it will continue to seek new legislative and/or administrative measures to control drug costs.</w:t>
      </w:r>
    </w:p>
    <w:p>
      <w:pPr>
        <w:spacing w:after="0" w:line="179"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93" w:lineRule="exact"/>
        <w:rPr>
          <w:sz w:val="20"/>
          <w:szCs w:val="20"/>
          <w:color w:val="auto"/>
        </w:rPr>
      </w:pPr>
    </w:p>
    <w:p>
      <w:pPr>
        <w:jc w:val="both"/>
        <w:ind w:right="60" w:firstLine="518"/>
        <w:spacing w:after="0" w:line="276"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28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140" w:firstLine="518"/>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 civil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 xml:space="preserve">Transparency Requirements. </w:t>
      </w:r>
      <w:r>
        <w:rPr>
          <w:rFonts w:ascii="Arial" w:cs="Arial" w:eastAsia="Arial" w:hAnsi="Arial"/>
          <w:sz w:val="17"/>
          <w:szCs w:val="17"/>
          <w:color w:val="auto"/>
        </w:rPr>
        <w:t>The federal Physician Payments Sunshine Act requires certain manufacturers of drugs, devices, biologics and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for which payment is available under Medicare, Medicaid or the Children’s Health Insurance Program, with specific exceptions, to report annually to the Centers for Medicare &amp; Medicaid Services information related to payments or transfers of value made to physicians and teaching hospitals, as well as information regarding ownership and investment interests held by physicians and their immediate family members.</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160" w:firstLine="518"/>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27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8"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both"/>
        <w:ind w:right="10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nalbuphine ER or any future product candidate could be significantly delayed.</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w:t>
      </w:r>
    </w:p>
    <w:p>
      <w:pPr>
        <w:ind w:right="140"/>
        <w:spacing w:after="0" w:line="254" w:lineRule="auto"/>
        <w:rPr>
          <w:sz w:val="20"/>
          <w:szCs w:val="20"/>
          <w:color w:val="auto"/>
        </w:rPr>
      </w:pPr>
      <w:r>
        <w:rPr>
          <w:rFonts w:ascii="Arial" w:cs="Arial" w:eastAsia="Arial" w:hAnsi="Arial"/>
          <w:sz w:val="18"/>
          <w:szCs w:val="18"/>
          <w:color w:val="auto"/>
        </w:rPr>
        <w:t>Except as otherwise required by law, and 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9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right="240" w:firstLine="518"/>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nalbuphine ER or any future product candidate will be limited.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of June 30, 2019, we had 15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nalbuphine ER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8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3" w:lineRule="exact"/>
        <w:rPr>
          <w:sz w:val="20"/>
          <w:szCs w:val="20"/>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results of clinical trials of nalbuphine ER or any future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nalbuphine ER or any future product candidates or competitors’ products and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2" w:name="page73"/>
    <w:bookmarkEnd w:id="72"/>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significant portion of our outstanding shares of common stock are eligible to be sold in the public market in the near future, which could cause the trading price of our common stock to decline significantly.</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 As of August 12, 2019, we had 17,834,570 shares of common stock outstanding.</w:t>
      </w:r>
    </w:p>
    <w:p>
      <w:pPr>
        <w:spacing w:after="0" w:line="181"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Of these shares, 12,334,570 shares of common stock outstanding are currently restricted as a result of securities laws or lock-up agreements but will become eligible to be sold at various times after the expiration of the applicable lock-up period. For example, the expiration date for the lock-up agreements entered into between our officers, directors, employees and stockholders and the representatives of our initial public offering is November 3, 2019.</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Moreover, beginning 180 days after the effective date of the registration statement for our initial public offering, holders of an aggregate of 11,881,234 shares of our common stock, will have rights, subject to specified limitations and conditions, to require us to file registration statements covering their shares or to include their shares in registration statements that we may file for ourselves or other stockholders.</w:t>
      </w:r>
    </w:p>
    <w:p>
      <w:pPr>
        <w:spacing w:after="0" w:line="18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In May 2019, we registered all shares of common stock that we may issue under our equity compensation plans. These shares can be freely sold in the public market upon issuance and once vested, subject to volume limitations applicable to affiliates and the lock-up agreements entered into in connection with our initial public offering. If these additional shares are sold, or if it is perceived in the market that they will be sold, in the public market, the trading price of our common stock could decline.</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Ownership of our common stock is concentrated among our executive officers and directors and their affiliates who have significant influence over our business and may prevent new investors from influencing significant corporate decisions.</w:t>
      </w:r>
    </w:p>
    <w:p>
      <w:pPr>
        <w:spacing w:after="0" w:line="6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Our executive officers and directors and their affiliates, in the aggregate, beneficially own shares representing approximately 72.7% of our common stock as of August 12, 2019. As a result, our executive officers, directors and their affiliates acting together would be able to control all matters submitted to our stockholders for approval, as well as our management and affairs. This concentration of ownership control may:</w:t>
      </w:r>
    </w:p>
    <w:p>
      <w:pPr>
        <w:spacing w:after="0" w:line="57" w:lineRule="exact"/>
        <w:rPr>
          <w:sz w:val="20"/>
          <w:szCs w:val="20"/>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ind w:right="8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any future debt financing that we may obtain may also preclude us from declaring and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7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our management team have limited experience managing a public company.</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daily management of our business, which could materially adversely affect our business, financial condition and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As of December 31, 2018, we had federal and state net operating loss carryforwards of $82.9 million, and federal research and development tax credit carryforwards of $2.9 million, which if not utilized generally will begin to expire in 2031 and 2032, respectively. These net operating loss and tax credit carryforwards could expire unused and be unavailable to offset future income tax liabilities. Under the Tax Act, federal net operating losses generated after December 31, 2017 are not subject to expiration, but the deductibility of such federal net operating losses is limited to 80% of our taxable income in any future taxable year. In addition, due to our Series A convertible preferred stock financing in December 2013, we were subject to an “ownership change” under Section 382 of the Internal Revenue Code of 1986, as amended. As a result, our ability to use approximately $825,000 of our net operating loss carryforwards is limited. We may experience further ownership changes in the future as a result of subsequent shifts in our stock ownership, some of which may be outside of our control. If a further ownership change occurred, our ability to use our net operating loss carryforwards might be further limited.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ind w:left="900" w:hanging="37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900" w:right="520" w:hanging="379"/>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jc w:val="both"/>
        <w:ind w:left="900" w:right="60" w:hanging="379"/>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900" w:right="520" w:hanging="379"/>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0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of 1933. These choice of forum provisions could limit our stockholders’ ability to obtain a favorable judicial forum for disputes with us or our directors, officers or employees.</w:t>
      </w:r>
    </w:p>
    <w:p>
      <w:pPr>
        <w:spacing w:after="0" w:line="46"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8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Set forth below is information regarding equity securities sold or issued by us during the three months ended June 30, 2019 that were not registered under the Securities Act of 1933, as amended, or the Securities Act. Also included is the consideration, if any, received by us for such equity securities and information relating to the section of the Securities Act, or rule of the Securities and Exchange Commission, or the SEC, under which exemption from registration was claimed.</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May 9, 2019, concurrent with the closing of our initial public offering, we sold 1,500,000 shares of our common stock at the initial per share public offering price of $10.00 in a private placement to New Enterprise Associates 16, L.P., or NEA. The aggregate gross proceeds to us from our private placement were $15.0 million, before deducting placement agent fees of $1.1 million. The securities sold in the private placement were issued to NEA in reliance upon the exemption from the registration requirements of the Securities Act for transactions not involving any public offering, as set forth in Section 4(a)(2) under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IPO offering were $55.0 million.</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June 30, 2019, we had not used any of the net proceeds from the IPO.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80" w:type="dxa"/>
            <w:vAlign w:val="bottom"/>
            <w:gridSpan w:val="15"/>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8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jc w:val="right"/>
              <w:ind w:right="322"/>
              <w:spacing w:after="0" w:line="18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10380" w:type="dxa"/>
            <w:vAlign w:val="bottom"/>
            <w:tcBorders>
              <w:top w:val="single" w:sz="8" w:color="auto"/>
            </w:tcBorders>
            <w:gridSpan w:val="21"/>
          </w:tcPr>
          <w:p>
            <w:pPr>
              <w:spacing w:after="0" w:line="182"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Restated Certificate of Incorporation of Trevi Therapeutics, Inc.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Form 8-K (File No. 001-38886) filed with the SEC on May 9, 2019)</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360" w:type="dxa"/>
            <w:vAlign w:val="bottom"/>
            <w:tcBorders>
              <w:bottom w:val="single" w:sz="8" w:color="0000EE"/>
            </w:tcBorders>
            <w:gridSpan w:val="20"/>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Amended and Restated Bylaws of Trevi Therapeutics, Inc. (incorporated by reference to Exhibit 3.2 to the Registrant’s Current Report on Form</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8-K (File No. 001-38886) filed with the SEC on May 9, 2019)</w:t>
              </w:r>
            </w:hyperlink>
          </w:p>
        </w:tc>
        <w:tc>
          <w:tcPr>
            <w:tcW w:w="5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380" w:type="dxa"/>
            <w:vAlign w:val="bottom"/>
            <w:gridSpan w:val="21"/>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2019 Stock Incentive Plan (incorporated by reference to Exhibit 10.4 to the Registrant’s Registration Statement on Form S-1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230745) filed with the SEC on April 5, 2019)</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380" w:type="dxa"/>
            <w:vAlign w:val="bottom"/>
            <w:gridSpan w:val="21"/>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Form of Stock Option Agreement under the 2019 Stock Incentive Plan (incorporated by reference to Exhibit 10.5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Registration Statement on Form S-1 (File No. 333-230745) filed with the SEC on April 5, 2019)</w:t>
              </w:r>
            </w:hyperlink>
          </w:p>
        </w:tc>
        <w:tc>
          <w:tcPr>
            <w:tcW w:w="2560" w:type="dxa"/>
            <w:vAlign w:val="bottom"/>
            <w:tcBorders>
              <w:top w:val="single" w:sz="8" w:color="0000EE"/>
            </w:tcBorders>
            <w:gridSpan w:val="2"/>
          </w:tcPr>
          <w:p>
            <w:pPr>
              <w:spacing w:after="0"/>
              <w:rPr>
                <w:sz w:val="17"/>
                <w:szCs w:val="17"/>
                <w:color w:val="auto"/>
              </w:rPr>
            </w:pPr>
          </w:p>
        </w:tc>
        <w:tc>
          <w:tcPr>
            <w:tcW w:w="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01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2019 Employee Stock Purchase Plan (incorporated by reference to Exhibit 10.6 to the Registrant’s Registration Statement on Form S-1 (File</w:t>
              </w:r>
            </w:hyperlink>
          </w:p>
        </w:tc>
        <w:tc>
          <w:tcPr>
            <w:tcW w:w="2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No. 333-230745) filed with the SEC on April 5,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340" w:type="dxa"/>
            <w:vAlign w:val="bottom"/>
            <w:tcBorders>
              <w:bottom w:val="single" w:sz="8" w:color="0000EE"/>
            </w:tcBorders>
            <w:gridSpan w:val="19"/>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Non-Employee Director Compensation Policy (incorporated by reference to Exhibit 10.7 to the Registrant’s Registration Statement on Form S-</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1 (File No. 333-230745) filed with the SEC on April 5,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0380" w:type="dxa"/>
            <w:vAlign w:val="bottom"/>
            <w:gridSpan w:val="21"/>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Form of Indemnification Agreement between the Registrant and each of its directors and executive officers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Exhibit 10.12 to the Registrant’s Registration Statement on Form S-1 (File No. 333-230745) filed with the SEC on April 5, 2019)</w:t>
              </w:r>
            </w:hyperlink>
          </w:p>
        </w:tc>
        <w:tc>
          <w:tcPr>
            <w:tcW w:w="520" w:type="dxa"/>
            <w:vAlign w:val="bottom"/>
            <w:tcBorders>
              <w:top w:val="single" w:sz="8" w:color="0000EE"/>
            </w:tcBorders>
            <w:gridSpan w:val="2"/>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right"/>
              <w:ind w:right="322"/>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180" w:type="dxa"/>
            <w:vAlign w:val="bottom"/>
            <w:tcBorders>
              <w:bottom w:val="single" w:sz="8" w:color="0000EE"/>
            </w:tcBorders>
            <w:gridSpan w:val="15"/>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Share Purchase Agreement, dated as of May 6, 2019, by and between the Registrant and New Enterprise Associates 16, L.P. (incorporated by</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reference to Exhibit 10.17 to the Registrant’s Registration Statement on Form S-1 (File No. 333-230745) filed with the SEC on May 7, 2019)</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jc w:val="right"/>
              <w:ind w:right="24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380" w:type="dxa"/>
            <w:vAlign w:val="bottom"/>
            <w:gridSpan w:val="21"/>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Principal Executive Officer Pursuant to Rules 13a-14(a) or 15d-14(a) under the Securities Exchange Act of 1934, as Adopted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Pursuant to Section 302 of the Sarbanes-Oxley Act of 2002</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5860" w:type="dxa"/>
            <w:vAlign w:val="bottom"/>
            <w:gridSpan w:val="1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242"/>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101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Financial Officer Pursuant to Rules 13a-14(a) or 15d-14(a) under the Securities Exchange Act of 1934, as Adopted</w:t>
              </w:r>
            </w:hyperlink>
          </w:p>
        </w:tc>
        <w:tc>
          <w:tcPr>
            <w:tcW w:w="2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60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242"/>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380" w:type="dxa"/>
            <w:vAlign w:val="bottom"/>
            <w:gridSpan w:val="21"/>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76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jc w:val="right"/>
              <w:ind w:right="242"/>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3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left="5140"/>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220" w:val="left"/>
          <w:tab w:leader="none" w:pos="818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31045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Christopher Seiter</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3104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00"/>
          </w:cols>
          <w:pgMar w:left="240" w:top="337" w:right="85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7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40" w:firstLine="526"/>
        <w:spacing w:after="0" w:line="277" w:lineRule="auto"/>
        <w:tabs>
          <w:tab w:leader="none" w:pos="6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500" w:firstLine="499"/>
        <w:spacing w:after="0" w:line="342" w:lineRule="auto"/>
        <w:tabs>
          <w:tab w:leader="none" w:pos="12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1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4" w:right="239" w:bottom="1440" w:gutter="0" w:footer="0" w:header="0"/>
        </w:sectPr>
      </w:pPr>
    </w:p>
    <w:bookmarkStart w:id="80" w:name="page81"/>
    <w:bookmarkEnd w:id="8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700" w:hanging="17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40" w:firstLine="526"/>
        <w:spacing w:after="0" w:line="277" w:lineRule="auto"/>
        <w:tabs>
          <w:tab w:leader="none" w:pos="6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500" w:firstLine="499"/>
        <w:spacing w:after="0" w:line="342" w:lineRule="auto"/>
        <w:tabs>
          <w:tab w:leader="none" w:pos="12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1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6"/>
          <w:szCs w:val="16"/>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of Trevi Therapeutics, Inc. (the “Company”) for the period ended June 30, 2019,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47" w:lineRule="exact"/>
        <w:rPr>
          <w:sz w:val="20"/>
          <w:szCs w:val="20"/>
          <w:color w:val="auto"/>
        </w:rPr>
      </w:pPr>
    </w:p>
    <w:p>
      <w:pPr>
        <w:ind w:left="780" w:hanging="25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5580" w:val="left"/>
          <w:tab w:leader="none" w:pos="604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In connection with the Quarterly Report on Form 10-Q of Trevi Therapeutics, Inc. (the “Company”) for the period ended June 30, 2019,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47" w:lineRule="exact"/>
        <w:rPr>
          <w:sz w:val="20"/>
          <w:szCs w:val="20"/>
          <w:color w:val="auto"/>
        </w:rPr>
      </w:pPr>
    </w:p>
    <w:p>
      <w:pPr>
        <w:ind w:left="780" w:hanging="25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5580" w:val="left"/>
          <w:tab w:leader="none" w:pos="6040" w:val="left"/>
        </w:tabs>
        <w:rPr>
          <w:sz w:val="20"/>
          <w:szCs w:val="20"/>
          <w:color w:val="auto"/>
        </w:rPr>
      </w:pPr>
      <w:r>
        <w:rPr>
          <w:rFonts w:ascii="Arial" w:cs="Arial" w:eastAsia="Arial" w:hAnsi="Arial"/>
          <w:sz w:val="18"/>
          <w:szCs w:val="18"/>
          <w:color w:val="auto"/>
        </w:rPr>
        <w:t>Date: August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9"/>
    </w:lvl>
    <w:lvl w:ilvl="1">
      <w:lvlJc w:val="left"/>
      <w:lvlText w:val="•"/>
      <w:numFmt w:val="bullet"/>
      <w:start w:val="1"/>
    </w:lvl>
  </w:abstractNum>
  <w:abstractNum w:abstractNumId="14">
    <w:nsid w:val="4516DDE9"/>
    <w:multiLevelType w:val="hybridMultilevel"/>
    <w:lvl w:ilvl="0">
      <w:lvlJc w:val="left"/>
      <w:lvlText w:val="%1."/>
      <w:numFmt w:val="decimal"/>
      <w:start w:val="11"/>
    </w:lvl>
  </w:abstractNum>
  <w:abstractNum w:abstractNumId="15">
    <w:nsid w:val="3006C83E"/>
    <w:multiLevelType w:val="hybridMultilevel"/>
    <w:lvl w:ilvl="0">
      <w:lvlJc w:val="left"/>
      <w:lvlText w:val="%1."/>
      <w:numFmt w:val="decimal"/>
      <w:start w:val="12"/>
    </w:lvl>
  </w:abstractNum>
  <w:abstractNum w:abstractNumId="16">
    <w:nsid w:val="614FD4A1"/>
    <w:multiLevelType w:val="hybridMultilevel"/>
    <w:lvl w:ilvl="0">
      <w:lvlJc w:val="left"/>
      <w:lvlText w:val="%1."/>
      <w:numFmt w:val="decimal"/>
      <w:start w:val="13"/>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99" Type="http://schemas.openxmlformats.org/officeDocument/2006/relationships/hyperlink" Target="http://www.sec.gov/Archives/edgar/data/1563880/000119312519142949/d740290dex31.htm" TargetMode="External"/><Relationship Id="rId100" Type="http://schemas.openxmlformats.org/officeDocument/2006/relationships/hyperlink" Target="http://www.sec.gov/Archives/edgar/data/1563880/000119312519142949/d740290dex32.htm" TargetMode="External"/><Relationship Id="rId101" Type="http://schemas.openxmlformats.org/officeDocument/2006/relationships/hyperlink" Target="http://www.sec.gov/Archives/edgar/data/1563880/000119312519099340/d643194dex104.htm" TargetMode="External"/><Relationship Id="rId102" Type="http://schemas.openxmlformats.org/officeDocument/2006/relationships/hyperlink" Target="http://www.sec.gov/Archives/edgar/data/1563880/000119312519099340/d643194dex105.htm" TargetMode="External"/><Relationship Id="rId103" Type="http://schemas.openxmlformats.org/officeDocument/2006/relationships/hyperlink" Target="http://www.sec.gov/Archives/edgar/data/1563880/000119312519099340/d643194dex106.htm" TargetMode="External"/><Relationship Id="rId104" Type="http://schemas.openxmlformats.org/officeDocument/2006/relationships/hyperlink" Target="http://www.sec.gov/Archives/edgar/data/1563880/000119312519099340/d643194dex107.htm" TargetMode="External"/><Relationship Id="rId105" Type="http://schemas.openxmlformats.org/officeDocument/2006/relationships/hyperlink" Target="http://www.sec.gov/Archives/edgar/data/1563880/000119312519099340/d643194dex1012.htm" TargetMode="External"/><Relationship Id="rId106" Type="http://schemas.openxmlformats.org/officeDocument/2006/relationships/hyperlink" Target="http://www.sec.gov/Archives/edgar/data/1563880/000119312519138831/d643194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2019-12-28T07:06:27Z</dcterms:created>
  <dcterms:modified xsi:type="dcterms:W3CDTF">2019-12-28T07:06:27Z</dcterms:modified>
</cp:coreProperties>
</file>