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3, 2026</w:t>
      </w:r>
    </w:p>
    <w:p>
      <w:pPr>
        <w:spacing w:after="0" w:line="5"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Trevi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4" w:lineRule="exact"/>
        <w:rPr>
          <w:sz w:val="24"/>
          <w:szCs w:val="24"/>
          <w:color w:val="auto"/>
        </w:rPr>
      </w:pPr>
    </w:p>
    <w:tbl>
      <w:tblPr>
        <w:tblLayout w:type="fixed"/>
        <w:tblInd w:w="980" w:type="dxa"/>
        <w:tblCellMar>
          <w:top w:w="0" w:type="dxa"/>
          <w:left w:w="0" w:type="dxa"/>
          <w:bottom w:w="0" w:type="dxa"/>
          <w:right w:w="0" w:type="dxa"/>
        </w:tblCellMar>
      </w:tblPr>
      <w:tr>
        <w:trPr>
          <w:trHeight w:val="214"/>
        </w:trPr>
        <w:tc>
          <w:tcPr>
            <w:tcW w:w="336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001-38886</w:t>
            </w:r>
          </w:p>
        </w:tc>
        <w:tc>
          <w:tcPr>
            <w:tcW w:w="2360" w:type="dxa"/>
            <w:vAlign w:val="bottom"/>
          </w:tcPr>
          <w:p>
            <w:pPr>
              <w:jc w:val="center"/>
              <w:ind w:left="1141"/>
              <w:spacing w:after="0"/>
              <w:rPr>
                <w:sz w:val="20"/>
                <w:szCs w:val="20"/>
                <w:color w:val="auto"/>
              </w:rPr>
            </w:pPr>
            <w:r>
              <w:rPr>
                <w:rFonts w:ascii="Times New Roman" w:cs="Times New Roman" w:eastAsia="Times New Roman" w:hAnsi="Times New Roman"/>
                <w:sz w:val="18"/>
                <w:szCs w:val="18"/>
                <w:b w:val="1"/>
                <w:bCs w:val="1"/>
                <w:color w:val="auto"/>
                <w:w w:val="98"/>
              </w:rPr>
              <w:t>45-0834299</w:t>
            </w:r>
          </w:p>
        </w:tc>
      </w:tr>
      <w:tr>
        <w:trPr>
          <w:trHeight w:val="148"/>
        </w:trPr>
        <w:tc>
          <w:tcPr>
            <w:tcW w:w="3360" w:type="dxa"/>
            <w:vAlign w:val="bottom"/>
          </w:tcPr>
          <w:p>
            <w:pPr>
              <w:jc w:val="center"/>
              <w:ind w:right="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60" w:type="dxa"/>
            <w:vAlign w:val="bottom"/>
          </w:tcPr>
          <w:p>
            <w:pPr>
              <w:ind w:left="9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60" w:type="dxa"/>
            <w:vAlign w:val="bottom"/>
          </w:tcPr>
          <w:p>
            <w:pPr>
              <w:jc w:val="center"/>
              <w:ind w:left="11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360" w:type="dxa"/>
            <w:vAlign w:val="bottom"/>
          </w:tcPr>
          <w:p>
            <w:pPr>
              <w:jc w:val="center"/>
              <w:ind w:right="8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9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60" w:type="dxa"/>
            <w:vAlign w:val="bottom"/>
          </w:tcPr>
          <w:p>
            <w:pPr>
              <w:jc w:val="center"/>
              <w:ind w:left="11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336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195 Church Street, 16</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w:t>
            </w:r>
          </w:p>
        </w:tc>
        <w:tc>
          <w:tcPr>
            <w:tcW w:w="296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7"/>
        </w:trPr>
        <w:tc>
          <w:tcPr>
            <w:tcW w:w="3360" w:type="dxa"/>
            <w:vAlign w:val="bottom"/>
          </w:tcPr>
          <w:p>
            <w:pPr>
              <w:jc w:val="center"/>
              <w:ind w:right="839"/>
              <w:spacing w:after="0"/>
              <w:rPr>
                <w:sz w:val="20"/>
                <w:szCs w:val="20"/>
                <w:color w:val="auto"/>
              </w:rPr>
            </w:pPr>
            <w:r>
              <w:rPr>
                <w:rFonts w:ascii="Times New Roman" w:cs="Times New Roman" w:eastAsia="Times New Roman" w:hAnsi="Times New Roman"/>
                <w:sz w:val="18"/>
                <w:szCs w:val="18"/>
                <w:b w:val="1"/>
                <w:bCs w:val="1"/>
                <w:color w:val="auto"/>
              </w:rPr>
              <w:t>New Haven, Connecticut</w:t>
            </w:r>
          </w:p>
        </w:tc>
        <w:tc>
          <w:tcPr>
            <w:tcW w:w="2960" w:type="dxa"/>
            <w:vAlign w:val="bottom"/>
          </w:tcPr>
          <w:p>
            <w:pPr>
              <w:spacing w:after="0"/>
              <w:rPr>
                <w:sz w:val="19"/>
                <w:szCs w:val="19"/>
                <w:color w:val="auto"/>
              </w:rPr>
            </w:pPr>
          </w:p>
        </w:tc>
        <w:tc>
          <w:tcPr>
            <w:tcW w:w="2360" w:type="dxa"/>
            <w:vAlign w:val="bottom"/>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06510</w:t>
            </w:r>
          </w:p>
        </w:tc>
      </w:tr>
      <w:tr>
        <w:trPr>
          <w:trHeight w:val="190"/>
        </w:trPr>
        <w:tc>
          <w:tcPr>
            <w:tcW w:w="3360" w:type="dxa"/>
            <w:vAlign w:val="bottom"/>
          </w:tcPr>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spacing w:after="0"/>
              <w:rPr>
                <w:sz w:val="16"/>
                <w:szCs w:val="16"/>
                <w:color w:val="auto"/>
              </w:rPr>
            </w:pPr>
          </w:p>
        </w:tc>
        <w:tc>
          <w:tcPr>
            <w:tcW w:w="2360" w:type="dxa"/>
            <w:vAlign w:val="bottom"/>
          </w:tcPr>
          <w:p>
            <w:pPr>
              <w:jc w:val="center"/>
              <w:ind w:left="10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304-2499</w:t>
      </w:r>
    </w:p>
    <w:p>
      <w:pPr>
        <w:spacing w:after="0" w:line="11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740" w:firstLine="8"/>
        <w:spacing w:after="0" w:line="379"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TRVI</w:t>
            </w:r>
          </w:p>
        </w:tc>
        <w:tc>
          <w:tcPr>
            <w:tcW w:w="100" w:type="dxa"/>
            <w:vAlign w:val="bottom"/>
          </w:tcPr>
          <w:p>
            <w:pPr>
              <w:spacing w:after="0"/>
              <w:rPr>
                <w:sz w:val="20"/>
                <w:szCs w:val="20"/>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9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June 3, 2026, Trevi Therapeutics, Inc., a Delaware corporation (the “Company”), held its 2026 Annual Meeting of Stockholders (the “Annual Meeting”). At the Annual Meeting, the Company’s stockholders, upon the recommendation of the Board of Directors of the Company (the “Board”), approved the Company's Amended and Restated 2019 Stock Incentive Plan (the “A&amp;R 2019 Plan”), which amendment and restatement had previously been approved by the Board subject to stockholder approval, to (i) increase the number of shares available for issuance under the plan by 8,000,000 shares of common stock, (ii) limit non-employee director compensation, (iii) prohibit liberal share recycling by providing that shares delivered to the Company in satisfaction of an exercise price or tax withholding do not become available under the A&amp;R 2019 Plan for future grants and (iv) clarify that any dividends or dividend equivalents paid with respect to awards under the A&amp;R 2019 Plan are subject to the same vesting and forfeiture provisions as the award with respect to which the dividend or dividend equivalent is paid.</w:t>
      </w:r>
    </w:p>
    <w:p>
      <w:pPr>
        <w:spacing w:after="0" w:line="192" w:lineRule="exact"/>
        <w:rPr>
          <w:sz w:val="20"/>
          <w:szCs w:val="20"/>
          <w:color w:val="auto"/>
        </w:rPr>
      </w:pPr>
    </w:p>
    <w:p>
      <w:pPr>
        <w:ind w:right="160"/>
        <w:spacing w:after="0" w:line="261" w:lineRule="auto"/>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auto"/>
          </w:rPr>
          <w:t xml:space="preserve">The description of the A&amp;R 2019 Plan contained in the Company’s </w:t>
        </w:r>
        <w:r>
          <w:rPr>
            <w:rFonts w:ascii="Times New Roman" w:cs="Times New Roman" w:eastAsia="Times New Roman" w:hAnsi="Times New Roman"/>
            <w:sz w:val="18"/>
            <w:szCs w:val="18"/>
            <w:u w:val="single" w:color="auto"/>
            <w:color w:val="0000FF"/>
          </w:rPr>
          <w:t>definitive proxy statement for the Annual Meeting, filed with the Securities and</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Exchange Commission (the “SEC”) on April 21, 2026</w:t>
        </w:r>
        <w:r>
          <w:rPr>
            <w:rFonts w:ascii="Times New Roman" w:cs="Times New Roman" w:eastAsia="Times New Roman" w:hAnsi="Times New Roman"/>
            <w:sz w:val="18"/>
            <w:szCs w:val="18"/>
            <w:color w:val="000000"/>
          </w:rPr>
          <w:t>, under the heading “Proposal No. 4—Approval of the Trevi Therapeutics, Inc. Amended and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Restated 2019 Stock Incentive Plan” is incorporated herein by reference. A complete copy of the A&amp;R 2019 Plan is attached as Exhibit 99.1 hereto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3117850</wp:posOffset>
            </wp:positionH>
            <wp:positionV relativeFrom="paragraph">
              <wp:posOffset>-448310</wp:posOffset>
            </wp:positionV>
            <wp:extent cx="3670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6709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2481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481580" cy="889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At the Annual Meeting, the Company’s stockholders approved an amendment (the “Amendment”) to the Company’s restated certificate of incorporation (“Certificate of Incorporation”) to increase the number of authorized shares of the Company’s common stock from 200,000,0000 shares to 400,000,000 shares.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Amendment became effective upon the Company’s filing of a Certificate of Amendment to the Restated Certificate of Incorporation with the Secretary of State of the State of Delaware on June 3, 2026 (the “Certificate of Amendment”).</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terms of the Amendment does not purport to be complete and is qualified in its entirety by reference to the full text of the Certificate of Amendment, a copy of which is attached as Exhibit 3.1 hereto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3, 2026, the Company held the Annual Meeting. At the Annual Meeting, the Company’s stockholders voted on the following proposals: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1. Michael Heffernan was elected to the Board as a Class I director for a term expiring at the 2029 annual meeting of stockholders.</w:t>
            </w:r>
          </w:p>
        </w:tc>
        <w:tc>
          <w:tcPr>
            <w:tcW w:w="1380" w:type="dxa"/>
            <w:vAlign w:val="bottom"/>
          </w:tcPr>
          <w:p>
            <w:pPr>
              <w:spacing w:after="0"/>
              <w:rPr>
                <w:sz w:val="20"/>
                <w:szCs w:val="20"/>
                <w:color w:val="auto"/>
              </w:rPr>
            </w:pPr>
          </w:p>
        </w:tc>
      </w:tr>
      <w:tr>
        <w:trPr>
          <w:trHeight w:val="216"/>
        </w:trPr>
        <w:tc>
          <w:tcPr>
            <w:tcW w:w="98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9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81,567,765</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Withheld:</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18,635,726</w:t>
            </w:r>
          </w:p>
        </w:tc>
      </w:tr>
      <w:tr>
        <w:trPr>
          <w:trHeight w:val="216"/>
        </w:trPr>
        <w:tc>
          <w:tcPr>
            <w:tcW w:w="9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14,140,404</w:t>
            </w:r>
          </w:p>
        </w:tc>
      </w:tr>
    </w:tbl>
    <w:p>
      <w:pPr>
        <w:spacing w:after="0" w:line="198" w:lineRule="exact"/>
        <w:rPr>
          <w:sz w:val="20"/>
          <w:szCs w:val="20"/>
          <w:color w:val="auto"/>
        </w:rPr>
      </w:pPr>
    </w:p>
    <w:p>
      <w:pPr>
        <w:ind w:right="140" w:firstLine="8"/>
        <w:spacing w:after="0" w:line="282" w:lineRule="auto"/>
        <w:tabs>
          <w:tab w:leader="none" w:pos="1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Ernst &amp; Young LLP as the independent registered public accounting firm for the Company for the fiscal year ending December 31, 2026 was ratified.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5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114,001,970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5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223,323</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5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118,602</w:t>
            </w:r>
          </w:p>
        </w:tc>
      </w:tr>
      <w:tr>
        <w:trPr>
          <w:trHeight w:val="1222"/>
        </w:trPr>
        <w:tc>
          <w:tcPr>
            <w:tcW w:w="54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3. The compensation of the Company's named executive officers was approved, on an advisory basis.</w:t>
            </w:r>
          </w:p>
        </w:tc>
        <w:tc>
          <w:tcPr>
            <w:tcW w:w="242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98,119,461</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1,982,126</w:t>
            </w:r>
          </w:p>
        </w:tc>
      </w:tr>
      <w:tr>
        <w:trPr>
          <w:trHeight w:val="216"/>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2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101,904</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14,140,404</w:t>
            </w:r>
          </w:p>
        </w:tc>
      </w:tr>
      <w:tr>
        <w:trPr>
          <w:trHeight w:val="41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4. The A&amp;R 2019 Plan was approved.</w:t>
            </w:r>
          </w:p>
        </w:tc>
        <w:tc>
          <w:tcPr>
            <w:tcW w:w="2420" w:type="dxa"/>
            <w:vAlign w:val="bottom"/>
          </w:tcPr>
          <w:p>
            <w:pPr>
              <w:spacing w:after="0"/>
              <w:rPr>
                <w:sz w:val="24"/>
                <w:szCs w:val="24"/>
                <w:color w:val="auto"/>
              </w:rPr>
            </w:pPr>
          </w:p>
        </w:tc>
      </w:tr>
      <w:tr>
        <w:trPr>
          <w:trHeight w:val="216"/>
        </w:trPr>
        <w:tc>
          <w:tcPr>
            <w:tcW w:w="8820" w:type="dxa"/>
            <w:vAlign w:val="bottom"/>
          </w:tcPr>
          <w:p>
            <w:pPr>
              <w:spacing w:after="0"/>
              <w:rPr>
                <w:sz w:val="18"/>
                <w:szCs w:val="18"/>
                <w:color w:val="auto"/>
              </w:rPr>
            </w:pPr>
          </w:p>
        </w:tc>
        <w:tc>
          <w:tcPr>
            <w:tcW w:w="2420" w:type="dxa"/>
            <w:vAlign w:val="bottom"/>
          </w:tcPr>
          <w:p>
            <w:pPr>
              <w:spacing w:after="0"/>
              <w:rPr>
                <w:sz w:val="18"/>
                <w:szCs w:val="18"/>
                <w:color w:val="auto"/>
              </w:rPr>
            </w:pPr>
          </w:p>
        </w:tc>
      </w:tr>
      <w:tr>
        <w:trPr>
          <w:trHeight w:val="216"/>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2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98,140,470</w:t>
            </w:r>
          </w:p>
        </w:tc>
      </w:tr>
      <w:tr>
        <w:trPr>
          <w:trHeight w:val="216"/>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1,961,030</w:t>
            </w:r>
          </w:p>
        </w:tc>
      </w:tr>
      <w:tr>
        <w:trPr>
          <w:trHeight w:val="216"/>
        </w:trPr>
        <w:tc>
          <w:tcPr>
            <w:tcW w:w="8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2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101,991</w:t>
            </w:r>
          </w:p>
        </w:tc>
      </w:t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14,140,404</w:t>
            </w:r>
          </w:p>
        </w:tc>
      </w:tr>
    </w:tbl>
    <w:p>
      <w:pPr>
        <w:spacing w:after="0" w:line="2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 The Amendment to increase the number of authorized shares of common stock from 200,000,000 shares to 400,000,000 shares was approved.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w:t>
            </w:r>
          </w:p>
        </w:tc>
        <w:tc>
          <w:tcPr>
            <w:tcW w:w="5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110,453,620</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Against:</w:t>
            </w:r>
          </w:p>
        </w:tc>
        <w:tc>
          <w:tcPr>
            <w:tcW w:w="5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3,872,599</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Abstain:</w:t>
            </w:r>
          </w:p>
        </w:tc>
        <w:tc>
          <w:tcPr>
            <w:tcW w:w="5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17,676</w:t>
            </w:r>
          </w:p>
        </w:tc>
      </w:tr>
      <w:tr>
        <w:trPr>
          <w:trHeight w:val="1438"/>
        </w:trPr>
        <w:tc>
          <w:tcPr>
            <w:tcW w:w="5420" w:type="dxa"/>
            <w:vAlign w:val="bottom"/>
            <w:tcBorders>
              <w:bottom w:val="single" w:sz="8" w:color="9A9A9A"/>
            </w:tcBorders>
          </w:tcPr>
          <w:p>
            <w:pPr>
              <w:spacing w:after="0"/>
              <w:rPr>
                <w:sz w:val="24"/>
                <w:szCs w:val="24"/>
                <w:color w:val="auto"/>
              </w:rPr>
            </w:pPr>
          </w:p>
        </w:tc>
        <w:tc>
          <w:tcPr>
            <w:tcW w:w="5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 Exhibits</w:t>
            </w:r>
          </w:p>
        </w:tc>
        <w:tc>
          <w:tcPr>
            <w:tcW w:w="48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32"/>
        </w:trPr>
        <w:tc>
          <w:tcPr>
            <w:tcW w:w="1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Certificate of Amendment to the Restated Certificate of Incorporation, as amended, of Trevi Therapeutics, Inc.</w:t>
            </w:r>
          </w:p>
        </w:tc>
      </w:tr>
      <w:tr>
        <w:trPr>
          <w:trHeight w:val="20"/>
        </w:trPr>
        <w:tc>
          <w:tcPr>
            <w:tcW w:w="1500" w:type="dxa"/>
            <w:vAlign w:val="bottom"/>
          </w:tcPr>
          <w:p>
            <w:pPr>
              <w:spacing w:after="0" w:line="20" w:lineRule="exact"/>
              <w:rPr>
                <w:sz w:val="1"/>
                <w:szCs w:val="1"/>
                <w:color w:val="auto"/>
              </w:rPr>
            </w:pPr>
          </w:p>
        </w:tc>
        <w:tc>
          <w:tcPr>
            <w:tcW w:w="4820" w:type="dxa"/>
            <w:vAlign w:val="bottom"/>
            <w:tcBorders>
              <w:right w:val="single" w:sz="8" w:color="0000FF"/>
            </w:tcBorders>
            <w:shd w:val="clear" w:color="auto" w:fill="0000FF"/>
          </w:tcPr>
          <w:p>
            <w:pPr>
              <w:spacing w:after="0" w:line="20" w:lineRule="exact"/>
              <w:rPr>
                <w:sz w:val="1"/>
                <w:szCs w:val="1"/>
                <w:color w:val="auto"/>
              </w:rPr>
            </w:pPr>
          </w:p>
        </w:tc>
        <w:tc>
          <w:tcPr>
            <w:tcW w:w="3160" w:type="dxa"/>
            <w:vAlign w:val="bottom"/>
            <w:tcBorders>
              <w:right w:val="single" w:sz="8" w:color="0000EE"/>
            </w:tcBorders>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80" w:type="dxa"/>
            <w:vAlign w:val="bottom"/>
            <w:tcBorders>
              <w:bottom w:val="single" w:sz="8" w:color="0000FF"/>
            </w:tcBorders>
            <w:gridSpan w:val="3"/>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Amended and Restated 2019 Stock Incentive Plan (incorporated by reference to Appendix A to the Company’s Definitive Proxy</w:t>
              </w:r>
            </w:hyperlink>
          </w:p>
        </w:tc>
        <w:tc>
          <w:tcPr>
            <w:tcW w:w="460" w:type="dxa"/>
            <w:vAlign w:val="bottom"/>
          </w:tcPr>
          <w:p>
            <w:pPr>
              <w:spacing w:after="0"/>
              <w:rPr>
                <w:sz w:val="24"/>
                <w:szCs w:val="24"/>
                <w:color w:val="auto"/>
              </w:rPr>
            </w:pPr>
          </w:p>
        </w:tc>
      </w:tr>
      <w:tr>
        <w:trPr>
          <w:trHeight w:val="196"/>
        </w:trPr>
        <w:tc>
          <w:tcPr>
            <w:tcW w:w="1500" w:type="dxa"/>
            <w:vAlign w:val="bottom"/>
          </w:tcPr>
          <w:p>
            <w:pPr>
              <w:spacing w:after="0"/>
              <w:rPr>
                <w:sz w:val="17"/>
                <w:szCs w:val="17"/>
                <w:color w:val="auto"/>
              </w:rPr>
            </w:pPr>
          </w:p>
        </w:tc>
        <w:tc>
          <w:tcPr>
            <w:tcW w:w="9740" w:type="dxa"/>
            <w:vAlign w:val="bottom"/>
            <w:gridSpan w:val="4"/>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Statement on Schedule 14A filed with the SEC on April 21, 2026).</w:t>
              </w:r>
            </w:hyperlink>
          </w:p>
        </w:tc>
      </w:tr>
      <w:tr>
        <w:trPr>
          <w:trHeight w:val="20"/>
        </w:trPr>
        <w:tc>
          <w:tcPr>
            <w:tcW w:w="1500" w:type="dxa"/>
            <w:vAlign w:val="bottom"/>
          </w:tcPr>
          <w:p>
            <w:pPr>
              <w:spacing w:after="0" w:line="20" w:lineRule="exact"/>
              <w:rPr>
                <w:sz w:val="1"/>
                <w:szCs w:val="1"/>
                <w:color w:val="auto"/>
              </w:rPr>
            </w:pPr>
          </w:p>
        </w:tc>
        <w:tc>
          <w:tcPr>
            <w:tcW w:w="4820" w:type="dxa"/>
            <w:vAlign w:val="bottom"/>
            <w:tcBorders>
              <w:right w:val="single" w:sz="8" w:color="0000EE"/>
            </w:tcBorders>
            <w:shd w:val="clear" w:color="auto" w:fill="0000FF"/>
          </w:tcPr>
          <w:p>
            <w:pPr>
              <w:spacing w:after="0" w:line="20" w:lineRule="exact"/>
              <w:rPr>
                <w:sz w:val="1"/>
                <w:szCs w:val="1"/>
                <w:color w:val="auto"/>
              </w:rPr>
            </w:pPr>
          </w:p>
        </w:tc>
        <w:tc>
          <w:tcPr>
            <w:tcW w:w="4920" w:type="dxa"/>
            <w:vAlign w:val="bottom"/>
            <w:gridSpan w:val="3"/>
          </w:tcPr>
          <w:p>
            <w:pPr>
              <w:spacing w:after="0" w:line="20" w:lineRule="exact"/>
              <w:rPr>
                <w:sz w:val="1"/>
                <w:szCs w:val="1"/>
                <w:color w:val="auto"/>
              </w:rPr>
            </w:pPr>
          </w:p>
        </w:tc>
      </w:tr>
      <w:tr>
        <w:trPr>
          <w:trHeight w:val="45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438"/>
        </w:trPr>
        <w:tc>
          <w:tcPr>
            <w:tcW w:w="150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TREVI THERAPEUTICS, INC.</w:t>
      </w:r>
    </w:p>
    <w:p>
      <w:pPr>
        <w:spacing w:after="0" w:line="279" w:lineRule="exact"/>
        <w:rPr>
          <w:sz w:val="20"/>
          <w:szCs w:val="20"/>
          <w:color w:val="auto"/>
        </w:rPr>
      </w:pPr>
    </w:p>
    <w:p>
      <w:pPr>
        <w:spacing w:after="0"/>
        <w:tabs>
          <w:tab w:leader="none" w:pos="6180" w:val="left"/>
          <w:tab w:leader="none" w:pos="66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C.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26035</wp:posOffset>
            </wp:positionV>
            <wp:extent cx="2922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43"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Name: David C. Hastings</w:t>
      </w:r>
    </w:p>
    <w:p>
      <w:pPr>
        <w:spacing w:after="0" w:line="36"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 w:name="page6"/>
    <w:bookmarkEnd w:id="5"/>
    <w:p>
      <w:pPr>
        <w:ind w:left="3940"/>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16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RESTATED CERTIFICATE OF INCORPORATION</w:t>
      </w:r>
    </w:p>
    <w:p>
      <w:pPr>
        <w:spacing w:after="0" w:line="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9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TREVI THERAPEUTICS, INC.</w:t>
      </w:r>
    </w:p>
    <w:p>
      <w:pPr>
        <w:spacing w:after="0" w:line="21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(Pursuant to Section 242 of the</w:t>
      </w:r>
    </w:p>
    <w:p>
      <w:pPr>
        <w:spacing w:after="0" w:line="1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182" w:lineRule="exact"/>
        <w:rPr>
          <w:sz w:val="20"/>
          <w:szCs w:val="20"/>
          <w:color w:val="auto"/>
        </w:rPr>
      </w:pPr>
    </w:p>
    <w:p>
      <w:pPr>
        <w:jc w:val="both"/>
        <w:ind w:right="80" w:firstLine="849"/>
        <w:spacing w:after="0" w:line="258" w:lineRule="auto"/>
        <w:rPr>
          <w:sz w:val="20"/>
          <w:szCs w:val="20"/>
          <w:color w:val="auto"/>
        </w:rPr>
      </w:pPr>
      <w:r>
        <w:rPr>
          <w:rFonts w:ascii="Times New Roman" w:cs="Times New Roman" w:eastAsia="Times New Roman" w:hAnsi="Times New Roman"/>
          <w:sz w:val="22"/>
          <w:szCs w:val="22"/>
          <w:color w:val="auto"/>
        </w:rPr>
        <w:t>Trevi Therapeutics, Inc. (the “Corporation”), a corporation organized and existing under and by virtue of the General Corporation Law of the State of Delaware (the “General Corporation Law”), does hereby certify as follows:</w:t>
      </w:r>
    </w:p>
    <w:p>
      <w:pPr>
        <w:spacing w:after="0" w:line="158" w:lineRule="exact"/>
        <w:rPr>
          <w:sz w:val="20"/>
          <w:szCs w:val="20"/>
          <w:color w:val="auto"/>
        </w:rPr>
      </w:pPr>
    </w:p>
    <w:p>
      <w:pPr>
        <w:jc w:val="both"/>
        <w:ind w:right="80" w:firstLine="849"/>
        <w:spacing w:after="0" w:line="238" w:lineRule="auto"/>
        <w:rPr>
          <w:sz w:val="20"/>
          <w:szCs w:val="20"/>
          <w:color w:val="auto"/>
        </w:rPr>
      </w:pPr>
      <w:r>
        <w:rPr>
          <w:rFonts w:ascii="Times New Roman" w:cs="Times New Roman" w:eastAsia="Times New Roman" w:hAnsi="Times New Roman"/>
          <w:sz w:val="22"/>
          <w:szCs w:val="22"/>
          <w:color w:val="auto"/>
        </w:rPr>
        <w:t>A resolution was duly adopted by the Board of Directors of the Corporation pursuant to Section 242 of the General Corporation Law setting forth a proposed amendment to the Corporation’s Restated Certificate of Incorporation, as amended (the “Certificate of Incorporation”), and declaring said amendment to be advisable. The stockholders of the Corporation duly approved said proposed amendment in accordance with Section 242 of the General Corporation Law. Accordingly, to effect such proposed amendment, it 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RESOLVED:</w:t>
            </w:r>
          </w:p>
        </w:tc>
        <w:tc>
          <w:tcPr>
            <w:tcW w:w="9960" w:type="dxa"/>
            <w:vAlign w:val="bottom"/>
            <w:gridSpan w:val="2"/>
          </w:tcPr>
          <w:p>
            <w:pPr>
              <w:ind w:left="380"/>
              <w:spacing w:after="0"/>
              <w:rPr>
                <w:sz w:val="20"/>
                <w:szCs w:val="20"/>
                <w:color w:val="auto"/>
              </w:rPr>
            </w:pPr>
            <w:r>
              <w:rPr>
                <w:rFonts w:ascii="Times New Roman" w:cs="Times New Roman" w:eastAsia="Times New Roman" w:hAnsi="Times New Roman"/>
                <w:sz w:val="22"/>
                <w:szCs w:val="22"/>
                <w:color w:val="auto"/>
              </w:rPr>
              <w:t>That the first sentence of Article FOURTH of the Certificate of Incorporation be and hereby is deleted in</w:t>
            </w:r>
          </w:p>
        </w:tc>
      </w:tr>
      <w:tr>
        <w:trPr>
          <w:trHeight w:val="282"/>
        </w:trPr>
        <w:tc>
          <w:tcPr>
            <w:tcW w:w="1360" w:type="dxa"/>
            <w:vAlign w:val="bottom"/>
          </w:tcPr>
          <w:p>
            <w:pPr>
              <w:spacing w:after="0"/>
              <w:rPr>
                <w:sz w:val="24"/>
                <w:szCs w:val="24"/>
                <w:color w:val="auto"/>
              </w:rPr>
            </w:pPr>
          </w:p>
        </w:tc>
        <w:tc>
          <w:tcPr>
            <w:tcW w:w="99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entirety and the following is inserted in lieu thereof:</w:t>
            </w:r>
          </w:p>
        </w:tc>
      </w:tr>
      <w:tr>
        <w:trPr>
          <w:trHeight w:val="420"/>
        </w:trPr>
        <w:tc>
          <w:tcPr>
            <w:tcW w:w="1360" w:type="dxa"/>
            <w:vAlign w:val="bottom"/>
          </w:tcPr>
          <w:p>
            <w:pPr>
              <w:spacing w:after="0"/>
              <w:rPr>
                <w:sz w:val="24"/>
                <w:szCs w:val="24"/>
                <w:color w:val="auto"/>
              </w:rPr>
            </w:pPr>
          </w:p>
        </w:tc>
        <w:tc>
          <w:tcPr>
            <w:tcW w:w="99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“FOURTH: The total number of shares of all classes of stock that the Corporation shall have authority to issue</w:t>
            </w:r>
          </w:p>
        </w:tc>
      </w:tr>
      <w:tr>
        <w:trPr>
          <w:trHeight w:val="243"/>
        </w:trPr>
        <w:tc>
          <w:tcPr>
            <w:tcW w:w="1360" w:type="dxa"/>
            <w:vAlign w:val="bottom"/>
          </w:tcPr>
          <w:p>
            <w:pPr>
              <w:spacing w:after="0"/>
              <w:rPr>
                <w:sz w:val="21"/>
                <w:szCs w:val="21"/>
                <w:color w:val="auto"/>
              </w:rPr>
            </w:pPr>
          </w:p>
        </w:tc>
        <w:tc>
          <w:tcPr>
            <w:tcW w:w="99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is 405,000,000 shares, consisting of (i) 400,000,000 shares of Common Stock, $0.001 par value per share</w:t>
            </w:r>
          </w:p>
        </w:tc>
      </w:tr>
      <w:tr>
        <w:trPr>
          <w:trHeight w:val="243"/>
        </w:trPr>
        <w:tc>
          <w:tcPr>
            <w:tcW w:w="1360" w:type="dxa"/>
            <w:vAlign w:val="bottom"/>
          </w:tcPr>
          <w:p>
            <w:pPr>
              <w:spacing w:after="0"/>
              <w:rPr>
                <w:sz w:val="21"/>
                <w:szCs w:val="21"/>
                <w:color w:val="auto"/>
              </w:rPr>
            </w:pPr>
          </w:p>
        </w:tc>
        <w:tc>
          <w:tcPr>
            <w:tcW w:w="9960" w:type="dxa"/>
            <w:vAlign w:val="bottom"/>
            <w:gridSpan w:val="2"/>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 and (ii) 5,000,000 shares of Preferred Stock, $0.001 par value per share (“Preferred</w:t>
            </w:r>
          </w:p>
        </w:tc>
      </w:tr>
      <w:tr>
        <w:trPr>
          <w:trHeight w:val="282"/>
        </w:trPr>
        <w:tc>
          <w:tcPr>
            <w:tcW w:w="1360" w:type="dxa"/>
            <w:vAlign w:val="bottom"/>
          </w:tcPr>
          <w:p>
            <w:pPr>
              <w:spacing w:after="0"/>
              <w:rPr>
                <w:sz w:val="24"/>
                <w:szCs w:val="24"/>
                <w:color w:val="auto"/>
              </w:rPr>
            </w:pPr>
          </w:p>
        </w:tc>
        <w:tc>
          <w:tcPr>
            <w:tcW w:w="996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Stock”).”</w:t>
            </w:r>
          </w:p>
        </w:tc>
      </w:tr>
      <w:tr>
        <w:trPr>
          <w:trHeight w:val="459"/>
        </w:trPr>
        <w:tc>
          <w:tcPr>
            <w:tcW w:w="1360" w:type="dxa"/>
            <w:vAlign w:val="bottom"/>
          </w:tcPr>
          <w:p>
            <w:pPr>
              <w:spacing w:after="0"/>
              <w:rPr>
                <w:sz w:val="24"/>
                <w:szCs w:val="24"/>
                <w:color w:val="auto"/>
              </w:rPr>
            </w:pPr>
          </w:p>
        </w:tc>
        <w:tc>
          <w:tcPr>
            <w:tcW w:w="9960" w:type="dxa"/>
            <w:vAlign w:val="bottom"/>
            <w:gridSpan w:val="2"/>
          </w:tcPr>
          <w:p>
            <w:pPr>
              <w:ind w:left="2300"/>
              <w:spacing w:after="0"/>
              <w:rPr>
                <w:sz w:val="20"/>
                <w:szCs w:val="20"/>
                <w:color w:val="auto"/>
              </w:rPr>
            </w:pPr>
            <w:r>
              <w:rPr>
                <w:rFonts w:ascii="Times New Roman" w:cs="Times New Roman" w:eastAsia="Times New Roman" w:hAnsi="Times New Roman"/>
                <w:sz w:val="22"/>
                <w:szCs w:val="22"/>
                <w:color w:val="auto"/>
              </w:rPr>
              <w:t>[Remainder of Page Intentionally Left Blank]</w:t>
            </w:r>
          </w:p>
        </w:tc>
      </w:tr>
      <w:tr>
        <w:trPr>
          <w:trHeight w:val="1615"/>
        </w:trPr>
        <w:tc>
          <w:tcPr>
            <w:tcW w:w="1360" w:type="dxa"/>
            <w:vAlign w:val="bottom"/>
            <w:tcBorders>
              <w:bottom w:val="single" w:sz="8" w:color="9A9A9A"/>
            </w:tcBorders>
          </w:tcPr>
          <w:p>
            <w:pPr>
              <w:spacing w:after="0"/>
              <w:rPr>
                <w:sz w:val="24"/>
                <w:szCs w:val="24"/>
                <w:color w:val="auto"/>
              </w:rPr>
            </w:pPr>
          </w:p>
        </w:tc>
        <w:tc>
          <w:tcPr>
            <w:tcW w:w="988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20"/>
          </w:cols>
          <w:pgMar w:left="320" w:top="1404" w:right="259" w:bottom="1440" w:gutter="0" w:footer="0" w:header="0"/>
        </w:sectPr>
      </w:pPr>
    </w:p>
    <w:bookmarkStart w:id="6" w:name="page7"/>
    <w:bookmarkEnd w:id="6"/>
    <w:p>
      <w:pPr>
        <w:ind w:firstLine="849"/>
        <w:spacing w:after="0" w:line="258" w:lineRule="auto"/>
        <w:rPr>
          <w:sz w:val="20"/>
          <w:szCs w:val="20"/>
          <w:color w:val="auto"/>
        </w:rPr>
      </w:pPr>
      <w:r>
        <w:rPr>
          <w:rFonts w:ascii="Times New Roman" w:cs="Times New Roman" w:eastAsia="Times New Roman" w:hAnsi="Times New Roman"/>
          <w:sz w:val="22"/>
          <w:szCs w:val="22"/>
          <w:color w:val="auto"/>
        </w:rPr>
        <w:t>IN WITNESS WHEREOF, this Certificate of Amendment has been executed by a duly authorized officer of the Corporation on this 3rd day of June, 2026.</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TREVI THERAPEUTICS, INC.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/s/ Jennifer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14135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4135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Name: Jennifer Good</w:t>
      </w:r>
    </w:p>
    <w:p>
      <w:pPr>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1303020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1408" w:right="10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15" Type="http://schemas.openxmlformats.org/officeDocument/2006/relationships/hyperlink" Target="https://www.sec.gov/ix?doc=/Archives/edgar/data/0001563880/000119312526166695/trvi-20260421.htm#proposal_4" TargetMode="External"/><Relationship Id="rId22" Type="http://schemas.openxmlformats.org/officeDocument/2006/relationships/hyperlink" Target="https://www.sec.gov/ix?doc=/Archives/edgar/data/0001563880/000119312526166695/trvi-20260421.htm#appendix_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2026-06-04T15:09:36Z</dcterms:created>
  <dcterms:modified xsi:type="dcterms:W3CDTF">2026-06-04T15:09:36Z</dcterms:modified>
</cp:coreProperties>
</file>