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231140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6"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00" w:right="1460" w:hanging="3696"/>
        <w:spacing w:after="0" w:line="392" w:lineRule="auto"/>
        <w:tabs>
          <w:tab w:leader="none" w:pos="63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296"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3862070</wp:posOffset>
            </wp:positionH>
            <wp:positionV relativeFrom="paragraph">
              <wp:posOffset>-7620</wp:posOffset>
            </wp:positionV>
            <wp:extent cx="1009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9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163195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0"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TREVI THERAPEUTICS, INC.</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159385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gridSpan w:val="3"/>
          </w:tcPr>
          <w:p>
            <w:pPr>
              <w:jc w:val="center"/>
              <w:ind w:left="1102"/>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Pr>
          <w:p>
            <w:pPr>
              <w:jc w:val="right"/>
              <w:ind w:right="2185"/>
              <w:spacing w:after="0"/>
              <w:rPr>
                <w:sz w:val="20"/>
                <w:szCs w:val="20"/>
                <w:color w:val="auto"/>
              </w:rPr>
            </w:pPr>
            <w:r>
              <w:rPr>
                <w:rFonts w:ascii="Arial" w:cs="Arial" w:eastAsia="Arial" w:hAnsi="Arial"/>
                <w:sz w:val="18"/>
                <w:szCs w:val="18"/>
                <w:b w:val="1"/>
                <w:bCs w:val="1"/>
                <w:color w:val="auto"/>
              </w:rPr>
              <w:t>45-0834299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340" w:type="dxa"/>
            <w:vAlign w:val="bottom"/>
            <w:gridSpan w:val="3"/>
          </w:tcPr>
          <w:p>
            <w:pPr>
              <w:jc w:val="center"/>
              <w:ind w:left="1102"/>
              <w:spacing w:after="0" w:line="140" w:lineRule="exact"/>
              <w:rPr>
                <w:sz w:val="20"/>
                <w:szCs w:val="20"/>
                <w:color w:val="auto"/>
              </w:rPr>
            </w:pPr>
            <w:r>
              <w:rPr>
                <w:rFonts w:ascii="Arial" w:cs="Arial" w:eastAsia="Arial" w:hAnsi="Arial"/>
                <w:sz w:val="13"/>
                <w:szCs w:val="13"/>
                <w:b w:val="1"/>
                <w:bCs w:val="1"/>
                <w:color w:val="auto"/>
                <w:w w:val="87"/>
              </w:rPr>
              <w:t>( State or other jurisdiction of</w:t>
            </w:r>
          </w:p>
        </w:tc>
        <w:tc>
          <w:tcPr>
            <w:tcW w:w="2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40" w:type="dxa"/>
            <w:vAlign w:val="bottom"/>
          </w:tcPr>
          <w:p>
            <w:pPr>
              <w:jc w:val="center"/>
              <w:ind w:right="1965"/>
              <w:spacing w:after="0" w:line="140"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3"/>
          </w:tcPr>
          <w:p>
            <w:pPr>
              <w:jc w:val="center"/>
              <w:ind w:left="1102"/>
              <w:spacing w:after="0"/>
              <w:rPr>
                <w:sz w:val="20"/>
                <w:szCs w:val="20"/>
                <w:color w:val="auto"/>
              </w:rPr>
            </w:pPr>
            <w:r>
              <w:rPr>
                <w:rFonts w:ascii="Arial" w:cs="Arial" w:eastAsia="Arial" w:hAnsi="Arial"/>
                <w:sz w:val="13"/>
                <w:szCs w:val="13"/>
                <w:b w:val="1"/>
                <w:bCs w:val="1"/>
                <w:color w:val="auto"/>
                <w:w w:val="88"/>
              </w:rPr>
              <w:t>incorporation or organization)</w:t>
            </w:r>
          </w:p>
        </w:tc>
        <w:tc>
          <w:tcPr>
            <w:tcW w:w="2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tcPr>
          <w:p>
            <w:pPr>
              <w:jc w:val="center"/>
              <w:ind w:right="1965"/>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4340" w:type="dxa"/>
            <w:vAlign w:val="bottom"/>
            <w:gridSpan w:val="3"/>
          </w:tcPr>
          <w:p>
            <w:pPr>
              <w:jc w:val="center"/>
              <w:ind w:left="1102"/>
              <w:spacing w:after="0"/>
              <w:rPr>
                <w:sz w:val="20"/>
                <w:szCs w:val="20"/>
                <w:color w:val="auto"/>
              </w:rPr>
            </w:pPr>
            <w:r>
              <w:rPr>
                <w:rFonts w:ascii="Arial" w:cs="Arial" w:eastAsia="Arial" w:hAnsi="Arial"/>
                <w:sz w:val="18"/>
                <w:szCs w:val="18"/>
                <w:b w:val="1"/>
                <w:bCs w:val="1"/>
                <w:color w:val="auto"/>
                <w:w w:val="91"/>
              </w:rPr>
              <w:t>195 Church Street, 14</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jc w:val="center"/>
              <w:ind w:left="1122"/>
              <w:spacing w:after="0"/>
              <w:rPr>
                <w:sz w:val="20"/>
                <w:szCs w:val="20"/>
                <w:color w:val="auto"/>
              </w:rPr>
            </w:pPr>
            <w:r>
              <w:rPr>
                <w:rFonts w:ascii="Arial" w:cs="Arial" w:eastAsia="Arial" w:hAnsi="Arial"/>
                <w:sz w:val="18"/>
                <w:szCs w:val="18"/>
                <w:b w:val="1"/>
                <w:bCs w:val="1"/>
                <w:color w:val="auto"/>
                <w:w w:val="90"/>
              </w:rPr>
              <w:t>New Haven, Connecticut</w:t>
            </w:r>
          </w:p>
        </w:tc>
        <w:tc>
          <w:tcPr>
            <w:tcW w:w="2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40" w:type="dxa"/>
            <w:vAlign w:val="bottom"/>
          </w:tcPr>
          <w:p>
            <w:pPr>
              <w:jc w:val="right"/>
              <w:ind w:right="2385"/>
              <w:spacing w:after="0"/>
              <w:rPr>
                <w:sz w:val="20"/>
                <w:szCs w:val="20"/>
                <w:color w:val="auto"/>
              </w:rPr>
            </w:pPr>
            <w:r>
              <w:rPr>
                <w:rFonts w:ascii="Arial" w:cs="Arial" w:eastAsia="Arial" w:hAnsi="Arial"/>
                <w:sz w:val="18"/>
                <w:szCs w:val="18"/>
                <w:b w:val="1"/>
                <w:bCs w:val="1"/>
                <w:color w:val="auto"/>
              </w:rPr>
              <w:t>06510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40" w:type="dxa"/>
            <w:vAlign w:val="bottom"/>
            <w:gridSpan w:val="3"/>
          </w:tcPr>
          <w:p>
            <w:pPr>
              <w:jc w:val="center"/>
              <w:ind w:left="1102"/>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tcPr>
          <w:p>
            <w:pPr>
              <w:jc w:val="center"/>
              <w:ind w:right="1965"/>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00" w:type="dxa"/>
            <w:vAlign w:val="bottom"/>
          </w:tcPr>
          <w:p>
            <w:pPr>
              <w:jc w:val="right"/>
              <w:ind w:right="501"/>
              <w:spacing w:after="0"/>
              <w:rPr>
                <w:sz w:val="20"/>
                <w:szCs w:val="20"/>
                <w:color w:val="auto"/>
              </w:rPr>
            </w:pPr>
            <w:r>
              <w:rPr>
                <w:rFonts w:ascii="Arial" w:cs="Arial" w:eastAsia="Arial" w:hAnsi="Arial"/>
                <w:sz w:val="18"/>
                <w:szCs w:val="18"/>
                <w:b w:val="1"/>
                <w:bCs w:val="1"/>
                <w:color w:val="auto"/>
              </w:rPr>
              <w:t>(203) 304-2499</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gridSpan w:val="7"/>
          </w:tcPr>
          <w:p>
            <w:pPr>
              <w:jc w:val="center"/>
              <w:ind w:left="3222"/>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gridSpan w:val="4"/>
            <w:vMerge w:val="restart"/>
          </w:tcPr>
          <w:p>
            <w:pPr>
              <w:spacing w:after="0"/>
              <w:rPr>
                <w:sz w:val="20"/>
                <w:szCs w:val="20"/>
                <w:color w:val="auto"/>
              </w:rPr>
            </w:pPr>
            <w:r>
              <w:rPr>
                <w:rFonts w:ascii="Arial" w:cs="Arial" w:eastAsia="Arial" w:hAnsi="Arial"/>
                <w:sz w:val="16"/>
                <w:szCs w:val="16"/>
                <w:b w:val="1"/>
                <w:bCs w:val="1"/>
                <w:color w:val="auto"/>
                <w:w w:val="98"/>
              </w:rPr>
              <w:t>Securities registered pursuant to Section 12(b) of the Act:</w:t>
            </w:r>
          </w:p>
        </w:tc>
        <w:tc>
          <w:tcPr>
            <w:tcW w:w="2300" w:type="dxa"/>
            <w:vAlign w:val="bottom"/>
            <w:tcBorders>
              <w:bottom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4360" w:type="dxa"/>
            <w:vAlign w:val="bottom"/>
            <w:gridSpan w:val="4"/>
            <w:vMerge w:val="continue"/>
          </w:tcPr>
          <w:p>
            <w:pPr>
              <w:spacing w:after="0"/>
              <w:rPr>
                <w:sz w:val="24"/>
                <w:szCs w:val="24"/>
                <w:color w:val="auto"/>
              </w:rPr>
            </w:pPr>
          </w:p>
        </w:tc>
        <w:tc>
          <w:tcPr>
            <w:tcW w:w="2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34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89"/>
              </w:rPr>
              <w:t>Title of each class</w:t>
            </w:r>
          </w:p>
        </w:tc>
        <w:tc>
          <w:tcPr>
            <w:tcW w:w="334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7"/>
              </w:rPr>
              <w:t>Trading</w:t>
            </w:r>
          </w:p>
        </w:tc>
        <w:tc>
          <w:tcPr>
            <w:tcW w:w="3340" w:type="dxa"/>
            <w:vAlign w:val="bottom"/>
            <w:vMerge w:val="restart"/>
          </w:tcPr>
          <w:p>
            <w:pPr>
              <w:jc w:val="center"/>
              <w:ind w:right="145"/>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40" w:type="dxa"/>
            <w:vAlign w:val="bottom"/>
            <w:gridSpan w:val="3"/>
            <w:vMerge w:val="continue"/>
          </w:tcPr>
          <w:p>
            <w:pPr>
              <w:spacing w:after="0"/>
              <w:rPr>
                <w:sz w:val="16"/>
                <w:szCs w:val="16"/>
                <w:color w:val="auto"/>
              </w:rPr>
            </w:pPr>
          </w:p>
        </w:tc>
        <w:tc>
          <w:tcPr>
            <w:tcW w:w="334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1"/>
              </w:rPr>
              <w:t>Symbol(s)</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$0.001 par value per share</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6"/>
                <w:szCs w:val="16"/>
                <w:b w:val="1"/>
                <w:bCs w:val="1"/>
                <w:color w:val="auto"/>
              </w:rPr>
              <w:t>TRVI</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tcPr>
          <w:p>
            <w:pPr>
              <w:jc w:val="center"/>
              <w:ind w:right="145"/>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bl>
    <w:p>
      <w:pPr>
        <w:spacing w:after="0" w:line="90" w:lineRule="exact"/>
        <w:rPr>
          <w:sz w:val="24"/>
          <w:szCs w:val="24"/>
          <w:color w:val="auto"/>
        </w:rPr>
      </w:pPr>
    </w:p>
    <w:p>
      <w:pPr>
        <w:jc w:val="both"/>
        <w:ind w:left="200" w:right="140" w:firstLine="551"/>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left="200" w:right="700" w:firstLine="551"/>
        <w:spacing w:after="0" w:line="28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ind w:left="200"/>
        <w:spacing w:after="0" w:line="184" w:lineRule="exact"/>
        <w:tabs>
          <w:tab w:leader="none" w:pos="720" w:val="left"/>
          <w:tab w:leader="none" w:pos="13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left="200" w:right="280" w:firstLine="551"/>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00" w:type="dxa"/>
        <w:tblCellMar>
          <w:top w:w="0" w:type="dxa"/>
          <w:left w:w="0" w:type="dxa"/>
          <w:bottom w:w="0" w:type="dxa"/>
          <w:right w:w="0" w:type="dxa"/>
        </w:tblCellMar>
      </w:tblPr>
      <w:tr>
        <w:trPr>
          <w:trHeight w:val="254"/>
        </w:trPr>
        <w:tc>
          <w:tcPr>
            <w:tcW w:w="1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4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38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80" w:type="dxa"/>
            <w:vAlign w:val="bottom"/>
          </w:tcPr>
          <w:p>
            <w:pPr>
              <w:spacing w:after="0"/>
              <w:rPr>
                <w:sz w:val="20"/>
                <w:szCs w:val="20"/>
                <w:color w:val="auto"/>
              </w:rPr>
            </w:pPr>
            <w:r>
              <w:rPr>
                <w:rFonts w:ascii="Arial" w:cs="Arial" w:eastAsia="Arial" w:hAnsi="Arial"/>
                <w:sz w:val="16"/>
                <w:szCs w:val="16"/>
                <w:color w:val="auto"/>
              </w:rPr>
              <w:t>Non-accelerated filer</w:t>
            </w:r>
          </w:p>
        </w:tc>
        <w:tc>
          <w:tcPr>
            <w:tcW w:w="374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380"/>
              <w:spacing w:after="0"/>
              <w:rPr>
                <w:sz w:val="20"/>
                <w:szCs w:val="20"/>
                <w:color w:val="auto"/>
              </w:rPr>
            </w:pPr>
            <w:r>
              <w:rPr>
                <w:rFonts w:ascii="Arial" w:cs="Arial" w:eastAsia="Arial" w:hAnsi="Arial"/>
                <w:sz w:val="16"/>
                <w:szCs w:val="16"/>
                <w:color w:val="auto"/>
                <w:w w:val="99"/>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8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5300" w:type="dxa"/>
            <w:vAlign w:val="bottom"/>
          </w:tcPr>
          <w:p>
            <w:pPr>
              <w:ind w:left="3380"/>
              <w:spacing w:after="0"/>
              <w:rPr>
                <w:sz w:val="20"/>
                <w:szCs w:val="20"/>
                <w:color w:val="auto"/>
              </w:rPr>
            </w:pPr>
            <w:r>
              <w:rPr>
                <w:rFonts w:ascii="Arial" w:cs="Arial" w:eastAsia="Arial" w:hAnsi="Arial"/>
                <w:sz w:val="16"/>
                <w:szCs w:val="16"/>
                <w:color w:val="auto"/>
                <w:w w:val="99"/>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left="200" w:right="340" w:firstLine="551"/>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760" w:right="19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June 13, 2019, the registrant had 17,834,570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90170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107315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0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“could,” “continue” and similar expressions are intended to identify forward-looking statements, although not all forward-looking statements contain these identifying words.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225" w:lineRule="exact"/>
        <w:rPr>
          <w:sz w:val="20"/>
          <w:szCs w:val="20"/>
          <w:color w:val="auto"/>
        </w:rPr>
      </w:pPr>
    </w:p>
    <w:p>
      <w:pPr>
        <w:ind w:left="1060" w:right="400" w:hanging="424"/>
        <w:spacing w:after="0" w:line="232" w:lineRule="auto"/>
        <w:tabs>
          <w:tab w:leader="none" w:pos="10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ongoing clinical trials, including our Phase 2b/3 PRISM trial of nalbuphine ER for the treatment of pruritus associated with prurigo nodularis;</w:t>
      </w:r>
    </w:p>
    <w:p>
      <w:pPr>
        <w:spacing w:after="0" w:line="203" w:lineRule="exact"/>
        <w:rPr>
          <w:rFonts w:ascii="Arial" w:cs="Arial" w:eastAsia="Arial" w:hAnsi="Arial"/>
          <w:sz w:val="22"/>
          <w:szCs w:val="22"/>
          <w:color w:val="auto"/>
        </w:rPr>
      </w:pPr>
    </w:p>
    <w:p>
      <w:pPr>
        <w:ind w:left="1060" w:right="440" w:hanging="424"/>
        <w:spacing w:after="0" w:line="232" w:lineRule="auto"/>
        <w:tabs>
          <w:tab w:leader="none" w:pos="10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plans to develop and, if approved, subsequently commercialize nalbuphine ER for the treatment of pruritus associated with prurigo nodularis or for other serious neurologically mediated conditions;</w:t>
      </w:r>
    </w:p>
    <w:p>
      <w:pPr>
        <w:spacing w:after="0" w:line="181" w:lineRule="exact"/>
        <w:rPr>
          <w:rFonts w:ascii="Arial" w:cs="Arial" w:eastAsia="Arial" w:hAnsi="Arial"/>
          <w:sz w:val="22"/>
          <w:szCs w:val="22"/>
          <w:color w:val="auto"/>
        </w:rPr>
      </w:pPr>
    </w:p>
    <w:p>
      <w:pPr>
        <w:ind w:left="1060" w:hanging="424"/>
        <w:spacing w:after="0"/>
        <w:tabs>
          <w:tab w:leader="none" w:pos="10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expectations regarding the timing for the initiation of clinical trials and the reporting of data from such trials;</w:t>
      </w:r>
    </w:p>
    <w:p>
      <w:pPr>
        <w:spacing w:after="0" w:line="206" w:lineRule="exact"/>
        <w:rPr>
          <w:rFonts w:ascii="Arial" w:cs="Arial" w:eastAsia="Arial" w:hAnsi="Arial"/>
          <w:sz w:val="22"/>
          <w:szCs w:val="22"/>
          <w:color w:val="auto"/>
        </w:rPr>
      </w:pPr>
    </w:p>
    <w:p>
      <w:pPr>
        <w:ind w:left="1060" w:hanging="424"/>
        <w:spacing w:after="0"/>
        <w:tabs>
          <w:tab w:leader="none" w:pos="10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timing of and our ability to submit applications for, and to obtain and maintain regulatory approvals for nalbuphine ER;</w:t>
      </w:r>
    </w:p>
    <w:p>
      <w:pPr>
        <w:spacing w:after="0" w:line="228" w:lineRule="exact"/>
        <w:rPr>
          <w:rFonts w:ascii="Arial" w:cs="Arial" w:eastAsia="Arial" w:hAnsi="Arial"/>
          <w:sz w:val="22"/>
          <w:szCs w:val="22"/>
          <w:color w:val="auto"/>
        </w:rPr>
      </w:pPr>
    </w:p>
    <w:p>
      <w:pPr>
        <w:ind w:left="1060" w:right="780" w:hanging="424"/>
        <w:spacing w:after="0" w:line="232" w:lineRule="auto"/>
        <w:tabs>
          <w:tab w:leader="none" w:pos="10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expectations regarding our ability to fund our operating expenses and capital expenditure requirements with our cash and cash equivalents;</w:t>
      </w:r>
    </w:p>
    <w:p>
      <w:pPr>
        <w:spacing w:after="0" w:line="203" w:lineRule="exact"/>
        <w:rPr>
          <w:rFonts w:ascii="Arial" w:cs="Arial" w:eastAsia="Arial" w:hAnsi="Arial"/>
          <w:sz w:val="22"/>
          <w:szCs w:val="22"/>
          <w:color w:val="auto"/>
        </w:rPr>
      </w:pPr>
    </w:p>
    <w:p>
      <w:pPr>
        <w:ind w:left="1060" w:hanging="424"/>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6"/>
          <w:szCs w:val="16"/>
          <w:color w:val="auto"/>
        </w:rPr>
        <w:t>our estimates regarding expenses, future revenue, timing of any future revenue, capital requirements and needs for additional financing;</w:t>
      </w:r>
    </w:p>
    <w:p>
      <w:pPr>
        <w:spacing w:after="0" w:line="218" w:lineRule="exact"/>
        <w:rPr>
          <w:rFonts w:ascii="Arial" w:cs="Arial" w:eastAsia="Arial" w:hAnsi="Arial"/>
          <w:sz w:val="19"/>
          <w:szCs w:val="19"/>
          <w:color w:val="auto"/>
        </w:rPr>
      </w:pPr>
    </w:p>
    <w:p>
      <w:pPr>
        <w:ind w:left="1060" w:hanging="424"/>
        <w:spacing w:after="0"/>
        <w:tabs>
          <w:tab w:leader="none" w:pos="10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impact of government laws and regulations;</w:t>
      </w:r>
    </w:p>
    <w:p>
      <w:pPr>
        <w:spacing w:after="0" w:line="206" w:lineRule="exact"/>
        <w:rPr>
          <w:rFonts w:ascii="Arial" w:cs="Arial" w:eastAsia="Arial" w:hAnsi="Arial"/>
          <w:sz w:val="22"/>
          <w:szCs w:val="22"/>
          <w:color w:val="auto"/>
        </w:rPr>
      </w:pPr>
    </w:p>
    <w:p>
      <w:pPr>
        <w:ind w:left="1060" w:hanging="424"/>
        <w:spacing w:after="0"/>
        <w:tabs>
          <w:tab w:leader="none" w:pos="10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competitive position; and</w:t>
      </w:r>
    </w:p>
    <w:p>
      <w:pPr>
        <w:spacing w:after="0" w:line="206" w:lineRule="exact"/>
        <w:rPr>
          <w:rFonts w:ascii="Arial" w:cs="Arial" w:eastAsia="Arial" w:hAnsi="Arial"/>
          <w:sz w:val="22"/>
          <w:szCs w:val="22"/>
          <w:color w:val="auto"/>
        </w:rPr>
      </w:pPr>
    </w:p>
    <w:p>
      <w:pPr>
        <w:ind w:left="1060" w:hanging="424"/>
        <w:spacing w:after="0"/>
        <w:tabs>
          <w:tab w:leader="none" w:pos="10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establish and maintain collaborations or obtain additional funding.</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382"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60" w:type="dxa"/>
            <w:vAlign w:val="bottom"/>
            <w:gridSpan w:val="6"/>
          </w:tcPr>
          <w:p>
            <w:pPr>
              <w:ind w:left="32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6"/>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7320" w:type="dxa"/>
            <w:vAlign w:val="bottom"/>
            <w:gridSpan w:val="10"/>
            <w:vMerge w:val="restart"/>
          </w:tcPr>
          <w:p>
            <w:pPr>
              <w:spacing w:after="0"/>
              <w:rPr>
                <w:sz w:val="24"/>
                <w:szCs w:val="24"/>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800" w:type="dxa"/>
            <w:vAlign w:val="bottom"/>
            <w:gridSpan w:val="2"/>
            <w:vMerge w:val="continue"/>
          </w:tcPr>
          <w:p>
            <w:pPr>
              <w:spacing w:after="0"/>
              <w:rPr>
                <w:sz w:val="13"/>
                <w:szCs w:val="13"/>
                <w:color w:val="auto"/>
              </w:rPr>
            </w:pPr>
          </w:p>
        </w:tc>
        <w:tc>
          <w:tcPr>
            <w:tcW w:w="2260" w:type="dxa"/>
            <w:vAlign w:val="bottom"/>
            <w:tcBorders>
              <w:bottom w:val="single" w:sz="8" w:color="0000EE"/>
            </w:tcBorders>
            <w:gridSpan w:val="6"/>
            <w:vMerge w:val="continue"/>
          </w:tcPr>
          <w:p>
            <w:pPr>
              <w:spacing w:after="0"/>
              <w:rPr>
                <w:sz w:val="13"/>
                <w:szCs w:val="13"/>
                <w:color w:val="auto"/>
              </w:rPr>
            </w:pPr>
          </w:p>
        </w:tc>
        <w:tc>
          <w:tcPr>
            <w:tcW w:w="7320" w:type="dxa"/>
            <w:vAlign w:val="bottom"/>
            <w:gridSpan w:val="10"/>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716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664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5920" w:type="dxa"/>
            <w:vAlign w:val="bottom"/>
            <w:gridSpan w:val="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7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Redeemable Convertible Preferred Stock and Stockholders’ Deficit</w:t>
              </w:r>
            </w:hyperlink>
          </w:p>
        </w:tc>
        <w:tc>
          <w:tcPr>
            <w:tcW w:w="186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586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8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12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522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7800" w:type="dxa"/>
            <w:vAlign w:val="bottom"/>
            <w:gridSpan w:val="1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9580" w:type="dxa"/>
            <w:vAlign w:val="bottom"/>
            <w:gridSpan w:val="1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2"/>
          </w:tcPr>
          <w:p>
            <w:pPr>
              <w:spacing w:after="0"/>
              <w:rPr>
                <w:sz w:val="17"/>
                <w:szCs w:val="17"/>
                <w:color w:val="auto"/>
              </w:rPr>
            </w:pPr>
          </w:p>
        </w:tc>
        <w:tc>
          <w:tcPr>
            <w:tcW w:w="7700" w:type="dxa"/>
            <w:vAlign w:val="bottom"/>
            <w:gridSpan w:val="1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580" w:type="dxa"/>
            <w:vAlign w:val="bottom"/>
            <w:gridSpan w:val="1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580" w:type="dxa"/>
            <w:vAlign w:val="bottom"/>
            <w:gridSpan w:val="1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Unregistered Sales of Equity Securities and Use of Proceeds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Exhibits</w:t>
              </w:r>
            </w:hyperlink>
          </w:p>
        </w:tc>
        <w:tc>
          <w:tcPr>
            <w:tcW w:w="5240" w:type="dxa"/>
            <w:vAlign w:val="bottom"/>
            <w:gridSpan w:val="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Trevi Therapeutics, Inc.</w:t>
      </w:r>
    </w:p>
    <w:p>
      <w:pPr>
        <w:spacing w:after="0" w:line="9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12,946</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60"/>
              <w:spacing w:after="0"/>
              <w:rPr>
                <w:sz w:val="20"/>
                <w:szCs w:val="20"/>
                <w:color w:val="auto"/>
              </w:rPr>
            </w:pPr>
            <w:r>
              <w:rPr>
                <w:rFonts w:ascii="Arial" w:cs="Arial" w:eastAsia="Arial" w:hAnsi="Arial"/>
                <w:sz w:val="18"/>
                <w:szCs w:val="18"/>
                <w:color w:val="auto"/>
              </w:rPr>
              <w:t>Tax credit and other receivables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Property, equipment and leasehold improvements, net</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17,185</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260"/>
              <w:spacing w:after="0"/>
              <w:rPr>
                <w:sz w:val="20"/>
                <w:szCs w:val="20"/>
                <w:color w:val="auto"/>
              </w:rPr>
            </w:pPr>
            <w:r>
              <w:rPr>
                <w:rFonts w:ascii="Arial" w:cs="Arial" w:eastAsia="Arial" w:hAnsi="Arial"/>
                <w:sz w:val="18"/>
                <w:szCs w:val="18"/>
                <w:color w:val="auto"/>
              </w:rPr>
              <w:t>Operating lease liability - current portion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Obligation for loan success fee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 liability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Operating lease liability - long term portion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spacing w:after="0" w:line="201" w:lineRule="exact"/>
              <w:rPr>
                <w:sz w:val="20"/>
                <w:szCs w:val="20"/>
                <w:color w:val="auto"/>
              </w:rPr>
            </w:pPr>
            <w:r>
              <w:rPr>
                <w:rFonts w:ascii="Arial" w:cs="Arial" w:eastAsia="Arial" w:hAnsi="Arial"/>
                <w:sz w:val="18"/>
                <w:szCs w:val="18"/>
                <w:color w:val="auto"/>
                <w:w w:val="93"/>
              </w:rPr>
              <w:t>Series A redeemable convertible preferred stock: 15,387,923 shares authorized, issued and outstanding at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w w:val="95"/>
              </w:rPr>
              <w:t>March 31, 2019 (unaudited) and December 31, 2018; liquidation preference of $20,696 and $20,469 at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March 31, 2019 (unaudited) and December 31, 2018, respectively.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21,169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B redeemable convertible preferred stock: 22,608,695 shares authorized, issued and outstanding at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March 31, 2019 (unaudited) and December 31, 2018; liquidation preference of $33,284 and $32,900 at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March 31, 2019 (unaudited) and December 31, 2018, respectively.</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spacing w:after="0" w:line="201" w:lineRule="exact"/>
              <w:rPr>
                <w:sz w:val="20"/>
                <w:szCs w:val="20"/>
                <w:color w:val="auto"/>
              </w:rPr>
            </w:pPr>
            <w:r>
              <w:rPr>
                <w:rFonts w:ascii="Arial" w:cs="Arial" w:eastAsia="Arial" w:hAnsi="Arial"/>
                <w:sz w:val="18"/>
                <w:szCs w:val="18"/>
                <w:color w:val="auto"/>
              </w:rPr>
              <w:t>Series C redeemable convertible preferred stock: 48,200,412 shares authorized at March 31, 2019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w w:val="95"/>
              </w:rPr>
              <w:t>(unaudited) and December 31, 2018 and 44,946,987 and 38,097,672 shares issued and outstanding at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w w:val="93"/>
              </w:rPr>
              <w:t>March 31, 2019 (unaudited) and December 31, 2018, respectively; liquidation preference of $70,739 and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$59,798 at March 31, 2019 (unaudited) and December 31, 2018, respectively.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73,039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spacing w:after="0" w:line="201" w:lineRule="exact"/>
              <w:rPr>
                <w:sz w:val="20"/>
                <w:szCs w:val="20"/>
                <w:color w:val="auto"/>
              </w:rPr>
            </w:pPr>
            <w:r>
              <w:rPr>
                <w:rFonts w:ascii="Arial" w:cs="Arial" w:eastAsia="Arial" w:hAnsi="Arial"/>
                <w:sz w:val="18"/>
                <w:szCs w:val="18"/>
                <w:color w:val="auto"/>
                <w:w w:val="98"/>
              </w:rPr>
              <w:t>Common stock: $0.001 par value; 101,929,904 shares authorized at March 31, 2019 (unaudited) and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w w:val="93"/>
              </w:rPr>
              <w:t>December 31, 2018, respectively, and 446,494 and 438,600 shares issued and outstanding at March 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2019 (unaudited) and December 31, 2018, respectively.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(115,480)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(109,498)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(115,476)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26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ind w:right="231"/>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20" w:type="dxa"/>
            <w:vAlign w:val="bottom"/>
            <w:tcBorders>
              <w:bottom w:val="single" w:sz="8" w:color="CCEEFF"/>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3,338</w:t>
            </w:r>
          </w:p>
        </w:tc>
        <w:tc>
          <w:tcPr>
            <w:tcW w:w="120" w:type="dxa"/>
            <w:vAlign w:val="bottom"/>
          </w:tcPr>
          <w:p>
            <w:pPr>
              <w:spacing w:after="0"/>
              <w:rPr>
                <w:sz w:val="18"/>
                <w:szCs w:val="18"/>
                <w:color w:val="auto"/>
              </w:rPr>
            </w:pPr>
          </w:p>
        </w:tc>
        <w:tc>
          <w:tcPr>
            <w:tcW w:w="64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fair value of Series C redeemable convertible preferred stock liability</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Arial" w:cs="Arial" w:eastAsia="Arial" w:hAnsi="Arial"/>
                <w:sz w:val="18"/>
                <w:szCs w:val="18"/>
                <w:color w:val="auto"/>
              </w:rPr>
              <w:t>Change in fair value of obligation for loan success fee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income (expense), net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Loss before income tax benefit</w:t>
            </w: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Accretion of redeemable convertible preferred stock</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Dividends accrued on redeemable convertible preferred stock</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 attributable to common stockholders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(6,152)</w:t>
            </w:r>
          </w:p>
        </w:tc>
        <w:tc>
          <w:tcPr>
            <w:tcW w:w="64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Weighted average common shares used in net loss per share attributable to common stockholders, basic and</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444,132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434,567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Deficit</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71" w:lineRule="exact"/>
        <w:rPr>
          <w:sz w:val="20"/>
          <w:szCs w:val="20"/>
          <w:color w:val="auto"/>
        </w:rPr>
      </w:pPr>
    </w:p>
    <w:tbl>
      <w:tblPr>
        <w:tblLayout w:type="fixed"/>
        <w:tblInd w:w="20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60" w:type="dxa"/>
            <w:vAlign w:val="bottom"/>
            <w:gridSpan w:val="3"/>
          </w:tcPr>
          <w:p>
            <w:pPr>
              <w:jc w:val="center"/>
              <w:ind w:left="309"/>
              <w:spacing w:after="0"/>
              <w:rPr>
                <w:sz w:val="20"/>
                <w:szCs w:val="20"/>
                <w:color w:val="auto"/>
              </w:rPr>
            </w:pPr>
            <w:r>
              <w:rPr>
                <w:rFonts w:ascii="Arial" w:cs="Arial" w:eastAsia="Arial" w:hAnsi="Arial"/>
                <w:sz w:val="14"/>
                <w:szCs w:val="14"/>
                <w:b w:val="1"/>
                <w:bCs w:val="1"/>
                <w:color w:val="auto"/>
                <w:w w:val="85"/>
              </w:rPr>
              <w:t>Series A</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left="309"/>
              <w:spacing w:after="0"/>
              <w:rPr>
                <w:sz w:val="20"/>
                <w:szCs w:val="20"/>
                <w:color w:val="auto"/>
              </w:rPr>
            </w:pPr>
            <w:r>
              <w:rPr>
                <w:rFonts w:ascii="Arial" w:cs="Arial" w:eastAsia="Arial" w:hAnsi="Arial"/>
                <w:sz w:val="14"/>
                <w:szCs w:val="14"/>
                <w:b w:val="1"/>
                <w:bCs w:val="1"/>
                <w:color w:val="auto"/>
                <w:w w:val="85"/>
              </w:rPr>
              <w:t>Series B</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left="309"/>
              <w:spacing w:after="0"/>
              <w:rPr>
                <w:sz w:val="20"/>
                <w:szCs w:val="20"/>
                <w:color w:val="auto"/>
              </w:rPr>
            </w:pPr>
            <w:r>
              <w:rPr>
                <w:rFonts w:ascii="Arial" w:cs="Arial" w:eastAsia="Arial" w:hAnsi="Arial"/>
                <w:sz w:val="14"/>
                <w:szCs w:val="14"/>
                <w:b w:val="1"/>
                <w:bCs w:val="1"/>
                <w:color w:val="auto"/>
                <w:w w:val="85"/>
              </w:rPr>
              <w:t>Series C</w:t>
            </w:r>
          </w:p>
        </w:tc>
        <w:tc>
          <w:tcPr>
            <w:tcW w:w="4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Redeemable</w:t>
            </w: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Redeemable</w:t>
            </w:r>
          </w:p>
        </w:tc>
        <w:tc>
          <w:tcPr>
            <w:tcW w:w="168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87"/>
              </w:rPr>
              <w:t>Redeemable</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60" w:type="dxa"/>
            <w:vAlign w:val="bottom"/>
            <w:gridSpan w:val="3"/>
          </w:tcPr>
          <w:p>
            <w:pPr>
              <w:jc w:val="center"/>
              <w:ind w:left="309"/>
              <w:spacing w:after="0" w:line="149" w:lineRule="exact"/>
              <w:rPr>
                <w:sz w:val="20"/>
                <w:szCs w:val="20"/>
                <w:color w:val="auto"/>
              </w:rPr>
            </w:pPr>
            <w:r>
              <w:rPr>
                <w:rFonts w:ascii="Arial" w:cs="Arial" w:eastAsia="Arial" w:hAnsi="Arial"/>
                <w:sz w:val="14"/>
                <w:szCs w:val="14"/>
                <w:b w:val="1"/>
                <w:bCs w:val="1"/>
                <w:color w:val="auto"/>
                <w:w w:val="88"/>
              </w:rPr>
              <w:t>Convertible</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left="309"/>
              <w:spacing w:after="0" w:line="149" w:lineRule="exact"/>
              <w:rPr>
                <w:sz w:val="20"/>
                <w:szCs w:val="20"/>
                <w:color w:val="auto"/>
              </w:rPr>
            </w:pPr>
            <w:r>
              <w:rPr>
                <w:rFonts w:ascii="Arial" w:cs="Arial" w:eastAsia="Arial" w:hAnsi="Arial"/>
                <w:sz w:val="14"/>
                <w:szCs w:val="14"/>
                <w:b w:val="1"/>
                <w:bCs w:val="1"/>
                <w:color w:val="auto"/>
                <w:w w:val="88"/>
              </w:rPr>
              <w:t>Convertible</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left="309"/>
              <w:spacing w:after="0" w:line="149" w:lineRule="exact"/>
              <w:rPr>
                <w:sz w:val="20"/>
                <w:szCs w:val="20"/>
                <w:color w:val="auto"/>
              </w:rPr>
            </w:pPr>
            <w:r>
              <w:rPr>
                <w:rFonts w:ascii="Arial" w:cs="Arial" w:eastAsia="Arial" w:hAnsi="Arial"/>
                <w:sz w:val="14"/>
                <w:szCs w:val="14"/>
                <w:b w:val="1"/>
                <w:bCs w:val="1"/>
                <w:color w:val="auto"/>
                <w:w w:val="88"/>
              </w:rPr>
              <w:t>Convertible</w:t>
            </w:r>
          </w:p>
        </w:tc>
        <w:tc>
          <w:tcPr>
            <w:tcW w:w="4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Preferred Stock</w:t>
            </w: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Preferred Stock</w:t>
            </w:r>
          </w:p>
        </w:tc>
        <w:tc>
          <w:tcPr>
            <w:tcW w:w="168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88"/>
              </w:rPr>
              <w:t>Preferred Stock</w:t>
            </w:r>
          </w:p>
        </w:tc>
        <w:tc>
          <w:tcPr>
            <w:tcW w:w="6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Paid-</w:t>
            </w: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Accumulated</w:t>
            </w:r>
          </w:p>
        </w:tc>
        <w:tc>
          <w:tcPr>
            <w:tcW w:w="9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60" w:type="dxa"/>
            <w:vAlign w:val="bottom"/>
            <w:tcBorders>
              <w:top w:val="single" w:sz="8" w:color="auto"/>
            </w:tcBorders>
          </w:tcPr>
          <w:p>
            <w:pPr>
              <w:jc w:val="right"/>
              <w:ind w:right="129"/>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129"/>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129"/>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2"/>
                <w:szCs w:val="12"/>
                <w:color w:val="auto"/>
              </w:rPr>
            </w:pPr>
          </w:p>
        </w:tc>
        <w:tc>
          <w:tcPr>
            <w:tcW w:w="70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In Capital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2017</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15,387,923</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20,479</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22,608,695</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32,640</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30,886,507</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46,087</w:t>
            </w:r>
          </w:p>
        </w:tc>
        <w:tc>
          <w:tcPr>
            <w:tcW w:w="22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432,921</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290"/>
              <w:spacing w:after="0" w:line="142"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(84,432)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(84,428)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from</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 of 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spacing w:after="0" w:line="130" w:lineRule="exact"/>
              <w:rPr>
                <w:sz w:val="20"/>
                <w:szCs w:val="20"/>
                <w:color w:val="auto"/>
              </w:rPr>
            </w:pPr>
            <w:r>
              <w:rPr>
                <w:rFonts w:ascii="Arial" w:cs="Arial" w:eastAsia="Arial" w:hAnsi="Arial"/>
                <w:sz w:val="14"/>
                <w:szCs w:val="14"/>
                <w:color w:val="auto"/>
                <w:w w:val="96"/>
              </w:rPr>
              <w:t>Dividends accrued on redeemable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tcPr>
          <w:p>
            <w:pPr>
              <w:ind w:left="120"/>
              <w:spacing w:after="0"/>
              <w:rPr>
                <w:sz w:val="20"/>
                <w:szCs w:val="20"/>
                <w:color w:val="auto"/>
              </w:rPr>
            </w:pPr>
            <w:r>
              <w:rPr>
                <w:rFonts w:ascii="Arial" w:cs="Arial" w:eastAsia="Arial" w:hAnsi="Arial"/>
                <w:sz w:val="14"/>
                <w:szCs w:val="14"/>
                <w:color w:val="auto"/>
              </w:rPr>
              <w:t>convertible preferred stock</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228</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385</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667</w:t>
            </w:r>
          </w:p>
        </w:tc>
        <w:tc>
          <w:tcPr>
            <w:tcW w:w="2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(1,179)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(amortization) of</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premium (discount) on issuance</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of redeemable convertible</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spacing w:after="0" w:line="130" w:lineRule="exact"/>
              <w:rPr>
                <w:sz w:val="20"/>
                <w:szCs w:val="20"/>
                <w:color w:val="auto"/>
              </w:rPr>
            </w:pPr>
            <w:r>
              <w:rPr>
                <w:rFonts w:ascii="Arial" w:cs="Arial" w:eastAsia="Arial" w:hAnsi="Arial"/>
                <w:sz w:val="14"/>
                <w:szCs w:val="14"/>
                <w:color w:val="auto"/>
              </w:rPr>
              <w:t>Accretion of discount on investor</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tcPr>
          <w:p>
            <w:pPr>
              <w:ind w:left="120"/>
              <w:spacing w:after="0"/>
              <w:rPr>
                <w:sz w:val="20"/>
                <w:szCs w:val="20"/>
                <w:color w:val="auto"/>
              </w:rPr>
            </w:pPr>
            <w:r>
              <w:rPr>
                <w:rFonts w:ascii="Arial" w:cs="Arial" w:eastAsia="Arial" w:hAnsi="Arial"/>
                <w:sz w:val="14"/>
                <w:szCs w:val="14"/>
                <w:color w:val="auto"/>
              </w:rPr>
              <w:t>rights/obligation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Adjustment for excess (shortfall)</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of fair value over liquidation</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value of redeemable convertible</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spacing w:after="0" w:line="130" w:lineRule="exact"/>
              <w:rPr>
                <w:sz w:val="20"/>
                <w:szCs w:val="20"/>
                <w:color w:val="auto"/>
              </w:rPr>
            </w:pPr>
            <w:r>
              <w:rPr>
                <w:rFonts w:ascii="Arial" w:cs="Arial" w:eastAsia="Arial" w:hAnsi="Arial"/>
                <w:sz w:val="14"/>
                <w:szCs w:val="14"/>
                <w:color w:val="auto"/>
              </w:rPr>
              <w:t>Accretion of issuance costs on</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120"/>
              <w:spacing w:after="0" w:line="149" w:lineRule="exact"/>
              <w:rPr>
                <w:sz w:val="20"/>
                <w:szCs w:val="20"/>
                <w:color w:val="auto"/>
              </w:rPr>
            </w:pPr>
            <w:r>
              <w:rPr>
                <w:rFonts w:ascii="Arial" w:cs="Arial" w:eastAsia="Arial" w:hAnsi="Arial"/>
                <w:sz w:val="14"/>
                <w:szCs w:val="14"/>
                <w:color w:val="auto"/>
              </w:rPr>
              <w:t>redeemable convertible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tcPr>
          <w:p>
            <w:pPr>
              <w:ind w:left="120"/>
              <w:spacing w:after="0"/>
              <w:rPr>
                <w:sz w:val="20"/>
                <w:szCs w:val="20"/>
                <w:color w:val="auto"/>
              </w:rPr>
            </w:pPr>
            <w:r>
              <w:rPr>
                <w:rFonts w:ascii="Arial" w:cs="Arial" w:eastAsia="Arial" w:hAnsi="Arial"/>
                <w:sz w:val="14"/>
                <w:szCs w:val="14"/>
                <w:color w:val="auto"/>
              </w:rPr>
              <w:t>preferred stock</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(4,051)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(4,051)</w:t>
            </w:r>
          </w:p>
        </w:tc>
        <w:tc>
          <w:tcPr>
            <w:tcW w:w="0" w:type="dxa"/>
            <w:vAlign w:val="bottom"/>
          </w:tcPr>
          <w:p>
            <w:pPr>
              <w:spacing w:after="0"/>
              <w:rPr>
                <w:sz w:val="1"/>
                <w:szCs w:val="1"/>
                <w:color w:val="auto"/>
              </w:rPr>
            </w:pPr>
          </w:p>
        </w:tc>
      </w:tr>
      <w:tr>
        <w:trPr>
          <w:trHeight w:val="156"/>
        </w:trPr>
        <w:tc>
          <w:tcPr>
            <w:tcW w:w="2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March 31, 2018</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15,387,923</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20,615</w:t>
            </w:r>
          </w:p>
        </w:tc>
        <w:tc>
          <w:tcPr>
            <w:tcW w:w="16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22,608,695</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32,897</w:t>
            </w:r>
          </w:p>
        </w:tc>
        <w:tc>
          <w:tcPr>
            <w:tcW w:w="16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30,886,507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46,779</w:t>
            </w: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438,600</w:t>
            </w: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90"/>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(89,467</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(89,463)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2018</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15,387,923</w:t>
            </w:r>
          </w:p>
        </w:tc>
        <w:tc>
          <w:tcPr>
            <w:tcW w:w="30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21,033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22,608,695</w:t>
            </w:r>
          </w:p>
        </w:tc>
        <w:tc>
          <w:tcPr>
            <w:tcW w:w="30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33,686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38,097,672</w:t>
            </w:r>
          </w:p>
        </w:tc>
        <w:tc>
          <w:tcPr>
            <w:tcW w:w="30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61,023</w:t>
            </w:r>
          </w:p>
        </w:tc>
        <w:tc>
          <w:tcPr>
            <w:tcW w:w="2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438,600</w:t>
            </w:r>
          </w:p>
        </w:tc>
        <w:tc>
          <w:tcPr>
            <w:tcW w:w="520" w:type="dxa"/>
            <w:vAlign w:val="bottom"/>
            <w:gridSpan w:val="2"/>
            <w:shd w:val="clear" w:color="auto" w:fill="CCEEFF"/>
          </w:tcPr>
          <w:p>
            <w:pPr>
              <w:jc w:val="right"/>
              <w:ind w:right="29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(109,498)</w:t>
            </w: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from</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 of 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spacing w:after="0" w:line="130" w:lineRule="exact"/>
              <w:rPr>
                <w:sz w:val="20"/>
                <w:szCs w:val="20"/>
                <w:color w:val="auto"/>
              </w:rPr>
            </w:pPr>
            <w:r>
              <w:rPr>
                <w:rFonts w:ascii="Arial" w:cs="Arial" w:eastAsia="Arial" w:hAnsi="Arial"/>
                <w:sz w:val="14"/>
                <w:szCs w:val="14"/>
                <w:color w:val="auto"/>
                <w:w w:val="99"/>
              </w:rPr>
              <w:t>Issuance of Series C redeemable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120"/>
              <w:spacing w:after="0" w:line="149" w:lineRule="exact"/>
              <w:rPr>
                <w:sz w:val="20"/>
                <w:szCs w:val="20"/>
                <w:color w:val="auto"/>
              </w:rPr>
            </w:pPr>
            <w:r>
              <w:rPr>
                <w:rFonts w:ascii="Arial" w:cs="Arial" w:eastAsia="Arial" w:hAnsi="Arial"/>
                <w:sz w:val="14"/>
                <w:szCs w:val="14"/>
                <w:color w:val="auto"/>
              </w:rPr>
              <w:t>convertible preferred stock, net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tcPr>
          <w:p>
            <w:pPr>
              <w:ind w:left="120"/>
              <w:spacing w:after="0"/>
              <w:rPr>
                <w:sz w:val="20"/>
                <w:szCs w:val="20"/>
                <w:color w:val="auto"/>
              </w:rPr>
            </w:pPr>
            <w:r>
              <w:rPr>
                <w:rFonts w:ascii="Arial" w:cs="Arial" w:eastAsia="Arial" w:hAnsi="Arial"/>
                <w:sz w:val="14"/>
                <w:szCs w:val="14"/>
                <w:color w:val="auto"/>
              </w:rPr>
              <w:t>of issuance costs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6,849,315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11,059</w:t>
            </w:r>
          </w:p>
        </w:tc>
        <w:tc>
          <w:tcPr>
            <w:tcW w:w="2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Dividends accrued on redeemable</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convertible preferred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2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spacing w:after="0" w:line="130" w:lineRule="exact"/>
              <w:rPr>
                <w:sz w:val="20"/>
                <w:szCs w:val="20"/>
                <w:color w:val="auto"/>
              </w:rPr>
            </w:pPr>
            <w:r>
              <w:rPr>
                <w:rFonts w:ascii="Arial" w:cs="Arial" w:eastAsia="Arial" w:hAnsi="Arial"/>
                <w:sz w:val="14"/>
                <w:szCs w:val="14"/>
                <w:color w:val="auto"/>
              </w:rPr>
              <w:t>Accretion (amortization) of</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120"/>
              <w:spacing w:after="0" w:line="149" w:lineRule="exact"/>
              <w:rPr>
                <w:sz w:val="20"/>
                <w:szCs w:val="20"/>
                <w:color w:val="auto"/>
              </w:rPr>
            </w:pPr>
            <w:r>
              <w:rPr>
                <w:rFonts w:ascii="Arial" w:cs="Arial" w:eastAsia="Arial" w:hAnsi="Arial"/>
                <w:sz w:val="14"/>
                <w:szCs w:val="14"/>
                <w:color w:val="auto"/>
                <w:w w:val="97"/>
              </w:rPr>
              <w:t>premium (discount) on issuance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120"/>
              <w:spacing w:after="0" w:line="149" w:lineRule="exact"/>
              <w:rPr>
                <w:sz w:val="20"/>
                <w:szCs w:val="20"/>
                <w:color w:val="auto"/>
              </w:rPr>
            </w:pPr>
            <w:r>
              <w:rPr>
                <w:rFonts w:ascii="Arial" w:cs="Arial" w:eastAsia="Arial" w:hAnsi="Arial"/>
                <w:sz w:val="14"/>
                <w:szCs w:val="14"/>
                <w:color w:val="auto"/>
              </w:rPr>
              <w:t>of redeemable convertible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tcPr>
          <w:p>
            <w:pPr>
              <w:ind w:left="120"/>
              <w:spacing w:after="0"/>
              <w:rPr>
                <w:sz w:val="20"/>
                <w:szCs w:val="20"/>
                <w:color w:val="auto"/>
              </w:rPr>
            </w:pPr>
            <w:r>
              <w:rPr>
                <w:rFonts w:ascii="Arial" w:cs="Arial" w:eastAsia="Arial" w:hAnsi="Arial"/>
                <w:sz w:val="14"/>
                <w:szCs w:val="14"/>
                <w:color w:val="auto"/>
              </w:rPr>
              <w:t>preferred stock</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of discount on investor</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rights/obligation</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tcPr>
          <w:p>
            <w:pPr>
              <w:spacing w:after="0" w:line="130" w:lineRule="exact"/>
              <w:rPr>
                <w:sz w:val="20"/>
                <w:szCs w:val="20"/>
                <w:color w:val="auto"/>
              </w:rPr>
            </w:pPr>
            <w:r>
              <w:rPr>
                <w:rFonts w:ascii="Arial" w:cs="Arial" w:eastAsia="Arial" w:hAnsi="Arial"/>
                <w:sz w:val="14"/>
                <w:szCs w:val="14"/>
                <w:color w:val="auto"/>
              </w:rPr>
              <w:t>Adjustment for excess (shortfall)</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120"/>
              <w:spacing w:after="0" w:line="149" w:lineRule="exact"/>
              <w:rPr>
                <w:sz w:val="20"/>
                <w:szCs w:val="20"/>
                <w:color w:val="auto"/>
              </w:rPr>
            </w:pPr>
            <w:r>
              <w:rPr>
                <w:rFonts w:ascii="Arial" w:cs="Arial" w:eastAsia="Arial" w:hAnsi="Arial"/>
                <w:sz w:val="14"/>
                <w:szCs w:val="14"/>
                <w:color w:val="auto"/>
              </w:rPr>
              <w:t>of fair value over liquidation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120"/>
              <w:spacing w:after="0" w:line="149" w:lineRule="exact"/>
              <w:rPr>
                <w:sz w:val="20"/>
                <w:szCs w:val="20"/>
                <w:color w:val="auto"/>
              </w:rPr>
            </w:pPr>
            <w:r>
              <w:rPr>
                <w:rFonts w:ascii="Arial" w:cs="Arial" w:eastAsia="Arial" w:hAnsi="Arial"/>
                <w:sz w:val="14"/>
                <w:szCs w:val="14"/>
                <w:color w:val="auto"/>
                <w:w w:val="97"/>
              </w:rPr>
              <w:t>value of redeemable convertible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tcPr>
          <w:p>
            <w:pPr>
              <w:ind w:left="120"/>
              <w:spacing w:after="0"/>
              <w:rPr>
                <w:sz w:val="20"/>
                <w:szCs w:val="20"/>
                <w:color w:val="auto"/>
              </w:rPr>
            </w:pPr>
            <w:r>
              <w:rPr>
                <w:rFonts w:ascii="Arial" w:cs="Arial" w:eastAsia="Arial" w:hAnsi="Arial"/>
                <w:sz w:val="14"/>
                <w:szCs w:val="14"/>
                <w:color w:val="auto"/>
              </w:rPr>
              <w:t>preferred stock</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(106)</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(153)</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(19)</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of issuance costs on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redeemable convertible</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March 31, 2019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15,387,923</w:t>
            </w:r>
          </w:p>
        </w:tc>
        <w:tc>
          <w:tcPr>
            <w:tcW w:w="30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21,169</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22,608,695</w:t>
            </w:r>
          </w:p>
        </w:tc>
        <w:tc>
          <w:tcPr>
            <w:tcW w:w="30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33,943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44,946,987</w:t>
            </w:r>
          </w:p>
        </w:tc>
        <w:tc>
          <w:tcPr>
            <w:tcW w:w="30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73,039</w:t>
            </w:r>
          </w:p>
        </w:tc>
        <w:tc>
          <w:tcPr>
            <w:tcW w:w="2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446,494</w:t>
            </w:r>
          </w:p>
        </w:tc>
        <w:tc>
          <w:tcPr>
            <w:tcW w:w="520" w:type="dxa"/>
            <w:vAlign w:val="bottom"/>
            <w:gridSpan w:val="2"/>
            <w:shd w:val="clear" w:color="auto" w:fill="CCEEFF"/>
          </w:tcPr>
          <w:p>
            <w:pPr>
              <w:jc w:val="right"/>
              <w:ind w:right="29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(115,480)</w:t>
            </w: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Operating activities</w:t>
            </w:r>
          </w:p>
        </w:tc>
        <w:tc>
          <w:tcPr>
            <w:tcW w:w="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rPr>
                <w:sz w:val="20"/>
                <w:szCs w:val="20"/>
                <w:color w:val="auto"/>
              </w:rPr>
            </w:pPr>
            <w:r>
              <w:rPr>
                <w:rFonts w:ascii="Arial" w:cs="Arial" w:eastAsia="Arial" w:hAnsi="Arial"/>
                <w:sz w:val="17"/>
                <w:szCs w:val="17"/>
                <w:color w:val="auto"/>
              </w:rPr>
              <w:t>Net loss</w:t>
            </w:r>
          </w:p>
        </w:tc>
        <w:tc>
          <w:tcPr>
            <w:tcW w:w="920" w:type="dxa"/>
            <w:vAlign w:val="bottom"/>
            <w:gridSpan w:val="2"/>
          </w:tcPr>
          <w:p>
            <w:pPr>
              <w:jc w:val="right"/>
              <w:ind w:right="78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(4,802)</w:t>
            </w:r>
          </w:p>
        </w:tc>
        <w:tc>
          <w:tcPr>
            <w:tcW w:w="1000" w:type="dxa"/>
            <w:vAlign w:val="bottom"/>
            <w:gridSpan w:val="2"/>
          </w:tcPr>
          <w:p>
            <w:pPr>
              <w:jc w:val="right"/>
              <w:ind w:right="765"/>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(4,051)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fair value of Series C redeemable convertible preferred stock liability</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220"/>
              <w:spacing w:after="0"/>
              <w:rPr>
                <w:sz w:val="20"/>
                <w:szCs w:val="20"/>
                <w:color w:val="auto"/>
              </w:rPr>
            </w:pPr>
            <w:r>
              <w:rPr>
                <w:rFonts w:ascii="Arial" w:cs="Arial" w:eastAsia="Arial" w:hAnsi="Arial"/>
                <w:sz w:val="17"/>
                <w:szCs w:val="17"/>
                <w:color w:val="auto"/>
              </w:rPr>
              <w:t>Changes in fair value of obligation for loan success fee</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Accretion/accrual of term loan discounts and debt issuance costs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220"/>
              <w:spacing w:after="0"/>
              <w:rPr>
                <w:sz w:val="20"/>
                <w:szCs w:val="20"/>
                <w:color w:val="auto"/>
              </w:rPr>
            </w:pPr>
            <w:r>
              <w:rPr>
                <w:rFonts w:ascii="Arial" w:cs="Arial" w:eastAsia="Arial" w:hAnsi="Arial"/>
                <w:sz w:val="17"/>
                <w:szCs w:val="17"/>
                <w:color w:val="auto"/>
              </w:rPr>
              <w:t>Stock-based compensation</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440"/>
              <w:spacing w:after="0"/>
              <w:rPr>
                <w:sz w:val="20"/>
                <w:szCs w:val="20"/>
                <w:color w:val="auto"/>
              </w:rPr>
            </w:pPr>
            <w:r>
              <w:rPr>
                <w:rFonts w:ascii="Arial" w:cs="Arial" w:eastAsia="Arial" w:hAnsi="Arial"/>
                <w:sz w:val="17"/>
                <w:szCs w:val="17"/>
                <w:color w:val="auto"/>
              </w:rPr>
              <w:t>Receivables</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Prepaid expenses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440"/>
              <w:spacing w:after="0"/>
              <w:rPr>
                <w:sz w:val="20"/>
                <w:szCs w:val="20"/>
                <w:color w:val="auto"/>
              </w:rPr>
            </w:pPr>
            <w:r>
              <w:rPr>
                <w:rFonts w:ascii="Arial" w:cs="Arial" w:eastAsia="Arial" w:hAnsi="Arial"/>
                <w:sz w:val="17"/>
                <w:szCs w:val="17"/>
                <w:color w:val="auto"/>
              </w:rPr>
              <w:t>Accounts payable</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(185)</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expenses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440"/>
              <w:spacing w:after="0"/>
              <w:rPr>
                <w:sz w:val="20"/>
                <w:szCs w:val="20"/>
                <w:color w:val="auto"/>
              </w:rPr>
            </w:pPr>
            <w:r>
              <w:rPr>
                <w:rFonts w:ascii="Arial" w:cs="Arial" w:eastAsia="Arial" w:hAnsi="Arial"/>
                <w:sz w:val="17"/>
                <w:szCs w:val="17"/>
                <w:color w:val="auto"/>
              </w:rPr>
              <w:t>Security deposit</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cash used in operating activities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(4,096)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Acquisitions of property, equipment and leasehold improvements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vMerge w:val="restart"/>
          </w:tcPr>
          <w:p>
            <w:pPr>
              <w:ind w:left="660"/>
              <w:spacing w:after="0"/>
              <w:rPr>
                <w:sz w:val="20"/>
                <w:szCs w:val="20"/>
                <w:color w:val="auto"/>
              </w:rPr>
            </w:pPr>
            <w:r>
              <w:rPr>
                <w:rFonts w:ascii="Arial" w:cs="Arial" w:eastAsia="Arial" w:hAnsi="Arial"/>
                <w:sz w:val="17"/>
                <w:szCs w:val="17"/>
                <w:color w:val="auto"/>
              </w:rPr>
              <w:t>Net cash used in investing activities</w:t>
            </w: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(57)</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Financing activities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rPr>
                <w:sz w:val="20"/>
                <w:szCs w:val="20"/>
                <w:color w:val="auto"/>
              </w:rPr>
            </w:pPr>
            <w:r>
              <w:rPr>
                <w:rFonts w:ascii="Arial" w:cs="Arial" w:eastAsia="Arial" w:hAnsi="Arial"/>
                <w:sz w:val="17"/>
                <w:szCs w:val="17"/>
                <w:color w:val="auto"/>
              </w:rPr>
              <w:t>Repayments of term loan</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(2,063)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Proceeds from exercises of stock options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rPr>
                <w:sz w:val="20"/>
                <w:szCs w:val="20"/>
                <w:color w:val="auto"/>
              </w:rPr>
            </w:pPr>
            <w:r>
              <w:rPr>
                <w:rFonts w:ascii="Arial" w:cs="Arial" w:eastAsia="Arial" w:hAnsi="Arial"/>
                <w:sz w:val="17"/>
                <w:szCs w:val="17"/>
                <w:color w:val="auto"/>
              </w:rPr>
              <w:t>Proceeds from sale of Series C redeemable convertible preferred stock, net of issuance costs</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9,963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Deferred offering costs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tcPr>
          <w:p>
            <w:pPr>
              <w:ind w:left="680"/>
              <w:spacing w:after="0"/>
              <w:rPr>
                <w:sz w:val="20"/>
                <w:szCs w:val="20"/>
                <w:color w:val="auto"/>
              </w:rPr>
            </w:pPr>
            <w:r>
              <w:rPr>
                <w:rFonts w:ascii="Arial" w:cs="Arial" w:eastAsia="Arial" w:hAnsi="Arial"/>
                <w:sz w:val="17"/>
                <w:szCs w:val="17"/>
                <w:color w:val="auto"/>
              </w:rPr>
              <w:t>Net cash provided by (used in) financing activities</w:t>
            </w:r>
          </w:p>
        </w:tc>
        <w:tc>
          <w:tcPr>
            <w:tcW w:w="2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(2,050)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Net cash increase (decrease)</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(6,061)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7"/>
                <w:szCs w:val="17"/>
                <w:color w:val="auto"/>
              </w:rPr>
              <w:t>Cash and cash equivalents at beginning of period</w:t>
            </w:r>
          </w:p>
        </w:tc>
        <w:tc>
          <w:tcPr>
            <w:tcW w:w="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22,020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end of period</w:t>
            </w:r>
          </w:p>
        </w:tc>
        <w:tc>
          <w:tcPr>
            <w:tcW w:w="920" w:type="dxa"/>
            <w:vAlign w:val="bottom"/>
            <w:gridSpan w:val="2"/>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12,946</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6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15,959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8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Interest paid</w:t>
            </w:r>
          </w:p>
        </w:tc>
        <w:tc>
          <w:tcPr>
            <w:tcW w:w="920" w:type="dxa"/>
            <w:vAlign w:val="bottom"/>
            <w:gridSpan w:val="2"/>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76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7"/>
                <w:szCs w:val="17"/>
                <w:color w:val="auto"/>
              </w:rPr>
              <w:t>State research tax credits exchanged for cash</w:t>
            </w: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auto"/>
            </w:tcBorders>
          </w:tcPr>
          <w:p>
            <w:pPr>
              <w:jc w:val="right"/>
              <w:ind w:right="78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financing activities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rPr>
                <w:sz w:val="20"/>
                <w:szCs w:val="20"/>
                <w:color w:val="auto"/>
              </w:rPr>
            </w:pPr>
            <w:r>
              <w:rPr>
                <w:rFonts w:ascii="Arial" w:cs="Arial" w:eastAsia="Arial" w:hAnsi="Arial"/>
                <w:sz w:val="17"/>
                <w:szCs w:val="17"/>
                <w:color w:val="auto"/>
              </w:rPr>
              <w:t>Deferred offering costs</w:t>
            </w:r>
          </w:p>
        </w:tc>
        <w:tc>
          <w:tcPr>
            <w:tcW w:w="920" w:type="dxa"/>
            <w:vAlign w:val="bottom"/>
            <w:gridSpan w:val="2"/>
          </w:tcPr>
          <w:p>
            <w:pPr>
              <w:jc w:val="right"/>
              <w:ind w:right="78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(214)</w:t>
            </w:r>
          </w:p>
        </w:tc>
        <w:tc>
          <w:tcPr>
            <w:tcW w:w="1000" w:type="dxa"/>
            <w:vAlign w:val="bottom"/>
            <w:gridSpan w:val="2"/>
          </w:tcPr>
          <w:p>
            <w:pPr>
              <w:jc w:val="right"/>
              <w:ind w:right="765"/>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Dividends accrued on redeemable convertible preferred stock</w:t>
            </w:r>
          </w:p>
        </w:tc>
        <w:tc>
          <w:tcPr>
            <w:tcW w:w="920" w:type="dxa"/>
            <w:vAlign w:val="bottom"/>
            <w:gridSpan w:val="2"/>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1,553</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6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7"/>
                <w:szCs w:val="17"/>
                <w:color w:val="auto"/>
              </w:rPr>
              <w:t>Accretion on redeemable convertible preferred stock</w:t>
            </w: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8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06" w:lineRule="exact"/>
        <w:rPr>
          <w:sz w:val="20"/>
          <w:szCs w:val="20"/>
          <w:color w:val="auto"/>
        </w:rPr>
      </w:pPr>
    </w:p>
    <w:p>
      <w:pPr>
        <w:ind w:left="740" w:hanging="536"/>
        <w:spacing w:after="0"/>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sz w:val="20"/>
          <w:szCs w:val="20"/>
          <w:color w:val="auto"/>
        </w:rPr>
      </w:pPr>
    </w:p>
    <w:p>
      <w:pPr>
        <w:ind w:left="200" w:right="100" w:firstLine="551"/>
        <w:spacing w:after="0" w:line="255" w:lineRule="auto"/>
        <w:rPr>
          <w:sz w:val="20"/>
          <w:szCs w:val="20"/>
          <w:color w:val="auto"/>
        </w:rPr>
      </w:pPr>
      <w:r>
        <w:rPr>
          <w:rFonts w:ascii="Arial" w:cs="Arial" w:eastAsia="Arial" w:hAnsi="Arial"/>
          <w:sz w:val="18"/>
          <w:szCs w:val="18"/>
          <w:color w:val="auto"/>
        </w:rPr>
        <w:t>Trevi Therapeutics, Inc. (“Trevi” or the “Company”) is a clinical-stage biopharmaceutical company focused on the development and commercialization of nalbuphine ER to treat serious neurologically mediated conditions. The Company is currently developing nalbuphine ER for the treatment of chronic pruritus, chronic cough in patients with idiopathic pulmonary fibrosis (“IPF”), and levodopa-induced dyskinesia (“LID”), in patients with Parkinson’s disease. These conditions share a common pathophysiology that is mediated through opioid receptors in the central and peripheral nervous systems. Due to nalbuphine’s mechanism of action as a modulator of opioid receptors, the Company believes nalbuphine ER has the potential to be effective in treating each of these conditions.</w:t>
      </w:r>
    </w:p>
    <w:p>
      <w:pPr>
        <w:spacing w:after="0" w:line="166" w:lineRule="exact"/>
        <w:rPr>
          <w:sz w:val="20"/>
          <w:szCs w:val="20"/>
          <w:color w:val="auto"/>
        </w:rPr>
      </w:pPr>
    </w:p>
    <w:p>
      <w:pPr>
        <w:ind w:left="200" w:right="20" w:firstLine="551"/>
        <w:spacing w:after="0" w:line="276" w:lineRule="auto"/>
        <w:rPr>
          <w:sz w:val="20"/>
          <w:szCs w:val="20"/>
          <w:color w:val="auto"/>
        </w:rPr>
      </w:pPr>
      <w:r>
        <w:rPr>
          <w:rFonts w:ascii="Arial" w:cs="Arial" w:eastAsia="Arial" w:hAnsi="Arial"/>
          <w:sz w:val="17"/>
          <w:szCs w:val="17"/>
          <w:color w:val="auto"/>
        </w:rPr>
        <w:t>Nalbuphine ER is an oral extended release formulation of nalbuphine. Nalbuphine is a mixed k-opioid receptor agonist and µ-opioid receptor antagonist that has been approved and marketed as an injectable for pain indications for more than 20 years in both the United States and Europe. The k-and µ-opioid receptors are known to be critical mediators of itch, cough and certain movement disorders. Nalbuphine’s mechanism of action also mitigates the risk of abuse associated with µ-opioid agonists because it antagonizes, or blocks, the µ-opioid receptor. Nalbuphine is currently the only opioid approved for marketing that is not classified as a controlled substance in the United States or Europe.</w:t>
      </w:r>
    </w:p>
    <w:p>
      <w:pPr>
        <w:spacing w:after="0" w:line="132" w:lineRule="exact"/>
        <w:rPr>
          <w:sz w:val="20"/>
          <w:szCs w:val="20"/>
          <w:color w:val="auto"/>
        </w:rPr>
      </w:pPr>
    </w:p>
    <w:p>
      <w:pPr>
        <w:ind w:left="200" w:right="120" w:firstLine="551"/>
        <w:spacing w:after="0" w:line="257" w:lineRule="auto"/>
        <w:rPr>
          <w:sz w:val="20"/>
          <w:szCs w:val="20"/>
          <w:color w:val="auto"/>
        </w:rPr>
      </w:pPr>
      <w:r>
        <w:rPr>
          <w:rFonts w:ascii="Arial" w:cs="Arial" w:eastAsia="Arial" w:hAnsi="Arial"/>
          <w:sz w:val="18"/>
          <w:szCs w:val="18"/>
          <w:color w:val="auto"/>
        </w:rPr>
        <w:t>On April 22, 2019, the Company filed an amendment to the Company’s amended and restated certificate of incorporation to effect a one-for 9.5 reverse stock split of the Company’s common stock, which resulted in a proportional adjustment to the existing conversion ratios for each series of the Company’s redeemable convertible preferred stock. Accordingly, all share and per share amounts in the condensed consolidated financial statements have been retrospectively adjusted, where applicable, to reflect the effect of the reverse stock split and adjustments of the redeemable convertible preferred stock conversion for all periods presented.</w:t>
      </w:r>
    </w:p>
    <w:p>
      <w:pPr>
        <w:spacing w:after="0" w:line="148" w:lineRule="exact"/>
        <w:rPr>
          <w:sz w:val="20"/>
          <w:szCs w:val="20"/>
          <w:color w:val="auto"/>
        </w:rPr>
      </w:pPr>
    </w:p>
    <w:p>
      <w:pPr>
        <w:ind w:left="200" w:firstLine="551"/>
        <w:spacing w:after="0" w:line="302" w:lineRule="auto"/>
        <w:rPr>
          <w:sz w:val="20"/>
          <w:szCs w:val="20"/>
          <w:color w:val="auto"/>
        </w:rPr>
      </w:pPr>
      <w:r>
        <w:rPr>
          <w:rFonts w:ascii="Arial" w:cs="Arial" w:eastAsia="Arial" w:hAnsi="Arial"/>
          <w:sz w:val="16"/>
          <w:szCs w:val="16"/>
          <w:color w:val="auto"/>
        </w:rPr>
        <w:t>On May 9, 2019, the Company completed its initial public offering (“IPO”) and a concurrent private placement in which it issued and sold an aggregate of 7,000,000 shares of common stock at an offering price of $10.00 per share, for net proceeds of approximately $62.6 million, after deducting aggregate underwriting discounts and commissions and private placement agent fees of $4.9 million and estimated expenses of approximately $2.5 million. The Company’s common stock began trading on The Nasdaq Global Market on May 7, 2019 under the ticker symbol “TRVI.”</w:t>
      </w:r>
    </w:p>
    <w:p>
      <w:pPr>
        <w:spacing w:after="0" w:line="127" w:lineRule="exact"/>
        <w:rPr>
          <w:sz w:val="20"/>
          <w:szCs w:val="20"/>
          <w:color w:val="auto"/>
        </w:rPr>
      </w:pPr>
    </w:p>
    <w:p>
      <w:pPr>
        <w:ind w:left="200" w:right="280" w:firstLine="551"/>
        <w:spacing w:after="0" w:line="264" w:lineRule="auto"/>
        <w:rPr>
          <w:sz w:val="20"/>
          <w:szCs w:val="20"/>
          <w:color w:val="auto"/>
        </w:rPr>
      </w:pPr>
      <w:r>
        <w:rPr>
          <w:rFonts w:ascii="Arial" w:cs="Arial" w:eastAsia="Arial" w:hAnsi="Arial"/>
          <w:sz w:val="18"/>
          <w:szCs w:val="18"/>
          <w:color w:val="auto"/>
        </w:rPr>
        <w:t>Upon the closing of the IPO, the Company’s outstanding redeemable convertible preferred stock automatically converted into shares of the Company’s common stock. Upon such conversion of the redeemable convertible preferred stock, the Company reclassified the carrying values of the redeemable convertible preferred stock to common stock and additional paid-in capital.</w:t>
      </w:r>
    </w:p>
    <w:p>
      <w:pPr>
        <w:spacing w:after="0" w:line="141" w:lineRule="exact"/>
        <w:rPr>
          <w:sz w:val="20"/>
          <w:szCs w:val="20"/>
          <w:color w:val="auto"/>
        </w:rPr>
      </w:pPr>
    </w:p>
    <w:p>
      <w:pPr>
        <w:ind w:left="200" w:right="20" w:firstLine="551"/>
        <w:spacing w:after="0" w:line="288" w:lineRule="auto"/>
        <w:rPr>
          <w:sz w:val="20"/>
          <w:szCs w:val="20"/>
          <w:color w:val="auto"/>
        </w:rPr>
      </w:pPr>
      <w:r>
        <w:rPr>
          <w:rFonts w:ascii="Arial" w:cs="Arial" w:eastAsia="Arial" w:hAnsi="Arial"/>
          <w:sz w:val="16"/>
          <w:szCs w:val="16"/>
          <w:color w:val="auto"/>
        </w:rPr>
        <w:t>The accompanying financial statements have been prepared on the basis of continuity of operations, realization of assets and the satisfaction of liabilities and commitments in the ordinary course of business. Since inception, the Company has financed its operations primarily through private placements of its redeemable convertible preferred stock and convertible notes as well as borrowings under a term loan facility, and most recently, with proceeds from the IPO and concurrent private placement completed in May 2019. The Company has incurred recurring losses since inception, including net losses attributable to the Company of $4.8 million for the three months ended March 31, 2019 (unaudited) and $20.5 million for the year ended December 31, 2018. In addition, as of March 31, 2019 (unaudited), the Company had an accumulated deficit of $115.5 million. The Company expects to continue to generate operating losses for the foreseeable future. As of June 13, 2019, the issuance date of these Condensed Consolidated Financial Statements, the Company expects that its cash and cash equivalents of $12.9 million as of March 31, 2019 (unaudited), together with the $62.6 million in net proceeds from the IPO and concurrent private placement, will be sufficient to fund its operating expenses and capital expenditure requirements through at least 12 months from the date of issuance of these Condensed Consolidated Financial Statements.</w:t>
      </w:r>
    </w:p>
    <w:p>
      <w:pPr>
        <w:spacing w:after="0" w:line="314" w:lineRule="exact"/>
        <w:rPr>
          <w:sz w:val="20"/>
          <w:szCs w:val="20"/>
          <w:color w:val="auto"/>
        </w:rPr>
      </w:pPr>
    </w:p>
    <w:p>
      <w:pPr>
        <w:ind w:left="760" w:right="7100" w:hanging="556"/>
        <w:spacing w:after="0" w:line="407" w:lineRule="auto"/>
        <w:tabs>
          <w:tab w:leader="none" w:pos="74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66" w:lineRule="exact"/>
        <w:rPr>
          <w:sz w:val="20"/>
          <w:szCs w:val="20"/>
          <w:color w:val="auto"/>
        </w:rPr>
      </w:pPr>
    </w:p>
    <w:p>
      <w:pPr>
        <w:ind w:left="200" w:right="660" w:firstLine="551"/>
        <w:spacing w:after="0" w:line="342" w:lineRule="auto"/>
        <w:rPr>
          <w:sz w:val="20"/>
          <w:szCs w:val="20"/>
          <w:color w:val="auto"/>
        </w:rPr>
      </w:pPr>
      <w:r>
        <w:rPr>
          <w:rFonts w:ascii="Arial" w:cs="Arial" w:eastAsia="Arial" w:hAnsi="Arial"/>
          <w:sz w:val="16"/>
          <w:szCs w:val="16"/>
          <w:color w:val="auto"/>
        </w:rPr>
        <w:t>The accompanying unaudited interim condensed consolidated financial statements for the three months ended March 31, 2019 and 2018 included herein, have been prepared in accordance with accounting principles generally accepted in the United States of America</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(“GAAP”) for interim financial information and to the rules and regulations of the Securities and Exchange Commission (“SEC”) for interim information. Certain information and footnote disclosure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for the year ended December 31, 2018 included in the final prospectus for the IPO filed with the SEC on May 8, 2019. In the opinion of management, the unaudited condensed consolidated financial statements reflect all adjustments, which include normal recurring adjustments necessary for the fair presentation of the Company’s interim financial statements presented. The results of operations for the interim periods are not necessarily indicative of the results expected for the full year or any subsequent period.</w:t>
      </w:r>
    </w:p>
    <w:p>
      <w:pPr>
        <w:spacing w:after="0" w:line="59" w:lineRule="exact"/>
        <w:rPr>
          <w:sz w:val="20"/>
          <w:szCs w:val="20"/>
          <w:color w:val="auto"/>
        </w:rPr>
      </w:pPr>
    </w:p>
    <w:p>
      <w:pPr>
        <w:ind w:left="200" w:right="620" w:firstLine="551"/>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Trevi Therapeutics, Inc. and its wholly-owned subsidiary Trevi Therapeutics Limited. Intercompany balances and transactions have been eliminated.</w:t>
      </w:r>
    </w:p>
    <w:p>
      <w:pPr>
        <w:spacing w:after="0" w:line="62" w:lineRule="exact"/>
        <w:rPr>
          <w:sz w:val="20"/>
          <w:szCs w:val="20"/>
          <w:color w:val="auto"/>
        </w:rPr>
      </w:pPr>
    </w:p>
    <w:p>
      <w:pPr>
        <w:ind w:left="200" w:right="60" w:firstLine="551"/>
        <w:spacing w:after="0" w:line="264" w:lineRule="auto"/>
        <w:rPr>
          <w:sz w:val="20"/>
          <w:szCs w:val="20"/>
          <w:color w:val="auto"/>
        </w:rPr>
      </w:pPr>
      <w:r>
        <w:rPr>
          <w:rFonts w:ascii="Arial" w:cs="Arial" w:eastAsia="Arial" w:hAnsi="Arial"/>
          <w:sz w:val="18"/>
          <w:szCs w:val="18"/>
          <w:color w:val="auto"/>
        </w:rPr>
        <w:t>All amounts presented are in thousands of dollars, except share and per share amounts, unless noted otherwise. The Company has evaluated events occurring subsequent to March 31, 2019 for potential recognition or disclosure in the condensed consolidated financial statements and concluded there were no subsequent events that required recognition or disclosure other than those provided.</w:t>
      </w:r>
    </w:p>
    <w:p>
      <w:pPr>
        <w:spacing w:after="0" w:line="2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right="40" w:firstLine="551"/>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expenses and the valuation of redeemable convertible preferred stock, common stock and stock-based awards. On an ongoing basis, management evaluates its estimates in light of changes in circumstances, facts and experience. Changes in estimates are recorded in the period in which they become known. Actual results could differ from those estimates.</w:t>
      </w:r>
    </w:p>
    <w:p>
      <w:pPr>
        <w:spacing w:after="0" w:line="28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left="200" w:right="160" w:firstLine="551"/>
        <w:spacing w:after="0" w:line="270" w:lineRule="auto"/>
        <w:rPr>
          <w:sz w:val="20"/>
          <w:szCs w:val="20"/>
          <w:color w:val="auto"/>
        </w:rPr>
      </w:pPr>
      <w:r>
        <w:rPr>
          <w:rFonts w:ascii="Arial" w:cs="Arial" w:eastAsia="Arial" w:hAnsi="Arial"/>
          <w:sz w:val="17"/>
          <w:szCs w:val="17"/>
          <w:color w:val="auto"/>
        </w:rPr>
        <w:t>The accompanying interim Condensed Consolidated Balance Sheet as of March 31, 2019 and the Condensed Consolidated Statements of Operations, the Condensed Consolidated Statements of Redeemable Convertible Preferred Stock and Stockholders’ Deficit and the Condensed Consolidated Statements of Cash Flows for the three months ended March 31, 2019 and 2018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March 31, 2019 and the results of its operations and its cash flows for the three months ended March 31, 2019 and 2018. The consolidated financial data and other information disclosed in these notes related to the three months ended March 31, 2019 and 2018 are unaudited. The results for the three months ended March 31, 2019 and 2018 are not necessarily indicative of results to be expected for the year ending December 31, 2019, any other interim period, or any future year or period.</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Company’s financial instruments consist of cash and cash equivalents, income tax receivable, accounts payable, accrued expenses, term loan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payable, Series C redeemable convertible preferred stock liability and obligation for loan success fee. Fair value estimates of these instruments are made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at a specific point in time, based on relevant market information. The carrying amounts of cash and cash equivalents, income tax receivable, accounts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payable and accrued expenses are generally considered to be representative of their respective fair values because of the short term nature of those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instruments. The fair value of the obligation for loan success fee is estimated utilizing a probability-weighted income approach, including variables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timing of the success event and other probability estimates. The fair value of Series C redeemable convertible preferred stock liability at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2018 has been estimated as the excess, if any, of the fair value of the Company’s Series C redeemable convertible preferred stock (“Series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 Preferred Stock”) over the purchase price of any outstanding tranches that may be sold pursuant to the Series C Preferred Stock purchase agreement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“Series C Purchase Agreement”).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firstLine="551"/>
        <w:spacing w:after="0" w:line="302" w:lineRule="auto"/>
        <w:rPr>
          <w:sz w:val="20"/>
          <w:szCs w:val="20"/>
          <w:color w:val="auto"/>
        </w:rPr>
      </w:pPr>
      <w:r>
        <w:rPr>
          <w:rFonts w:ascii="Arial" w:cs="Arial" w:eastAsia="Arial" w:hAnsi="Arial"/>
          <w:sz w:val="16"/>
          <w:szCs w:val="16"/>
          <w:color w:val="auto"/>
        </w:rPr>
        <w:t xml:space="preserve">Current accounting guidance defines fair value, establishes a framework for measuring fair value in accordance with Accounting Standards Codification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760" w:right="200"/>
        <w:spacing w:after="0" w:line="264"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73" w:lineRule="exact"/>
        <w:rPr>
          <w:sz w:val="20"/>
          <w:szCs w:val="20"/>
          <w:color w:val="auto"/>
        </w:rPr>
      </w:pPr>
    </w:p>
    <w:p>
      <w:pPr>
        <w:ind w:left="760" w:right="320"/>
        <w:spacing w:after="0" w:line="277"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the financial liabilities measured at fair value on a recurring basis as of March 31, 2019 (unaudited)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December 31, 2018, and the basis for that measurement, by level within the fair value hierarchy </w:t>
      </w:r>
      <w:r>
        <w:rPr>
          <w:rFonts w:ascii="Arial" w:cs="Arial" w:eastAsia="Arial" w:hAnsi="Arial"/>
          <w:sz w:val="18"/>
          <w:szCs w:val="18"/>
          <w:i w:val="1"/>
          <w:iCs w:val="1"/>
          <w:color w:val="auto"/>
        </w:rPr>
        <w:t>(Note 6 and 8)</w:t>
      </w:r>
      <w:r>
        <w:rPr>
          <w:rFonts w:ascii="Arial" w:cs="Arial" w:eastAsia="Arial" w:hAnsi="Arial"/>
          <w:sz w:val="18"/>
          <w:szCs w:val="18"/>
          <w:color w:val="auto"/>
        </w:rPr>
        <w:t>:</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Balance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Obligation for loan success fee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Balance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Series C redeemable convertible preferred stock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Obligation for loan success fee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represents a roll-forward of the fair value of Level 3 instruments (significant unobservable inputs):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20" w:type="dxa"/>
            <w:vAlign w:val="bottom"/>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7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Balance at beginning of year</w:t>
            </w:r>
            <w:r>
              <w:rPr>
                <w:rFonts w:ascii="Arial" w:cs="Arial" w:eastAsia="Arial" w:hAnsi="Arial"/>
                <w:sz w:val="15"/>
                <w:szCs w:val="15"/>
                <w:color w:val="auto"/>
              </w:rPr>
              <w:t>(1)</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1,556</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loss (gain) on Series C redeemable convertible preferred stock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Unrealized loss (gain) on obligation for loan success fee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settlements</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w:t>
            </w:r>
          </w:p>
        </w:tc>
      </w:tr>
      <w:tr>
        <w:trPr>
          <w:trHeight w:val="223"/>
        </w:trPr>
        <w:tc>
          <w:tcPr>
            <w:tcW w:w="826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00" w:lineRule="exact"/>
        <w:rPr>
          <w:sz w:val="20"/>
          <w:szCs w:val="20"/>
          <w:color w:val="auto"/>
        </w:rPr>
      </w:pPr>
    </w:p>
    <w:p>
      <w:pPr>
        <w:spacing w:after="0" w:line="326" w:lineRule="exact"/>
        <w:rPr>
          <w:sz w:val="20"/>
          <w:szCs w:val="20"/>
          <w:color w:val="auto"/>
        </w:rPr>
      </w:pPr>
    </w:p>
    <w:p>
      <w:pPr>
        <w:ind w:left="740" w:hanging="53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balance at January 1, 2018 relates to the obligation for the loan success fee.</w:t>
      </w:r>
    </w:p>
    <w:p>
      <w:pPr>
        <w:spacing w:after="0" w:line="225" w:lineRule="exact"/>
        <w:rPr>
          <w:rFonts w:ascii="Arial" w:cs="Arial" w:eastAsia="Arial" w:hAnsi="Arial"/>
          <w:sz w:val="18"/>
          <w:szCs w:val="18"/>
          <w:color w:val="auto"/>
        </w:rPr>
      </w:pPr>
    </w:p>
    <w:p>
      <w:pPr>
        <w:ind w:left="740" w:right="80" w:hanging="536"/>
        <w:spacing w:after="0" w:line="259"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net settlements in the three months ended March 31, 2019 (unaudited) relate to the $1,096 fair value of the Series C redeemable convertible preferred stock liability at the time the third tranche of Series C redeemable convertible preferred stock shares was issued. The net settlements in 2018 relate to the $1,009 fair value of the Series C redeemable convertible preferred stock liability at the time the second tranche of Series C redeemable convertible preferred stock shares was issued.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200" w:right="100" w:firstLine="551"/>
        <w:spacing w:after="0" w:line="255"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additional paid-in capital generated as a result of the offering. Should the planned equity financing no longer be considered probable of being consummated, the deferred offering costs will be expensed immediately as a charge to operating expenses in the Condensed Consolidated Statements of Operations. Deferred offering costs capitalized as of March 31, 2019 (unaudited) and December 31, 2018 were $1,885 and $1,534, respectively.</w:t>
      </w:r>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Basic and Diluted Net Income (Loss) per Common Share</w:t>
      </w:r>
    </w:p>
    <w:p>
      <w:pPr>
        <w:spacing w:after="0" w:line="117" w:lineRule="exact"/>
        <w:rPr>
          <w:sz w:val="20"/>
          <w:szCs w:val="20"/>
          <w:color w:val="auto"/>
        </w:rPr>
      </w:pPr>
    </w:p>
    <w:p>
      <w:pPr>
        <w:ind w:left="200" w:right="180" w:firstLine="551"/>
        <w:spacing w:after="0" w:line="273" w:lineRule="auto"/>
        <w:rPr>
          <w:sz w:val="20"/>
          <w:szCs w:val="20"/>
          <w:color w:val="auto"/>
        </w:rPr>
      </w:pPr>
      <w:r>
        <w:rPr>
          <w:rFonts w:ascii="Arial" w:cs="Arial" w:eastAsia="Arial" w:hAnsi="Arial"/>
          <w:sz w:val="17"/>
          <w:szCs w:val="17"/>
          <w:color w:val="auto"/>
        </w:rPr>
        <w:t>Basic and diluted net loss per common share outstanding is determined by dividing net loss, as adjusted for accretion and accrued dividends on redeemable convertible preferred stock, by the weighted average common shares outstanding during the period. For all periods presented, outstanding shares of Series A redeemable convertible preferred stock (“Series A Preferred Stock”), shares of Series B redeemable convertible preferred stock (“Series B Preferred Stock”), shares of Series C redeemable convertible preferred stock (“Series C Preferred Stock”) and shares issuable upon exercise of stock options have been excluded from the calculation because their effects would be anti-dilutive. Therefore, the weighted average common shares used to calculate both basic and diluted net loss per share are the same.</w:t>
      </w:r>
    </w:p>
    <w:p>
      <w:pPr>
        <w:spacing w:after="0" w:line="28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200" w:right="40" w:firstLine="551"/>
        <w:spacing w:after="0" w:line="279" w:lineRule="auto"/>
        <w:rPr>
          <w:sz w:val="20"/>
          <w:szCs w:val="20"/>
          <w:color w:val="auto"/>
        </w:rPr>
      </w:pPr>
      <w:r>
        <w:rPr>
          <w:rFonts w:ascii="Arial" w:cs="Arial" w:eastAsia="Arial" w:hAnsi="Arial"/>
          <w:sz w:val="17"/>
          <w:szCs w:val="17"/>
          <w:color w:val="auto"/>
        </w:rPr>
        <w:t xml:space="preserve">In February 2016, the Financial Accounting Standards Board (“FASB”) issued ASU No. 2016-02 titled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rights and obligations arising from both operating and capital leases to be reported on the Consolidated Balance Sheet, and to disclose quantitative and qualitative information about lease transactions (such as information about variable lease payments and options to renew and terminate leases). ASU 2016-02 is effective for fiscal years beginning after December 15, 2018, with early adoption permitted.</w:t>
      </w:r>
    </w:p>
    <w:p>
      <w:pPr>
        <w:spacing w:after="0" w:line="171" w:lineRule="exact"/>
        <w:rPr>
          <w:sz w:val="20"/>
          <w:szCs w:val="20"/>
          <w:color w:val="auto"/>
        </w:rPr>
      </w:pPr>
    </w:p>
    <w:p>
      <w:pPr>
        <w:ind w:left="200" w:right="400" w:firstLine="551"/>
        <w:spacing w:after="0" w:line="286" w:lineRule="auto"/>
        <w:rPr>
          <w:sz w:val="20"/>
          <w:szCs w:val="20"/>
          <w:color w:val="auto"/>
        </w:rPr>
      </w:pPr>
      <w:r>
        <w:rPr>
          <w:rFonts w:ascii="Arial" w:cs="Arial" w:eastAsia="Arial" w:hAnsi="Arial"/>
          <w:sz w:val="16"/>
          <w:szCs w:val="16"/>
          <w:color w:val="auto"/>
        </w:rPr>
        <w:t>The Company adopted this new guidance as of January 1, 2019, which included an assessment of the impact of the new guidance on the condensed consolidated financial statements. The Company utilized the transition practical expedient added by the FASB, which eliminated the requirement that entities apply the new lease standard to the comparative periods presented in the year of adoption. The Company elected to use the package of practical expedients that allowed the Company to not reassess: (1) whether any expired or existing contracts were or contained leases,</w:t>
      </w:r>
    </w:p>
    <w:p>
      <w:pPr>
        <w:spacing w:after="0" w:line="2" w:lineRule="exact"/>
        <w:rPr>
          <w:sz w:val="20"/>
          <w:szCs w:val="20"/>
          <w:color w:val="auto"/>
        </w:rPr>
      </w:pPr>
    </w:p>
    <w:p>
      <w:pPr>
        <w:ind w:left="200" w:right="20" w:firstLine="4"/>
        <w:spacing w:after="0" w:line="252" w:lineRule="auto"/>
        <w:tabs>
          <w:tab w:leader="none" w:pos="45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lease classification for any expired or existing leases and (3) initial direct costs for any expired or existing leases. The Company additionally used the practical expedient that allows lessees to treat the lease and non-lease components of leases as a single lease component. The adoption of this standard resulted in the recognition of a right-of-use asset of approximately $379 and related lease liabilities of approximately $424 related to the Company’s operating lease commitments on the Condensed Consolidated Balance Sheet as of January 1, 2019 </w:t>
      </w:r>
      <w:r>
        <w:rPr>
          <w:rFonts w:ascii="Arial" w:cs="Arial" w:eastAsia="Arial" w:hAnsi="Arial"/>
          <w:sz w:val="18"/>
          <w:szCs w:val="18"/>
          <w:i w:val="1"/>
          <w:iCs w:val="1"/>
          <w:color w:val="auto"/>
        </w:rPr>
        <w:t>(Note 4).</w:t>
      </w:r>
      <w:r>
        <w:rPr>
          <w:rFonts w:ascii="Arial" w:cs="Arial" w:eastAsia="Arial" w:hAnsi="Arial"/>
          <w:sz w:val="18"/>
          <w:szCs w:val="18"/>
          <w:color w:val="auto"/>
        </w:rPr>
        <w:t xml:space="preserve"> The impact of adoption of the new leasing standard did not have a material impact on the condensed consolidated statement of operations during the three months ended March 31, 2019 (unaudited).</w:t>
      </w:r>
    </w:p>
    <w:p>
      <w:pPr>
        <w:spacing w:after="0" w:line="30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right="140" w:firstLine="551"/>
        <w:spacing w:after="0" w:line="312" w:lineRule="auto"/>
        <w:rPr>
          <w:sz w:val="20"/>
          <w:szCs w:val="20"/>
          <w:color w:val="auto"/>
        </w:rPr>
      </w:pPr>
      <w:r>
        <w:rPr>
          <w:rFonts w:ascii="Arial" w:cs="Arial" w:eastAsia="Arial" w:hAnsi="Arial"/>
          <w:sz w:val="16"/>
          <w:szCs w:val="16"/>
          <w:color w:val="auto"/>
        </w:rPr>
        <w:t>There have been no new accounting pronouncements during the three months ended March 31, 2019, as compared to the recent accounting pronouncements described in Note 2 to the Company’s audited consolidated financial statements for the year ended December 31, 2018 included in the final prospectus for the IPO, which could be expected to materially impact the Company’s unaudited condensed consolidated financial statements.</w:t>
      </w:r>
    </w:p>
    <w:p>
      <w:pPr>
        <w:spacing w:after="0" w:line="291" w:lineRule="exact"/>
        <w:rPr>
          <w:sz w:val="20"/>
          <w:szCs w:val="20"/>
          <w:color w:val="auto"/>
        </w:rPr>
      </w:pPr>
    </w:p>
    <w:p>
      <w:pPr>
        <w:ind w:left="740" w:hanging="536"/>
        <w:spacing w:after="0"/>
        <w:tabs>
          <w:tab w:leader="none" w:pos="7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121"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Prepaid expenses consist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38"/>
              <w:spacing w:after="0"/>
              <w:rPr>
                <w:sz w:val="20"/>
                <w:szCs w:val="20"/>
                <w:color w:val="auto"/>
              </w:rPr>
            </w:pPr>
            <w:r>
              <w:rPr>
                <w:rFonts w:ascii="Arial" w:cs="Arial" w:eastAsia="Arial" w:hAnsi="Arial"/>
                <w:sz w:val="14"/>
                <w:szCs w:val="14"/>
                <w:b w:val="1"/>
                <w:bCs w:val="1"/>
                <w:color w:val="auto"/>
                <w:w w:val="85"/>
              </w:rPr>
              <w:t>As of</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5"/>
              </w:rPr>
              <w:t>March 31,</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Prepaid R&amp;D payments</w:t>
            </w:r>
          </w:p>
        </w:tc>
        <w:tc>
          <w:tcPr>
            <w:tcW w:w="4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Prepaid corporate insurance</w:t>
            </w:r>
          </w:p>
        </w:tc>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340" w:type="dxa"/>
            <w:vAlign w:val="bottom"/>
            <w:vMerge w:val="restart"/>
          </w:tcPr>
          <w:p>
            <w:pPr>
              <w:jc w:val="right"/>
              <w:ind w:right="243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4"/>
          <w:szCs w:val="14"/>
          <w:b w:val="1"/>
          <w:bCs w:val="1"/>
          <w:color w:val="auto"/>
        </w:rPr>
        <w:t>Leases</w:t>
      </w:r>
    </w:p>
    <w:p>
      <w:pPr>
        <w:spacing w:after="0" w:line="200" w:lineRule="exact"/>
        <w:rPr>
          <w:sz w:val="20"/>
          <w:szCs w:val="20"/>
          <w:color w:val="auto"/>
        </w:rPr>
      </w:pPr>
    </w:p>
    <w:p>
      <w:pPr>
        <w:spacing w:after="0" w:line="245" w:lineRule="exact"/>
        <w:rPr>
          <w:sz w:val="20"/>
          <w:szCs w:val="20"/>
          <w:color w:val="auto"/>
        </w:rPr>
      </w:pPr>
    </w:p>
    <w:p>
      <w:pPr>
        <w:ind w:left="200" w:right="240" w:firstLine="551"/>
        <w:spacing w:after="0" w:line="255" w:lineRule="auto"/>
        <w:rPr>
          <w:sz w:val="20"/>
          <w:szCs w:val="20"/>
          <w:color w:val="auto"/>
        </w:rPr>
      </w:pPr>
      <w:r>
        <w:rPr>
          <w:rFonts w:ascii="Arial" w:cs="Arial" w:eastAsia="Arial" w:hAnsi="Arial"/>
          <w:sz w:val="18"/>
          <w:szCs w:val="18"/>
          <w:color w:val="auto"/>
        </w:rPr>
        <w:t>Effective March 1, 2013, the Company entered into a lease for office space in New Haven, CT and commencing March 1, 2018, the Company entered into the First Amendment to the lease. The leased space is approximately 5,600 square feet and has a term of 60 months. The lease requires monthly lease payments ranging from approximately $10 to $11 through February 1, 2023 and provides for two designated months of free rent. The Company has the option to terminate the lease after 36 months by providing six months’ notice along with a payment to the landlord in an amount representing the unamortized cost of tenant improvements plus the unamortized broker’s commission, both paid by the landlord, and as defined in the agreement.</w:t>
      </w:r>
    </w:p>
    <w:p>
      <w:pPr>
        <w:spacing w:after="0" w:line="301" w:lineRule="exact"/>
        <w:rPr>
          <w:sz w:val="20"/>
          <w:szCs w:val="20"/>
          <w:color w:val="auto"/>
        </w:rPr>
      </w:pPr>
    </w:p>
    <w:p>
      <w:pPr>
        <w:ind w:left="200" w:right="200" w:firstLine="551"/>
        <w:spacing w:after="0" w:line="276" w:lineRule="auto"/>
        <w:rPr>
          <w:sz w:val="20"/>
          <w:szCs w:val="20"/>
          <w:color w:val="auto"/>
        </w:rPr>
      </w:pPr>
      <w:r>
        <w:rPr>
          <w:rFonts w:ascii="Arial" w:cs="Arial" w:eastAsia="Arial" w:hAnsi="Arial"/>
          <w:sz w:val="17"/>
          <w:szCs w:val="17"/>
          <w:color w:val="auto"/>
        </w:rPr>
        <w:t>Under ASC 842, the Company determines if an arrangement is a lease at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the balance sheet. The operating right-of-use asset represents the Company’s right of use to an underlying asset for the term of the lease and the operating liability represents the Company’s obligation to make lease payments arising from the lease.</w:t>
      </w:r>
    </w:p>
    <w:p>
      <w:pPr>
        <w:spacing w:after="0" w:line="105" w:lineRule="exact"/>
        <w:rPr>
          <w:sz w:val="20"/>
          <w:szCs w:val="20"/>
          <w:color w:val="auto"/>
        </w:rPr>
      </w:pPr>
    </w:p>
    <w:p>
      <w:pPr>
        <w:ind w:left="200" w:right="20" w:firstLine="551"/>
        <w:spacing w:after="0" w:line="293" w:lineRule="auto"/>
        <w:rPr>
          <w:sz w:val="20"/>
          <w:szCs w:val="20"/>
          <w:color w:val="auto"/>
        </w:rPr>
      </w:pPr>
      <w:r>
        <w:rPr>
          <w:rFonts w:ascii="Arial" w:cs="Arial" w:eastAsia="Arial" w:hAnsi="Arial"/>
          <w:sz w:val="16"/>
          <w:szCs w:val="16"/>
          <w:color w:val="auto"/>
        </w:rPr>
        <w:t>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which is updated periodically, based on information available at the commencement date of the lease to determine the present value of the lease payments. As of March 31, 2019, the incremental borrowing rate used on leases was 13.0%. The right-of-use asset also includes any lease payments related to initial direct costs and prepayments and excludes lease incentives. Lease expense is recognized on a straight line basis over the lease term. The Company had no new leases for the three months ended March 31, 2019 (unaudited).</w:t>
      </w:r>
    </w:p>
    <w:p>
      <w:pPr>
        <w:spacing w:after="0" w:line="97" w:lineRule="exact"/>
        <w:rPr>
          <w:sz w:val="20"/>
          <w:szCs w:val="20"/>
          <w:color w:val="auto"/>
        </w:rPr>
      </w:pPr>
    </w:p>
    <w:p>
      <w:pPr>
        <w:ind w:left="200" w:right="260" w:firstLine="551"/>
        <w:spacing w:after="0" w:line="264" w:lineRule="auto"/>
        <w:rPr>
          <w:sz w:val="20"/>
          <w:szCs w:val="20"/>
          <w:color w:val="auto"/>
        </w:rPr>
      </w:pPr>
      <w:r>
        <w:rPr>
          <w:rFonts w:ascii="Arial" w:cs="Arial" w:eastAsia="Arial" w:hAnsi="Arial"/>
          <w:sz w:val="18"/>
          <w:szCs w:val="18"/>
          <w:color w:val="auto"/>
        </w:rPr>
        <w:t>The Company’s operating leases consist of real estate and equipment and have remaining terms ranging from 1 year to approximately 4 years. The Company has no financing leases. The following table summarizes the Company’s operating leases as presented on its condensed consolidated balance sheet as of March 31, 2019 (unaudited):</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Operating lease right-of-use asset</w:t>
            </w:r>
          </w:p>
        </w:tc>
        <w:tc>
          <w:tcPr>
            <w:tcW w:w="3740" w:type="dxa"/>
            <w:vAlign w:val="bottom"/>
            <w:gridSpan w:val="2"/>
          </w:tcPr>
          <w:p>
            <w:pPr>
              <w:jc w:val="right"/>
              <w:ind w:right="12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w:t>
            </w:r>
          </w:p>
        </w:tc>
        <w:tc>
          <w:tcPr>
            <w:tcW w:w="2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80"/>
              <w:spacing w:after="0"/>
              <w:rPr>
                <w:sz w:val="20"/>
                <w:szCs w:val="20"/>
                <w:color w:val="auto"/>
              </w:rPr>
            </w:pPr>
            <w:r>
              <w:rPr>
                <w:rFonts w:ascii="Arial" w:cs="Arial" w:eastAsia="Arial" w:hAnsi="Arial"/>
                <w:sz w:val="18"/>
                <w:szCs w:val="18"/>
                <w:color w:val="auto"/>
              </w:rPr>
              <w:t>Operating lease liabilities, current portion</w:t>
            </w:r>
          </w:p>
        </w:tc>
        <w:tc>
          <w:tcPr>
            <w:tcW w:w="3740" w:type="dxa"/>
            <w:vAlign w:val="bottom"/>
            <w:gridSpan w:val="2"/>
          </w:tcPr>
          <w:p>
            <w:pPr>
              <w:jc w:val="right"/>
              <w:ind w:right="12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lease liabilities, long term portion</w:t>
            </w:r>
          </w:p>
        </w:tc>
        <w:tc>
          <w:tcPr>
            <w:tcW w:w="24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700" w:type="dxa"/>
            <w:vAlign w:val="bottom"/>
          </w:tcPr>
          <w:p>
            <w:pPr>
              <w:ind w:left="300"/>
              <w:spacing w:after="0"/>
              <w:rPr>
                <w:sz w:val="20"/>
                <w:szCs w:val="20"/>
                <w:color w:val="auto"/>
              </w:rPr>
            </w:pPr>
            <w:r>
              <w:rPr>
                <w:rFonts w:ascii="Arial" w:cs="Arial" w:eastAsia="Arial" w:hAnsi="Arial"/>
                <w:sz w:val="18"/>
                <w:szCs w:val="18"/>
                <w:color w:val="auto"/>
              </w:rPr>
              <w:t>Total operating lease liabilities</w:t>
            </w:r>
          </w:p>
        </w:tc>
        <w:tc>
          <w:tcPr>
            <w:tcW w:w="3740" w:type="dxa"/>
            <w:vAlign w:val="bottom"/>
            <w:gridSpan w:val="2"/>
          </w:tcPr>
          <w:p>
            <w:pPr>
              <w:jc w:val="right"/>
              <w:ind w:right="12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20"/>
                <w:szCs w:val="20"/>
                <w:color w:val="auto"/>
              </w:rPr>
            </w:pPr>
          </w:p>
        </w:tc>
      </w:tr>
    </w:tbl>
    <w:p>
      <w:pPr>
        <w:spacing w:after="0" w:line="31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Future minimum lease payments under the operating leases are as follows as of March 31, 2019 (unaudited):</w:t>
      </w:r>
    </w:p>
    <w:p>
      <w:pPr>
        <w:spacing w:after="0" w:line="200" w:lineRule="exact"/>
        <w:rPr>
          <w:sz w:val="20"/>
          <w:szCs w:val="20"/>
          <w:color w:val="auto"/>
        </w:rPr>
      </w:pPr>
    </w:p>
    <w:p>
      <w:pPr>
        <w:spacing w:after="0" w:line="24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700" w:type="dxa"/>
            <w:vAlign w:val="bottom"/>
            <w:gridSpan w:val="2"/>
            <w:shd w:val="clear" w:color="auto" w:fill="CCEEFF"/>
          </w:tcPr>
          <w:p>
            <w:pPr>
              <w:jc w:val="right"/>
              <w:ind w:right="1525"/>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533</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Less: imputed discount rate</w:t>
            </w:r>
          </w:p>
        </w:tc>
        <w:tc>
          <w:tcPr>
            <w:tcW w:w="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152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551"/>
        <w:spacing w:after="0" w:line="286" w:lineRule="auto"/>
        <w:rPr>
          <w:sz w:val="20"/>
          <w:szCs w:val="20"/>
          <w:color w:val="auto"/>
        </w:rPr>
      </w:pPr>
      <w:r>
        <w:rPr>
          <w:rFonts w:ascii="Arial" w:cs="Arial" w:eastAsia="Arial" w:hAnsi="Arial"/>
          <w:sz w:val="17"/>
          <w:szCs w:val="17"/>
          <w:color w:val="auto"/>
        </w:rPr>
        <w:t>Lease expense under operating leases, including leases of office equipment, was $31 and $20 for the three months ended March 31, 2019 and 2018 (unaudited), respectively. Lease payments made for the three months ended March 31, 2019 and 2018 (unaudited) were $34 and $26, respectively, with such amounts reflected the Condensed Consolidated Statement of Cash Flows in operating activities.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4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Accrued Expenses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expenses consist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w w:val="85"/>
              </w:rPr>
              <w:t>As of</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March 31,</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53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projects</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w:t>
            </w:r>
          </w:p>
        </w:tc>
        <w:tc>
          <w:tcPr>
            <w:tcW w:w="2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40" w:hanging="536"/>
        <w:spacing w:after="0"/>
        <w:tabs>
          <w:tab w:leader="none" w:pos="7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Term Loan Payable</w:t>
      </w:r>
    </w:p>
    <w:p>
      <w:pPr>
        <w:spacing w:after="0" w:line="229" w:lineRule="exact"/>
        <w:rPr>
          <w:sz w:val="20"/>
          <w:szCs w:val="20"/>
          <w:color w:val="auto"/>
        </w:rPr>
      </w:pPr>
    </w:p>
    <w:p>
      <w:pPr>
        <w:ind w:left="200" w:right="100" w:firstLine="551"/>
        <w:spacing w:after="0" w:line="273" w:lineRule="auto"/>
        <w:rPr>
          <w:sz w:val="20"/>
          <w:szCs w:val="20"/>
          <w:color w:val="auto"/>
        </w:rPr>
      </w:pPr>
      <w:r>
        <w:rPr>
          <w:rFonts w:ascii="Arial" w:cs="Arial" w:eastAsia="Arial" w:hAnsi="Arial"/>
          <w:sz w:val="17"/>
          <w:szCs w:val="17"/>
          <w:color w:val="auto"/>
        </w:rPr>
        <w:t>On December 29, 2014, the Company entered into a loan and security agreement (the “Loan Agreement”) with Solar Capital, Ltd. (“Solar”) and Square 1 Bank (“Square 1”), together (the “Lenders”), which provided $15.0 million in debt financing (the “Term Loan”). On June 29, 2018, the maturity date of the Loan Agreement, the Company made its final payments of principal and interest due to the Lenders in connection with the Term Loan, as well as $450 in full payment of the final fee and $82 in full payment of the amendment fee. As a result, there were no outstanding borrowings under the Term Loan as of March 31, 2019 or December 31, 2018, and the Company’s obligations to the Lenders under the Loan Agreement, other than the obligations under the Success Fee Agreement as described below, were terminated.</w:t>
      </w:r>
    </w:p>
    <w:p>
      <w:pPr>
        <w:spacing w:after="0" w:line="178" w:lineRule="exact"/>
        <w:rPr>
          <w:sz w:val="20"/>
          <w:szCs w:val="20"/>
          <w:color w:val="auto"/>
        </w:rPr>
      </w:pPr>
    </w:p>
    <w:p>
      <w:pPr>
        <w:ind w:left="200" w:right="40" w:firstLine="551"/>
        <w:spacing w:after="0" w:line="255" w:lineRule="auto"/>
        <w:rPr>
          <w:sz w:val="20"/>
          <w:szCs w:val="20"/>
          <w:color w:val="auto"/>
        </w:rPr>
      </w:pPr>
      <w:r>
        <w:rPr>
          <w:rFonts w:ascii="Arial" w:cs="Arial" w:eastAsia="Arial" w:hAnsi="Arial"/>
          <w:sz w:val="18"/>
          <w:szCs w:val="18"/>
          <w:color w:val="auto"/>
        </w:rPr>
        <w:t>Under the terms of the Loan Agreement, the Company was obligated to pay the Lenders a Success Fee (“Success Fee”) upon the first occurrence of an Exit Event, as defined. The Exit Event included, among other things, the completion of a public offering of common stock. The amount of the Success Fee was equal to 4.5% of the $15.0 million Term Loan funded. The Success Fee Agreement was scheduled to terminate on the earlier to occur of (a) payment in full of the Success Fee pursuant to its terms, or (b) December 29, 2021. The completion of the IPO on May 9, 2019 (see Note 1) triggered the Success Fee payment obligation and the Company made payments to its Lenders totaling $675 in May 2019. Upon such payments, the Success Fee Agreement terminated.</w:t>
      </w:r>
    </w:p>
    <w:p>
      <w:pPr>
        <w:spacing w:after="0" w:line="193" w:lineRule="exact"/>
        <w:rPr>
          <w:sz w:val="20"/>
          <w:szCs w:val="20"/>
          <w:color w:val="auto"/>
        </w:rPr>
      </w:pPr>
    </w:p>
    <w:p>
      <w:pPr>
        <w:ind w:left="200" w:right="60" w:firstLine="551"/>
        <w:spacing w:after="0" w:line="289" w:lineRule="auto"/>
        <w:rPr>
          <w:sz w:val="20"/>
          <w:szCs w:val="20"/>
          <w:color w:val="auto"/>
        </w:rPr>
      </w:pPr>
      <w:r>
        <w:rPr>
          <w:rFonts w:ascii="Arial" w:cs="Arial" w:eastAsia="Arial" w:hAnsi="Arial"/>
          <w:sz w:val="16"/>
          <w:szCs w:val="16"/>
          <w:color w:val="auto"/>
        </w:rPr>
        <w:t>The Success Fee Agreement represented a free-standing financial instrument. Accordingly, the Company accounted for the Success Fee provision as a derivative under ASC 815, Derivatives and Hedging, and therefore recorded an obligation for loan success fee at its fair value on the closing date of each advance under the Loan Agreement. Upon recording such obligations for loan success fee, the Company also recorded an offsetting loan discount, which was accreted to interest expense in the Company’s Statements of Operations through the Term Loan’s maturity date. The Company adjusted these liabilities for the loan success fee to fair value at each reporting date they remain outstanding. The total fair value of these liabilities was determined to be $512 at March 31, 2019 and $460 at December 31, 2018. The Company recorded a non-cash charge in the amount of $52 and $12 for the three months ended March 31, 2019 and 2018, respectively, representing the changes in the fair value of these liabilities since their last measurement date. The non-cash charges are presented as other income (expense) in the Company’s Condensed Consolidated Statement of Operations. The obligation for loan success fee is presented as a non-current liability in the Company’s Condensed Consolidated Balance Sheet.</w:t>
      </w:r>
    </w:p>
    <w:p>
      <w:pPr>
        <w:spacing w:after="0" w:line="167" w:lineRule="exact"/>
        <w:rPr>
          <w:sz w:val="20"/>
          <w:szCs w:val="20"/>
          <w:color w:val="auto"/>
        </w:rPr>
      </w:pPr>
    </w:p>
    <w:p>
      <w:pPr>
        <w:ind w:left="200" w:right="20" w:firstLine="551"/>
        <w:spacing w:after="0" w:line="273" w:lineRule="auto"/>
        <w:rPr>
          <w:sz w:val="20"/>
          <w:szCs w:val="20"/>
          <w:color w:val="auto"/>
        </w:rPr>
      </w:pPr>
      <w:r>
        <w:rPr>
          <w:rFonts w:ascii="Arial" w:cs="Arial" w:eastAsia="Arial" w:hAnsi="Arial"/>
          <w:sz w:val="17"/>
          <w:szCs w:val="17"/>
          <w:color w:val="auto"/>
        </w:rPr>
        <w:t>The fair values of the obligation for loan success fee have been estimated utilizing a probability-weighted income approach, including variables for the timing of the success event and other probability estimates. For the fair value calculations at March 31, 2019, significant inputs included the Success Fee rate of 4.5% of the Term Loan funded; a discount rate of 13.0%; weighted estimated time to Exit Event ranging from 0.1 to 2.9 years and probability estimates of several potential Exit Events ranging from 5.0% to 50.0%. For the fair value calculations at December 31, 2018, significant inputs included the Success Fee rate of 4.5% of the Term Loan funded; a discount rate of 13.0%; weighted estimated time to Exit Event ranging from 0.4 to 3.1 years and probability estimates of several potential Exit Events ranging from 5.0% to 40.0%.</w:t>
      </w:r>
    </w:p>
    <w:p>
      <w:pPr>
        <w:spacing w:after="0" w:line="178" w:lineRule="exact"/>
        <w:rPr>
          <w:sz w:val="20"/>
          <w:szCs w:val="20"/>
          <w:color w:val="auto"/>
        </w:rPr>
      </w:pPr>
    </w:p>
    <w:p>
      <w:pPr>
        <w:ind w:left="200" w:right="20" w:firstLine="551"/>
        <w:spacing w:after="0" w:line="264" w:lineRule="auto"/>
        <w:rPr>
          <w:sz w:val="20"/>
          <w:szCs w:val="20"/>
          <w:color w:val="auto"/>
        </w:rPr>
      </w:pPr>
      <w:r>
        <w:rPr>
          <w:rFonts w:ascii="Arial" w:cs="Arial" w:eastAsia="Arial" w:hAnsi="Arial"/>
          <w:sz w:val="18"/>
          <w:szCs w:val="18"/>
          <w:color w:val="auto"/>
        </w:rPr>
        <w:t>Interest expense on the Term Loan, comprised of interest payments, amortization of financing costs, accrual of final and amendment fees, and accretion of success fee are shown below for the three months ended March 31, 2018. There was no such interest expense on the Term Loan for the three months ended March 31, 2019.</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Amortization of financing costs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Accrual of final and amendment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699770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Accretion of success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40" w:hanging="536"/>
        <w:spacing w:after="0"/>
        <w:tabs>
          <w:tab w:leader="none" w:pos="7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Three Months Ended</w:t>
      </w:r>
    </w:p>
    <w:p>
      <w:pPr>
        <w:jc w:val="center"/>
        <w:ind w:right="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3"/>
              <w:spacing w:after="0" w:line="142" w:lineRule="exact"/>
              <w:rPr>
                <w:sz w:val="20"/>
                <w:szCs w:val="20"/>
                <w:color w:val="auto"/>
              </w:rPr>
            </w:pPr>
            <w:r>
              <w:rPr>
                <w:rFonts w:ascii="Arial" w:cs="Arial" w:eastAsia="Arial" w:hAnsi="Arial"/>
                <w:sz w:val="14"/>
                <w:szCs w:val="14"/>
                <w:b w:val="1"/>
                <w:bCs w:val="1"/>
                <w:color w:val="auto"/>
              </w:rPr>
              <w:t>2018</w:t>
            </w:r>
          </w:p>
        </w:tc>
      </w:tr>
      <w:tr>
        <w:trPr>
          <w:trHeight w:val="195"/>
        </w:trPr>
        <w:tc>
          <w:tcPr>
            <w:tcW w:w="20" w:type="dxa"/>
            <w:vAlign w:val="bottom"/>
          </w:tcPr>
          <w:p>
            <w:pPr>
              <w:spacing w:after="0"/>
              <w:rPr>
                <w:sz w:val="16"/>
                <w:szCs w:val="16"/>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87" w:lineRule="exact"/>
        <w:rPr>
          <w:sz w:val="20"/>
          <w:szCs w:val="20"/>
          <w:color w:val="auto"/>
        </w:rPr>
      </w:pPr>
    </w:p>
    <w:p>
      <w:pPr>
        <w:sectPr>
          <w:pgSz w:w="11900" w:h="16838" w:orient="portrait"/>
          <w:cols w:equalWidth="0" w:num="2">
            <w:col w:w="8700" w:space="720"/>
            <w:col w:w="1820"/>
          </w:cols>
          <w:pgMar w:left="240" w:top="459" w:right="419" w:bottom="1440" w:gutter="0" w:footer="0" w:header="0"/>
          <w:type w:val="continuous"/>
        </w:sectPr>
      </w:pPr>
    </w:p>
    <w:p>
      <w:pPr>
        <w:ind w:left="200" w:right="160" w:firstLine="551"/>
        <w:spacing w:after="0" w:line="277" w:lineRule="auto"/>
        <w:rPr>
          <w:sz w:val="20"/>
          <w:szCs w:val="20"/>
          <w:color w:val="auto"/>
        </w:rPr>
      </w:pPr>
      <w:r>
        <w:rPr>
          <w:rFonts w:ascii="Arial" w:cs="Arial" w:eastAsia="Arial" w:hAnsi="Arial"/>
          <w:sz w:val="18"/>
          <w:szCs w:val="18"/>
          <w:color w:val="auto"/>
        </w:rPr>
        <w:t>As of March 31, 2019 (unaudited) and December 31, 2018, the Company’s certificate of incorporation, as amended and restated, authorized the Company to issue 101,929,904 shares, respectively, of common stock with a par value of $0.001 per share.</w:t>
      </w:r>
    </w:p>
    <w:p>
      <w:pPr>
        <w:spacing w:after="0" w:line="170" w:lineRule="exact"/>
        <w:rPr>
          <w:sz w:val="20"/>
          <w:szCs w:val="20"/>
          <w:color w:val="auto"/>
        </w:rPr>
      </w:pPr>
    </w:p>
    <w:p>
      <w:pPr>
        <w:jc w:val="both"/>
        <w:ind w:left="200" w:right="400" w:firstLine="551"/>
        <w:spacing w:after="0" w:line="312" w:lineRule="auto"/>
        <w:rPr>
          <w:sz w:val="20"/>
          <w:szCs w:val="20"/>
          <w:color w:val="auto"/>
        </w:rPr>
      </w:pPr>
      <w:r>
        <w:rPr>
          <w:rFonts w:ascii="Arial" w:cs="Arial" w:eastAsia="Arial" w:hAnsi="Arial"/>
          <w:sz w:val="16"/>
          <w:szCs w:val="16"/>
          <w:color w:val="auto"/>
        </w:rPr>
        <w:t>As of March 31, 2019 (unaudited) and December 31, 2018, the Company had reserved 11,530,381 and 10,690,261 shares of common stock, respectively, for the conversion of outstanding shares of Redeemable Convertible Preferred Stock, the exercise of outstanding stock options and the number of shares of common stock remaining available for future grant under the Company’s 2012 Stock Incentive Plan, as follows: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2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62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common stock reserved for conversion of Series A preferred stock outstanding</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2,178,535</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2,154,572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Shares of common stock reserved for conversion of Series B preferred stock outstanding</w:t>
            </w:r>
          </w:p>
        </w:tc>
        <w:tc>
          <w:tcPr>
            <w:tcW w:w="1220" w:type="dxa"/>
            <w:vAlign w:val="bottom"/>
          </w:tcPr>
          <w:p>
            <w:pPr>
              <w:jc w:val="right"/>
              <w:spacing w:after="0"/>
              <w:rPr>
                <w:sz w:val="20"/>
                <w:szCs w:val="20"/>
                <w:color w:val="auto"/>
              </w:rPr>
            </w:pPr>
            <w:r>
              <w:rPr>
                <w:rFonts w:ascii="Arial" w:cs="Arial" w:eastAsia="Arial" w:hAnsi="Arial"/>
                <w:sz w:val="18"/>
                <w:szCs w:val="18"/>
                <w:color w:val="auto"/>
              </w:rPr>
              <w:t>3,046,601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3,011,392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reserved for conversion of Series C preferred stock outstanding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5,100,121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4,311,279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Shares of common stock reserved for future issuance under the 2012 Stock Incentive Plan</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1,205,124</w:t>
            </w:r>
          </w:p>
        </w:tc>
        <w:tc>
          <w:tcPr>
            <w:tcW w:w="3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1,213,018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11,530,381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10,690,261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740" w:hanging="536"/>
        <w:spacing w:after="0"/>
        <w:tabs>
          <w:tab w:leader="none" w:pos="7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jc w:val="both"/>
        <w:ind w:left="200" w:right="180" w:firstLine="551"/>
        <w:spacing w:after="0" w:line="264" w:lineRule="auto"/>
        <w:rPr>
          <w:sz w:val="20"/>
          <w:szCs w:val="20"/>
          <w:color w:val="auto"/>
        </w:rPr>
      </w:pPr>
      <w:r>
        <w:rPr>
          <w:rFonts w:ascii="Arial" w:cs="Arial" w:eastAsia="Arial" w:hAnsi="Arial"/>
          <w:sz w:val="18"/>
          <w:szCs w:val="18"/>
          <w:color w:val="auto"/>
        </w:rPr>
        <w:t>As of each of March 31, 2019 (unaudited) and December 31, 2018, under the Company’s certificate of incorporation, the authorized number of shares of redeemable convertible preferred stock was 86,197,030. See Note 1 with respect to the Company’s IPO and the conversion of its redeemable convertible preferred stock into shares of its common stock.</w:t>
      </w:r>
    </w:p>
    <w:p>
      <w:pPr>
        <w:spacing w:after="0" w:line="181" w:lineRule="exact"/>
        <w:rPr>
          <w:sz w:val="20"/>
          <w:szCs w:val="20"/>
          <w:color w:val="auto"/>
        </w:rPr>
      </w:pPr>
    </w:p>
    <w:p>
      <w:pPr>
        <w:ind w:left="200" w:right="60" w:firstLine="551"/>
        <w:spacing w:after="0" w:line="268" w:lineRule="auto"/>
        <w:rPr>
          <w:sz w:val="20"/>
          <w:szCs w:val="20"/>
          <w:color w:val="auto"/>
        </w:rPr>
      </w:pPr>
      <w:r>
        <w:rPr>
          <w:rFonts w:ascii="Arial" w:cs="Arial" w:eastAsia="Arial" w:hAnsi="Arial"/>
          <w:sz w:val="17"/>
          <w:szCs w:val="17"/>
          <w:color w:val="auto"/>
        </w:rPr>
        <w:t xml:space="preserve">The Company’s redeemable convertible preferred stock is redeemable on or after July 14, 2020 and carries a cumulative coupon dividend rate of 6%. The redemption amount per share for a share of redeemable convertible preferred stock is the greater of (A) the applicable original issue price per share for such series of redeemable convertible preferred stock, plus any of the dividends accrued but unpaid thereon, whether or not declared, together with any other dividends declared but unpaid thereon, and (B) the fair market value per share of redeemable convertible preferred stock, as described below under </w:t>
      </w:r>
      <w:r>
        <w:rPr>
          <w:rFonts w:ascii="Arial" w:cs="Arial" w:eastAsia="Arial" w:hAnsi="Arial"/>
          <w:sz w:val="17"/>
          <w:szCs w:val="17"/>
          <w:i w:val="1"/>
          <w:iCs w:val="1"/>
          <w:color w:val="auto"/>
        </w:rPr>
        <w:t>Redemption Rights.</w:t>
      </w:r>
      <w:r>
        <w:rPr>
          <w:rFonts w:ascii="Arial" w:cs="Arial" w:eastAsia="Arial" w:hAnsi="Arial"/>
          <w:sz w:val="17"/>
          <w:szCs w:val="17"/>
          <w:color w:val="auto"/>
        </w:rPr>
        <w:t xml:space="preserve"> The Company is accounting for its redeemable convertible preferred stock under the requirements of ASC 480, which establishes standards for how an issuer classifies and measures certain financial instruments with characteristics of both liabilities and equity. The carrying value of the redeemable convertible preferred stock is presented as temporary equity and is adjusted by periodic accretions so that the carrying amount equals the redemption amount at the estimated date that the redeemable convertible preferred stock will be redeemed. These adjustments are effected through charges against additional paid-in capital, to the extent it is available, or accumulated deficit. For all issuances of redeemable convertible preferred stock, the difference between the amount invested by the holders of redeemable convertible preferred stock, net of issuance costs and premiums (or discounts), as compared to the redemption value, is recorded as accretion over the redemption period of the redeemable convertible preferred stock. The accretion is added to net loss to arrive at the net loss available to common stockholders in the calculation of net loss per common share.</w:t>
      </w: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Issuance of Series A Redeemable Convertible Preferred Stock</w:t>
      </w:r>
    </w:p>
    <w:p>
      <w:pPr>
        <w:spacing w:after="0" w:line="117" w:lineRule="exact"/>
        <w:rPr>
          <w:sz w:val="20"/>
          <w:szCs w:val="20"/>
          <w:color w:val="auto"/>
        </w:rPr>
      </w:pPr>
    </w:p>
    <w:p>
      <w:pPr>
        <w:jc w:val="both"/>
        <w:ind w:left="200" w:right="200" w:firstLine="551"/>
        <w:spacing w:after="0" w:line="264" w:lineRule="auto"/>
        <w:rPr>
          <w:sz w:val="20"/>
          <w:szCs w:val="20"/>
          <w:color w:val="auto"/>
        </w:rPr>
      </w:pPr>
      <w:r>
        <w:rPr>
          <w:rFonts w:ascii="Arial" w:cs="Arial" w:eastAsia="Arial" w:hAnsi="Arial"/>
          <w:sz w:val="18"/>
          <w:szCs w:val="18"/>
          <w:color w:val="auto"/>
        </w:rPr>
        <w:t>On December 4, 2012, the Company entered into the Series A Preferred Stock Purchase Agreement (the “Series A Purchase Agreement”) with TPG and nine other holders of the Company’s convertible notes that were issued in 2011 and 2012 (the “Series A Investors”). Pursuant to the Series A Purchase Agreement, the Company issued 6,000,000 shares (the “Series A Initial Closing”) of</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Series A Preferred Stock to TPG at a purchase price of $1.00 per share, resulting in proceeds, net of $128 in issuance costs, of $5.9 million (the “Series A Financing”). Concurrently, convertible notes held by the Series A Investors totaling $564, including accrued interest, were automatically converted at a conversion price of $0.467 per share in accordance with calculations specified in the applicable note purchase agreement, and the Company issued 1,207,923 shares of Series A Preferred Stock in settlement of the convertible notes.</w:t>
      </w:r>
    </w:p>
    <w:p>
      <w:pPr>
        <w:spacing w:after="0" w:line="187" w:lineRule="exact"/>
        <w:rPr>
          <w:sz w:val="20"/>
          <w:szCs w:val="20"/>
          <w:color w:val="auto"/>
        </w:rPr>
      </w:pPr>
    </w:p>
    <w:p>
      <w:pPr>
        <w:ind w:left="200" w:right="20" w:firstLine="551"/>
        <w:spacing w:after="0" w:line="276" w:lineRule="auto"/>
        <w:rPr>
          <w:sz w:val="20"/>
          <w:szCs w:val="20"/>
          <w:color w:val="auto"/>
        </w:rPr>
      </w:pPr>
      <w:r>
        <w:rPr>
          <w:rFonts w:ascii="Arial" w:cs="Arial" w:eastAsia="Arial" w:hAnsi="Arial"/>
          <w:sz w:val="17"/>
          <w:szCs w:val="17"/>
          <w:color w:val="auto"/>
        </w:rPr>
        <w:t>The Series A Purchase Agreement also provided for the sale of 4,000,000 additional shares of Series A Preferred Stock (the “Series A Milestone Shares”) to TPG at a purchase price of $1.00 per share upon the Company’s achievement of specified Milestone Events, as defined in the Series A Purchase Agreement, involving the Company’s Phase 1b clinical trial in uremic pruritus and a pending patent application. In the event the Milestone Events were not achieved, TPG had the right to purchase the Series A Milestone Shares, in full or in part, under the same terms and conditions as the Series A Initial Closing, including the $1.00 per share purchase price, on or before June 30, 2014.</w:t>
      </w:r>
    </w:p>
    <w:p>
      <w:pPr>
        <w:spacing w:after="0" w:line="173" w:lineRule="exact"/>
        <w:rPr>
          <w:sz w:val="20"/>
          <w:szCs w:val="20"/>
          <w:color w:val="auto"/>
        </w:rPr>
      </w:pPr>
    </w:p>
    <w:p>
      <w:pPr>
        <w:jc w:val="both"/>
        <w:ind w:left="200" w:right="300" w:firstLine="551"/>
        <w:spacing w:after="0" w:line="276" w:lineRule="auto"/>
        <w:rPr>
          <w:sz w:val="20"/>
          <w:szCs w:val="20"/>
          <w:color w:val="auto"/>
        </w:rPr>
      </w:pPr>
      <w:r>
        <w:rPr>
          <w:rFonts w:ascii="Arial" w:cs="Arial" w:eastAsia="Arial" w:hAnsi="Arial"/>
          <w:sz w:val="17"/>
          <w:szCs w:val="17"/>
          <w:color w:val="auto"/>
        </w:rPr>
        <w:t>In addition, TPG had the right to purchase, under the same terms and conditions as the Series A Initial Closing, including the $1.00 per share purchase price, the lesser of 2,500,000 additional shares of Series A Preferred Stock (the “Additional Series A Preferred Shares”) and the number of shares of Series A Preferred Stock equal to 25% of the total number of shares of Series A Preferred Stock it previously purchased for cash under the Series A Purchase Agreement. This additional right was exercisable until the date six months after the completion date of the Company’s Phase 2b/3 clinical trial of nalbuphine ER in patients with uremic pruritus.</w:t>
      </w:r>
    </w:p>
    <w:p>
      <w:pPr>
        <w:spacing w:after="0" w:line="173" w:lineRule="exact"/>
        <w:rPr>
          <w:sz w:val="20"/>
          <w:szCs w:val="20"/>
          <w:color w:val="auto"/>
        </w:rPr>
      </w:pPr>
    </w:p>
    <w:p>
      <w:pPr>
        <w:ind w:left="200" w:right="80" w:firstLine="551"/>
        <w:spacing w:after="0" w:line="257" w:lineRule="auto"/>
        <w:rPr>
          <w:sz w:val="20"/>
          <w:szCs w:val="20"/>
          <w:color w:val="auto"/>
        </w:rPr>
      </w:pPr>
      <w:r>
        <w:rPr>
          <w:rFonts w:ascii="Arial" w:cs="Arial" w:eastAsia="Arial" w:hAnsi="Arial"/>
          <w:sz w:val="18"/>
          <w:szCs w:val="18"/>
          <w:color w:val="auto"/>
        </w:rPr>
        <w:t>On December 26, 2013, TPG purchased under a Series A Extension Preferred Stock Purchase Agreement (the “Series A Extension Purchase Agreement”) 6,500,000 additional shares of Series A Preferred Stock at $1.00 per share, which consisted of the Series A Milestone Shares and the Additional Series A Preferred Shares discussed above, resulting in proceeds, net of $39 in issuance costs, of $6.5 million. This agreement also provided that the Company could sell up to 2,000,000 additional shares at $1.00 per share to existing stockholders deemed accredited investors within 45 days of the December 26, 2013 closing.</w:t>
      </w:r>
    </w:p>
    <w:p>
      <w:pPr>
        <w:spacing w:after="0" w:line="188" w:lineRule="exact"/>
        <w:rPr>
          <w:sz w:val="20"/>
          <w:szCs w:val="20"/>
          <w:color w:val="auto"/>
        </w:rPr>
      </w:pPr>
    </w:p>
    <w:p>
      <w:pPr>
        <w:ind w:left="200" w:right="480" w:firstLine="551"/>
        <w:spacing w:after="0" w:line="291" w:lineRule="auto"/>
        <w:rPr>
          <w:sz w:val="20"/>
          <w:szCs w:val="20"/>
          <w:color w:val="auto"/>
        </w:rPr>
      </w:pPr>
      <w:r>
        <w:rPr>
          <w:rFonts w:ascii="Arial" w:cs="Arial" w:eastAsia="Arial" w:hAnsi="Arial"/>
          <w:sz w:val="16"/>
          <w:szCs w:val="16"/>
          <w:color w:val="auto"/>
        </w:rPr>
        <w:t>In January 2014, the Company issued 1,680,000 shares of Series A Preferred Stock to eight of the Series A Investors at $1.00 per share, as provided for as Additional Closings under the Series A Extension Purchase Agreement, resulting in proceeds, net of $7 in issuance costs, of</w:t>
      </w:r>
    </w:p>
    <w:p>
      <w:pPr>
        <w:ind w:left="200" w:right="20"/>
        <w:spacing w:after="0" w:line="253" w:lineRule="auto"/>
        <w:rPr>
          <w:sz w:val="20"/>
          <w:szCs w:val="20"/>
          <w:color w:val="auto"/>
        </w:rPr>
      </w:pPr>
      <w:r>
        <w:rPr>
          <w:rFonts w:ascii="Arial" w:cs="Arial" w:eastAsia="Arial" w:hAnsi="Arial"/>
          <w:sz w:val="18"/>
          <w:szCs w:val="18"/>
          <w:color w:val="auto"/>
        </w:rPr>
        <w:t>$1.7 million. The Company recorded this issuance at its fair value of $1.08 per share, totaling $1.8 million before financing costs, resulting in a discount on this issuance in the amount of $134, which amount is being amortized out of the carrying value of Series A Preferred Stock over the expected redemption period, which is three years from July 14, 2017, the date of the First Tranche Closing of the Series C Preferred Stock Financing (each such term as defined below), or July 14, 2020 (the “Redemption Period”). Such amortization totaled $1 for the three months ended March 31, 2019 and 2018 (unaudited), respectively.</w:t>
      </w:r>
    </w:p>
    <w:p>
      <w:pPr>
        <w:spacing w:after="0" w:line="191" w:lineRule="exact"/>
        <w:rPr>
          <w:sz w:val="20"/>
          <w:szCs w:val="20"/>
          <w:color w:val="auto"/>
        </w:rPr>
      </w:pPr>
    </w:p>
    <w:p>
      <w:pPr>
        <w:ind w:left="200" w:right="140" w:firstLine="551"/>
        <w:spacing w:after="0" w:line="277" w:lineRule="auto"/>
        <w:rPr>
          <w:sz w:val="20"/>
          <w:szCs w:val="20"/>
          <w:color w:val="auto"/>
        </w:rPr>
      </w:pPr>
      <w:r>
        <w:rPr>
          <w:rFonts w:ascii="Arial" w:cs="Arial" w:eastAsia="Arial" w:hAnsi="Arial"/>
          <w:sz w:val="18"/>
          <w:szCs w:val="18"/>
          <w:color w:val="auto"/>
        </w:rPr>
        <w:t xml:space="preserve">Holders of Series C Preferred Stock receive a higher liquidation preference than the holders of Series A Preferred Stock and Series B Preferred Stock. </w:t>
      </w:r>
      <w:r>
        <w:rPr>
          <w:rFonts w:ascii="Arial" w:cs="Arial" w:eastAsia="Arial" w:hAnsi="Arial"/>
          <w:sz w:val="18"/>
          <w:szCs w:val="18"/>
          <w:i w:val="1"/>
          <w:iCs w:val="1"/>
          <w:color w:val="auto"/>
        </w:rPr>
        <w:t>(See Liquidation Preferences note below)</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Issuance of Series B Redeemable Convertible Preferred Stock</w:t>
      </w:r>
    </w:p>
    <w:p>
      <w:pPr>
        <w:spacing w:after="0" w:line="117" w:lineRule="exact"/>
        <w:rPr>
          <w:sz w:val="20"/>
          <w:szCs w:val="20"/>
          <w:color w:val="auto"/>
        </w:rPr>
      </w:pPr>
    </w:p>
    <w:p>
      <w:pPr>
        <w:ind w:left="200" w:right="60" w:firstLine="551"/>
        <w:spacing w:after="0" w:line="286" w:lineRule="auto"/>
        <w:rPr>
          <w:sz w:val="20"/>
          <w:szCs w:val="20"/>
          <w:color w:val="auto"/>
        </w:rPr>
      </w:pPr>
      <w:r>
        <w:rPr>
          <w:rFonts w:ascii="Arial" w:cs="Arial" w:eastAsia="Arial" w:hAnsi="Arial"/>
          <w:sz w:val="17"/>
          <w:szCs w:val="17"/>
          <w:color w:val="auto"/>
        </w:rPr>
        <w:t>On May 23, 2014, the Company entered into the Series B Preferred Stock Purchase Agreement (the “Series B Purchase Agreement”) with TPG. Pursuant to the Series B Purchase Agreement, the Company issued 13,043,478 shares (the “Series B Initial Closing”) of Series B Preferred Stock to TPG at a purchase price of $1.15 per share, resulting in proceeds, net of $56 in issuance costs, of $15.0 million.</w:t>
      </w:r>
    </w:p>
    <w:p>
      <w:pPr>
        <w:spacing w:after="0" w:line="166" w:lineRule="exact"/>
        <w:rPr>
          <w:sz w:val="20"/>
          <w:szCs w:val="20"/>
          <w:color w:val="auto"/>
        </w:rPr>
      </w:pPr>
    </w:p>
    <w:p>
      <w:pPr>
        <w:ind w:left="200" w:right="60" w:firstLine="551"/>
        <w:spacing w:after="0" w:line="273" w:lineRule="auto"/>
        <w:rPr>
          <w:sz w:val="20"/>
          <w:szCs w:val="20"/>
          <w:color w:val="auto"/>
        </w:rPr>
      </w:pPr>
      <w:r>
        <w:rPr>
          <w:rFonts w:ascii="Arial" w:cs="Arial" w:eastAsia="Arial" w:hAnsi="Arial"/>
          <w:sz w:val="17"/>
          <w:szCs w:val="17"/>
          <w:color w:val="auto"/>
        </w:rPr>
        <w:t>The Series B Purchase Agreement also provided for the sale of 4,347,826 additional shares of Series B Preferred Stock (the “Series B Milestone Shares”) to TPG at a purchase price of $1.15 per share upon the Company’s achievement of specified Milestone Events, as defined in the Series B Purchase Agreement, involving the Company’s Phase 2b/3 clinical trial of nalbuphine ER in patients with uremic pruritus; its planned Phase 2 clinical trial of nalbuphine ER in patients with pruritus associated with prurigo nodularis; and a pending patent application. In the event the Milestone Events were not achieved, TPG had the right to purchase the Series B Milestone Shares, in full or in part, under the same terms and conditions as the Series B Initial Closing, at a purchase price of $1.15 per share, on or before November 30, 2015.</w:t>
      </w:r>
    </w:p>
    <w:p>
      <w:pPr>
        <w:spacing w:after="0" w:line="178" w:lineRule="exact"/>
        <w:rPr>
          <w:sz w:val="20"/>
          <w:szCs w:val="20"/>
          <w:color w:val="auto"/>
        </w:rPr>
      </w:pPr>
    </w:p>
    <w:p>
      <w:pPr>
        <w:ind w:left="200" w:firstLine="551"/>
        <w:spacing w:after="0" w:line="302" w:lineRule="auto"/>
        <w:rPr>
          <w:sz w:val="20"/>
          <w:szCs w:val="20"/>
          <w:color w:val="auto"/>
        </w:rPr>
      </w:pPr>
      <w:r>
        <w:rPr>
          <w:rFonts w:ascii="Arial" w:cs="Arial" w:eastAsia="Arial" w:hAnsi="Arial"/>
          <w:sz w:val="16"/>
          <w:szCs w:val="16"/>
          <w:color w:val="auto"/>
        </w:rPr>
        <w:t>In addition, TPG had the right to purchase, on the same terms and conditions as the Series B Initial Closing, including the $1.15 per share purchase price, the lesser of 4,347,826 additional shares of Series B Preferred Stock and the number of shares equal to 25% of the total number of shares it previously purchased for cash under the Series B Purchase Agreement (the “Additional Series B Shares”). This additional right was exercisable until the date six months after the completion date of the Company’s Phase 2b/3 clinical trial of nalbuphine ER in patients with uremic pruritus.</w:t>
      </w:r>
    </w:p>
    <w:p>
      <w:pPr>
        <w:spacing w:after="0" w:line="154" w:lineRule="exact"/>
        <w:rPr>
          <w:sz w:val="20"/>
          <w:szCs w:val="20"/>
          <w:color w:val="auto"/>
        </w:rPr>
      </w:pPr>
    </w:p>
    <w:p>
      <w:pPr>
        <w:ind w:left="200" w:right="240" w:firstLine="551"/>
        <w:spacing w:after="0" w:line="264" w:lineRule="auto"/>
        <w:rPr>
          <w:sz w:val="20"/>
          <w:szCs w:val="20"/>
          <w:color w:val="auto"/>
        </w:rPr>
      </w:pPr>
      <w:r>
        <w:rPr>
          <w:rFonts w:ascii="Arial" w:cs="Arial" w:eastAsia="Arial" w:hAnsi="Arial"/>
          <w:sz w:val="18"/>
          <w:szCs w:val="18"/>
          <w:color w:val="auto"/>
        </w:rPr>
        <w:t>On October 30, 2014, TPG exercised its rights described above and purchased under an Additional Closing Agreement (the “Series B Second Closing”) 8,695,652 additional shares of Series B Preferred Stock at $1.15 per share, which consisted of the Series B Milestone Shares and the Additional Series B Shares. This agreement also provided for the Company to sell 869,565 additional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02" w:lineRule="auto"/>
        <w:rPr>
          <w:sz w:val="20"/>
          <w:szCs w:val="20"/>
          <w:color w:val="auto"/>
        </w:rPr>
      </w:pPr>
      <w:r>
        <w:rPr>
          <w:rFonts w:ascii="Arial" w:cs="Arial" w:eastAsia="Arial" w:hAnsi="Arial"/>
          <w:sz w:val="16"/>
          <w:szCs w:val="16"/>
          <w:color w:val="auto"/>
        </w:rPr>
        <w:t>shares of Series B Preferred Stock at $1.15 per share to an existing stockholder. The Series B Second Closing resulted in proceeds, net of $19 in issuance costs, of $11.0 million. The Company recorded this issuance at its fair value of $1.10 per share, totaling $10.5 million, net of financing costs, resulting in a premium on this issuance in the amount of $478, which amount is being accreted into the carrying value of the Series B Preferred Stock over the Redemption Period. Such accretion totaled $5 for the three months ended March 31, 2019 and 2018 (unaudited), respectively.</w:t>
      </w:r>
    </w:p>
    <w:p>
      <w:pPr>
        <w:spacing w:after="0" w:line="154" w:lineRule="exact"/>
        <w:rPr>
          <w:sz w:val="20"/>
          <w:szCs w:val="20"/>
          <w:color w:val="auto"/>
        </w:rPr>
      </w:pPr>
    </w:p>
    <w:p>
      <w:pPr>
        <w:jc w:val="both"/>
        <w:ind w:left="200" w:right="160" w:firstLine="551"/>
        <w:spacing w:after="0" w:line="277" w:lineRule="auto"/>
        <w:rPr>
          <w:sz w:val="20"/>
          <w:szCs w:val="20"/>
          <w:color w:val="auto"/>
        </w:rPr>
      </w:pPr>
      <w:r>
        <w:rPr>
          <w:rFonts w:ascii="Arial" w:cs="Arial" w:eastAsia="Arial" w:hAnsi="Arial"/>
          <w:sz w:val="18"/>
          <w:szCs w:val="18"/>
          <w:color w:val="auto"/>
        </w:rPr>
        <w:t xml:space="preserve">Holders of Series C Preferred Stock receive a higher liquidation preference than the holders of Series A Preferred Stock and Series B Preferred Stock. </w:t>
      </w:r>
      <w:r>
        <w:rPr>
          <w:rFonts w:ascii="Arial" w:cs="Arial" w:eastAsia="Arial" w:hAnsi="Arial"/>
          <w:sz w:val="18"/>
          <w:szCs w:val="18"/>
          <w:i w:val="1"/>
          <w:iCs w:val="1"/>
          <w:color w:val="auto"/>
        </w:rPr>
        <w:t>(See Liquidation Preferences note below)</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Issuance of Series C Redeemable Convertible Preferred Stock</w:t>
      </w:r>
    </w:p>
    <w:p>
      <w:pPr>
        <w:spacing w:after="0" w:line="117" w:lineRule="exact"/>
        <w:rPr>
          <w:sz w:val="20"/>
          <w:szCs w:val="20"/>
          <w:color w:val="auto"/>
        </w:rPr>
      </w:pPr>
    </w:p>
    <w:p>
      <w:pPr>
        <w:ind w:left="200" w:right="140" w:firstLine="551"/>
        <w:spacing w:after="0" w:line="272" w:lineRule="auto"/>
        <w:rPr>
          <w:sz w:val="20"/>
          <w:szCs w:val="20"/>
          <w:color w:val="auto"/>
        </w:rPr>
      </w:pPr>
      <w:r>
        <w:rPr>
          <w:rFonts w:ascii="Arial" w:cs="Arial" w:eastAsia="Arial" w:hAnsi="Arial"/>
          <w:sz w:val="17"/>
          <w:szCs w:val="17"/>
          <w:color w:val="auto"/>
        </w:rPr>
        <w:t>On July 14, 2017, the Company entered into the Series C Purchase Agreement with TPG and other institutional investors (the “Series C Initial Purchasers”) for the issuance of $50.5 million of its Series C Preferred Stock. The Series C Purchase Agreement provided for the Company’s Series C Preferred Stock to be issued in two tranches, with the closing of the first tranche on July 14, 2017 (the “First Tranche Closing”) and the closing of the second tranche to occur following a determination by the Company’s board of directors that the Company’s cash and cash equivalents at such time are not sufficient to fund its operations for a period of three months following such determination (the “Second Tranche Closing”). Upon the First Tranche Closing, the Company issued 20,547,946 shares of its Series C Preferred Stock at a purchase price of $1.46 per share, resulting in proceeds of $29.7 million, net of issuance costs of $291.</w:t>
      </w:r>
    </w:p>
    <w:p>
      <w:pPr>
        <w:spacing w:after="0" w:line="178" w:lineRule="exact"/>
        <w:rPr>
          <w:sz w:val="20"/>
          <w:szCs w:val="20"/>
          <w:color w:val="auto"/>
        </w:rPr>
      </w:pPr>
    </w:p>
    <w:p>
      <w:pPr>
        <w:ind w:left="200" w:right="80" w:firstLine="551"/>
        <w:spacing w:after="0" w:line="257" w:lineRule="auto"/>
        <w:rPr>
          <w:sz w:val="20"/>
          <w:szCs w:val="20"/>
          <w:color w:val="auto"/>
        </w:rPr>
      </w:pPr>
      <w:r>
        <w:rPr>
          <w:rFonts w:ascii="Arial" w:cs="Arial" w:eastAsia="Arial" w:hAnsi="Arial"/>
          <w:sz w:val="18"/>
          <w:szCs w:val="18"/>
          <w:color w:val="auto"/>
        </w:rPr>
        <w:t>Also party to the Series C Purchase Agreement are eleven holders of the Company’s Convertible Notes (together with the Initial Purchasers and the Series C Additional Purchasers, as defined below, the “Series C Investors”). Concurrently with the First Tranche Closing and pursuant to the Series C Purchase Agreement, the outstanding principal on the Company’s Convertible Notes, totaling $10.6 million, and all accrued interest thereon, totaling $564, were automatically converted at the Mandatory Conversion Price of $1.095 per share, and the Company issued 10,181,233 shares of its Series C Preferred Stock in full settlement of the Convertible Notes.</w:t>
      </w:r>
    </w:p>
    <w:p>
      <w:pPr>
        <w:spacing w:after="0" w:line="188" w:lineRule="exact"/>
        <w:rPr>
          <w:sz w:val="20"/>
          <w:szCs w:val="20"/>
          <w:color w:val="auto"/>
        </w:rPr>
      </w:pPr>
    </w:p>
    <w:p>
      <w:pPr>
        <w:ind w:left="200" w:right="180" w:firstLine="551"/>
        <w:spacing w:after="0" w:line="259" w:lineRule="auto"/>
        <w:rPr>
          <w:sz w:val="20"/>
          <w:szCs w:val="20"/>
          <w:color w:val="auto"/>
        </w:rPr>
      </w:pPr>
      <w:r>
        <w:rPr>
          <w:rFonts w:ascii="Arial" w:cs="Arial" w:eastAsia="Arial" w:hAnsi="Arial"/>
          <w:sz w:val="18"/>
          <w:szCs w:val="18"/>
          <w:color w:val="auto"/>
        </w:rPr>
        <w:t>The Series C Purchase Agreement provided for a subsequent closing (the “Special Closing”), on the same terms and conditions as the First Tranche Closing, including the $1.46 per share purchase price, and on October 11, 2017, the Special Closing occurred, resulting in the issuance to two additional investors (the “Series C Additional Purchasers”) of 101,707 shares of the Company’s Series C Preferred Stock, at a purchase price of $1.46 per share, resulting in proceeds of $129, net of issuance costs of $19.</w:t>
      </w:r>
    </w:p>
    <w:p>
      <w:pPr>
        <w:spacing w:after="0" w:line="187" w:lineRule="exact"/>
        <w:rPr>
          <w:sz w:val="20"/>
          <w:szCs w:val="20"/>
          <w:color w:val="auto"/>
        </w:rPr>
      </w:pPr>
    </w:p>
    <w:p>
      <w:pPr>
        <w:ind w:left="200" w:firstLine="551"/>
        <w:spacing w:after="0" w:line="264" w:lineRule="auto"/>
        <w:rPr>
          <w:sz w:val="20"/>
          <w:szCs w:val="20"/>
          <w:color w:val="auto"/>
        </w:rPr>
      </w:pPr>
      <w:r>
        <w:rPr>
          <w:rFonts w:ascii="Arial" w:cs="Arial" w:eastAsia="Arial" w:hAnsi="Arial"/>
          <w:sz w:val="18"/>
          <w:szCs w:val="18"/>
          <w:color w:val="auto"/>
        </w:rPr>
        <w:t>On November 12, 2017, one of the Series C Additional Purchasers purchased its second tranche shares pursuant to an election under the Series C Purchase Agreement, resulting in the issuance of 55,621 shares of the Company’s Series C Preferred Stock at a purchase price of $1.46 per share, resulting in proceeds of $81.</w:t>
      </w:r>
    </w:p>
    <w:p>
      <w:pPr>
        <w:spacing w:after="0" w:line="181" w:lineRule="exact"/>
        <w:rPr>
          <w:sz w:val="20"/>
          <w:szCs w:val="20"/>
          <w:color w:val="auto"/>
        </w:rPr>
      </w:pPr>
    </w:p>
    <w:p>
      <w:pPr>
        <w:ind w:left="200" w:right="20" w:firstLine="551"/>
        <w:spacing w:after="0" w:line="302" w:lineRule="auto"/>
        <w:rPr>
          <w:sz w:val="20"/>
          <w:szCs w:val="20"/>
          <w:color w:val="auto"/>
        </w:rPr>
      </w:pPr>
      <w:r>
        <w:rPr>
          <w:rFonts w:ascii="Arial" w:cs="Arial" w:eastAsia="Arial" w:hAnsi="Arial"/>
          <w:sz w:val="16"/>
          <w:szCs w:val="16"/>
          <w:color w:val="auto"/>
        </w:rPr>
        <w:t>On August 28, 2018, the Company amended the Series C Purchase Agreement to provide that a portion of the shares of Series C Preferred Stock that would otherwise be issued and sold at the Second Tranche Closing would instead be issued and sold at a third tranche closing (the “Third Tranche Closing”), with such closing to occur following a determination by the Company’s board of directors that the Company’s cash and cash equivalents at such time are not sufficient to fund its operations for a period of three months following such determination.</w:t>
      </w:r>
    </w:p>
    <w:p>
      <w:pPr>
        <w:spacing w:after="0" w:line="154" w:lineRule="exact"/>
        <w:rPr>
          <w:sz w:val="20"/>
          <w:szCs w:val="20"/>
          <w:color w:val="auto"/>
        </w:rPr>
      </w:pPr>
    </w:p>
    <w:p>
      <w:pPr>
        <w:ind w:left="200" w:right="460" w:firstLine="551"/>
        <w:spacing w:after="0" w:line="342" w:lineRule="auto"/>
        <w:rPr>
          <w:sz w:val="20"/>
          <w:szCs w:val="20"/>
          <w:color w:val="auto"/>
        </w:rPr>
      </w:pPr>
      <w:r>
        <w:rPr>
          <w:rFonts w:ascii="Arial" w:cs="Arial" w:eastAsia="Arial" w:hAnsi="Arial"/>
          <w:sz w:val="16"/>
          <w:szCs w:val="16"/>
          <w:color w:val="auto"/>
        </w:rPr>
        <w:t>On August 30, 2018, the Company completed the Second Tranche Closing, resulting in the issuance of 7,211,165 shares of the Company’s Series C Preferred Stock, at a purchase price of $1.46 per share, resulting in proceeds of $10.5 million, net of issuance costs of $32.</w:t>
      </w:r>
    </w:p>
    <w:p>
      <w:pPr>
        <w:spacing w:after="0" w:line="124" w:lineRule="exact"/>
        <w:rPr>
          <w:sz w:val="20"/>
          <w:szCs w:val="20"/>
          <w:color w:val="auto"/>
        </w:rPr>
      </w:pPr>
    </w:p>
    <w:p>
      <w:pPr>
        <w:ind w:left="200" w:right="240" w:firstLine="551"/>
        <w:spacing w:after="0" w:line="286" w:lineRule="auto"/>
        <w:rPr>
          <w:sz w:val="20"/>
          <w:szCs w:val="20"/>
          <w:color w:val="auto"/>
        </w:rPr>
      </w:pPr>
      <w:r>
        <w:rPr>
          <w:rFonts w:ascii="Arial" w:cs="Arial" w:eastAsia="Arial" w:hAnsi="Arial"/>
          <w:sz w:val="17"/>
          <w:szCs w:val="17"/>
          <w:color w:val="auto"/>
        </w:rPr>
        <w:t>On January 18, 2019, the Company completed the Third Tranche Closing, resulting in the issuance of 6,849,315 shares of the Company’s Series C Preferred Stock, at a purchase price of $1.46 per share, resulting in proceeds of $10.0 million, net of issuance costs of $37</w:t>
      </w:r>
      <w:r>
        <w:rPr>
          <w:rFonts w:ascii="Arial" w:cs="Arial" w:eastAsia="Arial" w:hAnsi="Arial"/>
          <w:sz w:val="17"/>
          <w:szCs w:val="17"/>
          <w:i w:val="1"/>
          <w:iCs w:val="1"/>
          <w:color w:val="auto"/>
        </w:rPr>
        <w:t>.</w:t>
      </w:r>
      <w:r>
        <w:rPr>
          <w:rFonts w:ascii="Arial" w:cs="Arial" w:eastAsia="Arial" w:hAnsi="Arial"/>
          <w:sz w:val="17"/>
          <w:szCs w:val="17"/>
          <w:color w:val="auto"/>
        </w:rPr>
        <w:t xml:space="preserve"> At such time, the Series C redeemable convertible preferred stock liability of $1.1 million was reclassified as Series C Preferred Stock.</w:t>
      </w:r>
    </w:p>
    <w:p>
      <w:pPr>
        <w:spacing w:after="0" w:line="27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Series C Redeemable Convertible Preferred Stock Liability and Changes in Fair Value</w:t>
      </w:r>
    </w:p>
    <w:p>
      <w:pPr>
        <w:spacing w:after="0" w:line="117" w:lineRule="exact"/>
        <w:rPr>
          <w:sz w:val="20"/>
          <w:szCs w:val="20"/>
          <w:color w:val="auto"/>
        </w:rPr>
      </w:pPr>
    </w:p>
    <w:p>
      <w:pPr>
        <w:ind w:left="200" w:right="80" w:firstLine="551"/>
        <w:spacing w:after="0" w:line="255" w:lineRule="auto"/>
        <w:rPr>
          <w:sz w:val="20"/>
          <w:szCs w:val="20"/>
          <w:color w:val="auto"/>
        </w:rPr>
      </w:pPr>
      <w:r>
        <w:rPr>
          <w:rFonts w:ascii="Arial" w:cs="Arial" w:eastAsia="Arial" w:hAnsi="Arial"/>
          <w:sz w:val="18"/>
          <w:szCs w:val="18"/>
          <w:color w:val="auto"/>
        </w:rPr>
        <w:t>As discussed above, the Series C Purchase Agreement provides for the issuance and sale of Series C Preferred Stock in three separate tranches. The tranches represent a freestanding financial instrument under ASC 480 and require fair value accounting until they are settled. The Company recognizes a liability on its Consolidated Balance Sheet for the obligations under this financial instrument. The Company adjusts this liability to fair value at each reporting date, as applicable, and recognizes any changes in fair value of the Series C Preferred Stock in its Consolidated Statements of Operations as a component of other income (expense) and in net loss. The Company will continue to recognize changes in the fair value of this liability through the closing of the third tranche.</w:t>
      </w:r>
    </w:p>
    <w:p>
      <w:pPr>
        <w:spacing w:after="0" w:line="193" w:lineRule="exact"/>
        <w:rPr>
          <w:sz w:val="20"/>
          <w:szCs w:val="20"/>
          <w:color w:val="auto"/>
        </w:rPr>
      </w:pPr>
    </w:p>
    <w:p>
      <w:pPr>
        <w:jc w:val="both"/>
        <w:ind w:left="200" w:right="200" w:firstLine="551"/>
        <w:spacing w:after="0" w:line="264" w:lineRule="auto"/>
        <w:rPr>
          <w:sz w:val="20"/>
          <w:szCs w:val="20"/>
          <w:color w:val="auto"/>
        </w:rPr>
      </w:pPr>
      <w:r>
        <w:rPr>
          <w:rFonts w:ascii="Arial" w:cs="Arial" w:eastAsia="Arial" w:hAnsi="Arial"/>
          <w:sz w:val="18"/>
          <w:szCs w:val="18"/>
          <w:color w:val="auto"/>
        </w:rPr>
        <w:t>Accordingly, for the year ended December 31, 2018, the Company recorded the Series C redeemable convertible preferred stock liability at its fair value of $2.1 million, with a corresponding charge to other income (expense) in the Company’s Consolidated Statement of Operations. Upon the Second Tranche Closing in August 2018, as described above, $1.0 million was reclassified to</w:t>
      </w:r>
    </w:p>
    <w:p>
      <w:pPr>
        <w:sectPr>
          <w:pgSz w:w="11900" w:h="16838" w:orient="portrait"/>
          <w:cols w:equalWidth="0" w:num="1">
            <w:col w:w="11200"/>
          </w:cols>
          <w:pgMar w:left="240" w:top="459" w:right="459" w:bottom="1440" w:gutter="0" w:footer="0" w:header="0"/>
        </w:sectPr>
      </w:pP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00"/>
          </w:cols>
          <w:pgMar w:left="240" w:top="459"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Series C Preferred Stock. As a result, at December 31, 2018, the fair value of this liability, relating to the outstanding third tranche, was determined to be $1.1 million and was reclassified to Series C Preferred Stock upon the Third Tranche Closing in January 2019.</w:t>
      </w:r>
    </w:p>
    <w:p>
      <w:pPr>
        <w:spacing w:after="0" w:line="170" w:lineRule="exact"/>
        <w:rPr>
          <w:sz w:val="20"/>
          <w:szCs w:val="20"/>
          <w:color w:val="auto"/>
        </w:rPr>
      </w:pPr>
    </w:p>
    <w:p>
      <w:pPr>
        <w:jc w:val="both"/>
        <w:ind w:left="200" w:right="100" w:firstLine="551"/>
        <w:spacing w:after="0" w:line="264" w:lineRule="auto"/>
        <w:rPr>
          <w:sz w:val="20"/>
          <w:szCs w:val="20"/>
          <w:color w:val="auto"/>
        </w:rPr>
      </w:pPr>
      <w:r>
        <w:rPr>
          <w:rFonts w:ascii="Arial" w:cs="Arial" w:eastAsia="Arial" w:hAnsi="Arial"/>
          <w:sz w:val="18"/>
          <w:szCs w:val="18"/>
          <w:color w:val="auto"/>
        </w:rPr>
        <w:t xml:space="preserve">The fair value of the Series C redeemable convertible preferred stock liability has been estimated as the excess, if any, of the fair value per share of the Company’s Series C Preferred Stock, as described below under </w:t>
      </w:r>
      <w:r>
        <w:rPr>
          <w:rFonts w:ascii="Arial" w:cs="Arial" w:eastAsia="Arial" w:hAnsi="Arial"/>
          <w:sz w:val="18"/>
          <w:szCs w:val="18"/>
          <w:i w:val="1"/>
          <w:iCs w:val="1"/>
          <w:color w:val="auto"/>
        </w:rPr>
        <w:t>Redemption Rights</w:t>
      </w:r>
      <w:r>
        <w:rPr>
          <w:rFonts w:ascii="Arial" w:cs="Arial" w:eastAsia="Arial" w:hAnsi="Arial"/>
          <w:sz w:val="18"/>
          <w:szCs w:val="18"/>
          <w:color w:val="auto"/>
        </w:rPr>
        <w:t>, over the purchase price of any outstanding tranches that may be sold pursuant to the Series C Purchase Agreement.</w:t>
      </w:r>
    </w:p>
    <w:p>
      <w:pPr>
        <w:spacing w:after="0" w:line="181" w:lineRule="exact"/>
        <w:rPr>
          <w:sz w:val="20"/>
          <w:szCs w:val="20"/>
          <w:color w:val="auto"/>
        </w:rPr>
      </w:pPr>
    </w:p>
    <w:p>
      <w:pPr>
        <w:ind w:left="200" w:right="180" w:firstLine="551"/>
        <w:spacing w:after="0" w:line="277" w:lineRule="auto"/>
        <w:rPr>
          <w:sz w:val="20"/>
          <w:szCs w:val="20"/>
          <w:color w:val="auto"/>
        </w:rPr>
      </w:pPr>
      <w:r>
        <w:rPr>
          <w:rFonts w:ascii="Arial" w:cs="Arial" w:eastAsia="Arial" w:hAnsi="Arial"/>
          <w:sz w:val="18"/>
          <w:szCs w:val="18"/>
          <w:color w:val="auto"/>
        </w:rPr>
        <w:t xml:space="preserve">Holders of Series C Preferred Stock receive a higher liquidation preference than the holders of Series A Preferred Stock and Series B Preferred Stock. </w:t>
      </w:r>
      <w:r>
        <w:rPr>
          <w:rFonts w:ascii="Arial" w:cs="Arial" w:eastAsia="Arial" w:hAnsi="Arial"/>
          <w:sz w:val="18"/>
          <w:szCs w:val="18"/>
          <w:i w:val="1"/>
          <w:iCs w:val="1"/>
          <w:color w:val="auto"/>
        </w:rPr>
        <w:t>(See Liquidation Preferences note below)</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each balance sheet date presented, redeemable convertible preferred stock consisted of the following (in thousands, except share amounts):</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25"/>
              <w:spacing w:after="0"/>
              <w:rPr>
                <w:sz w:val="20"/>
                <w:szCs w:val="20"/>
                <w:color w:val="auto"/>
              </w:rPr>
            </w:pPr>
            <w:r>
              <w:rPr>
                <w:rFonts w:ascii="Arial" w:cs="Arial" w:eastAsia="Arial" w:hAnsi="Arial"/>
                <w:sz w:val="14"/>
                <w:szCs w:val="14"/>
                <w:b w:val="1"/>
                <w:bCs w:val="1"/>
                <w:color w:val="auto"/>
                <w:w w:val="96"/>
              </w:rPr>
              <w:t>As of March 31, 2019</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0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Preferred</w:t>
            </w:r>
          </w:p>
        </w:tc>
        <w:tc>
          <w:tcPr>
            <w:tcW w:w="160" w:type="dxa"/>
            <w:vAlign w:val="bottom"/>
          </w:tcPr>
          <w:p>
            <w:pPr>
              <w:spacing w:after="0"/>
              <w:rPr>
                <w:sz w:val="10"/>
                <w:szCs w:val="10"/>
                <w:color w:val="auto"/>
              </w:rPr>
            </w:pPr>
          </w:p>
        </w:tc>
        <w:tc>
          <w:tcPr>
            <w:tcW w:w="106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Preferred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Common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w w:val="88"/>
              </w:rPr>
              <w:t>Preference</w:t>
            </w:r>
          </w:p>
        </w:tc>
        <w:tc>
          <w:tcPr>
            <w:tcW w:w="16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10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8"/>
              </w:rPr>
              <w:t>15,387,923</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6"/>
              </w:rPr>
              <w:t>15,387,923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20,696</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2,178,535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1060" w:type="dxa"/>
            <w:vAlign w:val="bottom"/>
          </w:tcPr>
          <w:p>
            <w:pPr>
              <w:ind w:left="240"/>
              <w:spacing w:after="0"/>
              <w:rPr>
                <w:sz w:val="20"/>
                <w:szCs w:val="20"/>
                <w:color w:val="auto"/>
              </w:rPr>
            </w:pPr>
            <w:r>
              <w:rPr>
                <w:rFonts w:ascii="Arial" w:cs="Arial" w:eastAsia="Arial" w:hAnsi="Arial"/>
                <w:sz w:val="18"/>
                <w:szCs w:val="18"/>
                <w:color w:val="auto"/>
                <w:w w:val="88"/>
              </w:rPr>
              <w:t>22,608,695</w:t>
            </w: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w w:val="86"/>
              </w:rPr>
              <w:t>22,608,695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33,284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3,046,601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48,200,412</w:t>
            </w: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44,946,987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8"/>
              </w:rPr>
              <w:t>86,197,030</w:t>
            </w: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6"/>
              </w:rPr>
              <w:t>82,943,605</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128,151</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124,719</w:t>
            </w:r>
          </w:p>
        </w:tc>
        <w:tc>
          <w:tcPr>
            <w:tcW w:w="1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10,325,257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ind w:left="1000"/>
              <w:spacing w:after="0"/>
              <w:rPr>
                <w:sz w:val="20"/>
                <w:szCs w:val="20"/>
                <w:color w:val="auto"/>
              </w:rPr>
            </w:pPr>
            <w:r>
              <w:rPr>
                <w:rFonts w:ascii="Arial" w:cs="Arial" w:eastAsia="Arial" w:hAnsi="Arial"/>
                <w:sz w:val="14"/>
                <w:szCs w:val="14"/>
                <w:b w:val="1"/>
                <w:bCs w:val="1"/>
                <w:color w:val="auto"/>
                <w:w w:val="90"/>
              </w:rPr>
              <w:t>As of December 31, 2018</w:t>
            </w: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0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Preferred</w:t>
            </w:r>
          </w:p>
        </w:tc>
        <w:tc>
          <w:tcPr>
            <w:tcW w:w="160" w:type="dxa"/>
            <w:vAlign w:val="bottom"/>
          </w:tcPr>
          <w:p>
            <w:pPr>
              <w:spacing w:after="0"/>
              <w:rPr>
                <w:sz w:val="10"/>
                <w:szCs w:val="10"/>
                <w:color w:val="auto"/>
              </w:rPr>
            </w:pPr>
          </w:p>
        </w:tc>
        <w:tc>
          <w:tcPr>
            <w:tcW w:w="106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Preferred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Common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w w:val="88"/>
              </w:rPr>
              <w:t>Preference</w:t>
            </w:r>
          </w:p>
        </w:tc>
        <w:tc>
          <w:tcPr>
            <w:tcW w:w="16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10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8"/>
              </w:rPr>
              <w:t>15,387,923</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6"/>
              </w:rPr>
              <w:t>15,387,923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20,469</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2,154,572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1060" w:type="dxa"/>
            <w:vAlign w:val="bottom"/>
          </w:tcPr>
          <w:p>
            <w:pPr>
              <w:ind w:left="240"/>
              <w:spacing w:after="0"/>
              <w:rPr>
                <w:sz w:val="20"/>
                <w:szCs w:val="20"/>
                <w:color w:val="auto"/>
              </w:rPr>
            </w:pPr>
            <w:r>
              <w:rPr>
                <w:rFonts w:ascii="Arial" w:cs="Arial" w:eastAsia="Arial" w:hAnsi="Arial"/>
                <w:sz w:val="18"/>
                <w:szCs w:val="18"/>
                <w:color w:val="auto"/>
                <w:w w:val="88"/>
              </w:rPr>
              <w:t>22,608,695</w:t>
            </w: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w w:val="86"/>
              </w:rPr>
              <w:t>22,608,695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3,011,392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48,200,412</w:t>
            </w: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38,097,672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4,311,279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8"/>
              </w:rPr>
              <w:t>86,197,030</w:t>
            </w: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6"/>
              </w:rPr>
              <w:t>76,094,290</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115,742</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113,167</w:t>
            </w:r>
          </w:p>
        </w:tc>
        <w:tc>
          <w:tcPr>
            <w:tcW w:w="1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9,477,243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60" w:firstLine="551"/>
        <w:spacing w:after="0" w:line="253" w:lineRule="auto"/>
        <w:rPr>
          <w:sz w:val="20"/>
          <w:szCs w:val="20"/>
          <w:color w:val="auto"/>
        </w:rPr>
      </w:pPr>
      <w:r>
        <w:rPr>
          <w:rFonts w:ascii="Arial" w:cs="Arial" w:eastAsia="Arial" w:hAnsi="Arial"/>
          <w:sz w:val="18"/>
          <w:szCs w:val="18"/>
          <w:color w:val="auto"/>
        </w:rPr>
        <w:t>Dividends on outstanding shares of Series A, Series B and Series C Preferred Stock accrue at a rate of 6% per annum on their original purchase price of $1.00, $1.15 and $1.46 per share, respectively (the “Accruing Dividends”), whether or not declared, and are cumulative. However, Accruing Dividends on the Company’s outstanding redeemable convertible preferred stock are payable only when, as and if declared by the Company’s board of directors, or upon liquidation, redemption or conversion. No dividends may be paid to the holders of the Company’s common stock unless equivalent dividends have been declared and paid on the Company’s outstanding Series A, Series B and Series C Preferred Stock. No dividends have been declared or paid by the Company through March 31, 2019 (unaudited) or December 31, 2018. Accrued dividends totaled $17.7 million and $16.2 million as of March 31, 2019 (unaudited) and December 31, 2018, respectively. Such amounts are included in the carrying values of Series A, Series B and Series C Preferred Stock, and in the accumulated deficit on the Company’s Condensed Consolidated Balance Sheets at March 31, 2019 (unaudited) and December 31, 2018.</w:t>
      </w:r>
    </w:p>
    <w:p>
      <w:pPr>
        <w:spacing w:after="0" w:line="30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Liquidation Preferences</w:t>
      </w:r>
    </w:p>
    <w:p>
      <w:pPr>
        <w:spacing w:after="0" w:line="117" w:lineRule="exact"/>
        <w:rPr>
          <w:sz w:val="20"/>
          <w:szCs w:val="20"/>
          <w:color w:val="auto"/>
        </w:rPr>
      </w:pPr>
    </w:p>
    <w:p>
      <w:pPr>
        <w:ind w:left="200" w:right="220" w:firstLine="551"/>
        <w:spacing w:after="0" w:line="255" w:lineRule="auto"/>
        <w:rPr>
          <w:sz w:val="20"/>
          <w:szCs w:val="20"/>
          <w:color w:val="auto"/>
        </w:rPr>
      </w:pPr>
      <w:r>
        <w:rPr>
          <w:rFonts w:ascii="Arial" w:cs="Arial" w:eastAsia="Arial" w:hAnsi="Arial"/>
          <w:sz w:val="18"/>
          <w:szCs w:val="18"/>
          <w:color w:val="auto"/>
        </w:rPr>
        <w:t>In the event of any voluntary or involuntary liquidation, dissolution or winding up of the Company or deemed liquidation event, the holders of shares of Series C Preferred Stock then outstanding are entitled to be paid out of the assets of the Company that are available for distribution to its stockholders, before any payments are made to the holders of Series A Preferred Stock, Series B Preferred Stock or common stock by reason of their ownership thereof, an amount per share equal to the Series C Preferred Stock original issue price of $1.46 per share, plus any Accruing Dividends accrued but unpaid thereon, whether or not declared, together with any other dividends declared but unpaid thereon. If upon any such liquidation, dissolution or winding up of the Company or</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deemed liquidation event, the assets of the Company available for distribution to its stockholders are insufficient to pay the holders of shares of Series C Preferred Stock the full amount to which they are entitled, the holders of Series C Preferred Stock are entitled to share ratably in any distribution of the assets available for distribution in proportion to the respective amounts which would otherwise be payable in respect of the shares of Series C Preferred Stock held by them upon such distribution if all amounts payable on or with respect to such shares were paid in full.</w:t>
      </w:r>
    </w:p>
    <w:p>
      <w:pPr>
        <w:spacing w:after="0" w:line="171" w:lineRule="exact"/>
        <w:rPr>
          <w:sz w:val="20"/>
          <w:szCs w:val="20"/>
          <w:color w:val="auto"/>
        </w:rPr>
      </w:pPr>
    </w:p>
    <w:p>
      <w:pPr>
        <w:ind w:left="200" w:firstLine="551"/>
        <w:spacing w:after="0" w:line="268"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deemed liquidation event, the holders of shares of Series A Preferred Stock and Series B Preferred Stock then outstanding are entitled to be paid out of the assets of the Company available for distribution to its stockholders after the payment of all preferential amounts required to be paid to the holders of shares of Series C Preferred Stock but before any payment is made to the holders of common stock by reason of their ownership thereof, (i) an amount per share equal to the Series A original issue price of $1.00 per share in the case of the Series A Preferred Stock, plus any Accruing Dividends accrued but unpaid thereon, whether or not declared, together with any other dividends declared but unpaid thereon, and (ii) an amount per share equal to the Series B original issue price of $1.15 per share in the case of the Series B Preferred Stock, plus any Accruing Dividends accrued but unpaid thereon, whether or not declared, together with any other dividends declared but unpaid thereon. If upon any such liquidation, dissolution or winding up of the Company or deemed liquidation event, the assets of the Company available for distribution to its stockholders are insufficient to pay the holders of shares of Series A Preferred Stock and Series B Preferred Stock the full amount to which they are entitled (after the payment in full of all preferential amounts required to be paid to the holders of shares of Series C Preferred Stock), the holders of shares of Series A Preferred Stock and Series B Preferred Stock are entitled to share ratably in any distribution of the assets available for distribution in respect of such shares in proportion to the respective amounts which would otherwise be payable in respect of the share of Series A Preferred Stock and Series B Preferred Stock held by them upon such distribution if all amounts payable on or with respect to such shares were paid in full.</w:t>
      </w:r>
    </w:p>
    <w:p>
      <w:pPr>
        <w:spacing w:after="0" w:line="185" w:lineRule="exact"/>
        <w:rPr>
          <w:sz w:val="20"/>
          <w:szCs w:val="20"/>
          <w:color w:val="auto"/>
        </w:rPr>
      </w:pPr>
    </w:p>
    <w:p>
      <w:pPr>
        <w:ind w:left="200" w:right="220" w:firstLine="551"/>
        <w:spacing w:after="0" w:line="255" w:lineRule="auto"/>
        <w:rPr>
          <w:sz w:val="20"/>
          <w:szCs w:val="20"/>
          <w:color w:val="auto"/>
        </w:rPr>
      </w:pPr>
      <w:r>
        <w:rPr>
          <w:rFonts w:ascii="Arial" w:cs="Arial" w:eastAsia="Arial" w:hAnsi="Arial"/>
          <w:sz w:val="18"/>
          <w:szCs w:val="18"/>
          <w:color w:val="auto"/>
        </w:rPr>
        <w:t>In the event of any voluntary or involuntary liquidation, dissolution or winding up of the Company or deemed liquidation event, after the payment of all preferential amounts required to be paid to the holders of shares of redeemable convertible preferred stock, the remaining assets of the Company available for distribution to its stockholders would be distributed among the holders of the shares of redeemable convertible preferred stock and common stock, in proportion to the number of shares held by each such holder, treating for this purpose all such securities as if they had been converted into common stock pursuant to the terms of the Company’s certificate of incorporation immediately prior to such dissolution, liquidation or winding up of the Company.</w:t>
      </w:r>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17" w:lineRule="exact"/>
        <w:rPr>
          <w:sz w:val="20"/>
          <w:szCs w:val="20"/>
          <w:color w:val="auto"/>
        </w:rPr>
      </w:pPr>
    </w:p>
    <w:p>
      <w:pPr>
        <w:ind w:left="200" w:right="180" w:firstLine="551"/>
        <w:spacing w:after="0" w:line="257" w:lineRule="auto"/>
        <w:rPr>
          <w:sz w:val="20"/>
          <w:szCs w:val="20"/>
          <w:color w:val="auto"/>
        </w:rPr>
      </w:pPr>
      <w:r>
        <w:rPr>
          <w:rFonts w:ascii="Arial" w:cs="Arial" w:eastAsia="Arial" w:hAnsi="Arial"/>
          <w:sz w:val="18"/>
          <w:szCs w:val="18"/>
          <w:color w:val="auto"/>
        </w:rPr>
        <w:t>The Company’s certificate of incorporation provides that, unless prohibited by Delaware law governing distributions to stockholders, shares of the redeemable convertible preferred stock must be redeemed by the Company in three annual installments commencing not more than 60 days after receipt by the Company, at any time on or after July 14, 2020, of written notice from the holders of at least a majority of the outstanding shares of redeemable convertible preferred stock, voting together as a single class on an as-converted basis, requesting redemption of all shares of redeemable convertible preferred stock (a “Redemption Request”).</w:t>
      </w:r>
    </w:p>
    <w:p>
      <w:pPr>
        <w:spacing w:after="0" w:line="188" w:lineRule="exact"/>
        <w:rPr>
          <w:sz w:val="20"/>
          <w:szCs w:val="20"/>
          <w:color w:val="auto"/>
        </w:rPr>
      </w:pPr>
    </w:p>
    <w:p>
      <w:pPr>
        <w:ind w:left="200" w:right="80" w:firstLine="551"/>
        <w:spacing w:after="0" w:line="285" w:lineRule="auto"/>
        <w:rPr>
          <w:sz w:val="20"/>
          <w:szCs w:val="20"/>
          <w:color w:val="auto"/>
        </w:rPr>
      </w:pPr>
      <w:r>
        <w:rPr>
          <w:rFonts w:ascii="Arial" w:cs="Arial" w:eastAsia="Arial" w:hAnsi="Arial"/>
          <w:sz w:val="16"/>
          <w:szCs w:val="16"/>
          <w:color w:val="auto"/>
        </w:rPr>
        <w:t>In that event, unless prohibited by Delaware law governing distributions to stockholders, generally in connection with an insolvent corporation, shares of Series A Preferred Stock, Series B Preferred Stock and Series C Preferred Stock, respectively, are redeemed by the Company at a price equal to the greater of (A) the applicable original issue price per share for such series of redeemable convertible preferred stock, plus any Accruing Dividends accrued but unpaid thereon, whether or not declared, together with any other dividends declared but unpaid thereon, which totaled $20.7 million for Series A Preferred Stock, $33.3 million for Series B Preferred Stock and $70.7 million for Series C Preferred Stock at March 31, 2019 (unaudited), and</w:t>
      </w:r>
    </w:p>
    <w:p>
      <w:pPr>
        <w:spacing w:after="0" w:line="2" w:lineRule="exact"/>
        <w:rPr>
          <w:sz w:val="20"/>
          <w:szCs w:val="20"/>
          <w:color w:val="auto"/>
        </w:rPr>
      </w:pPr>
    </w:p>
    <w:p>
      <w:pPr>
        <w:ind w:left="200" w:right="40" w:firstLine="4"/>
        <w:spacing w:after="0" w:line="286" w:lineRule="auto"/>
        <w:tabs>
          <w:tab w:leader="none" w:pos="48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fair market value per share of Series A Preferred Stock, Series B Preferred Stock or Series C Preferred Stock, as the case may be, as of the date of the Company’s receipt of the Redemption Request. For purposes of these redemption rights, the fair market value per share of the Series A Preferred Stock is the value per share of Series A Preferred Stock as mutually agreed upon by the Company and the holders of 60% of the shares of Series A Preferred Stock then outstanding, and, in the event that they are unable to reach agreement, by a third-party appraiser agreed to by the Company and the holders of a majority of the shares of Series A Preferred Stock then outstanding; the fair market value per share of the Series B Preferred Stock is the value per share of Series B Preferred Stock as mutually agreed upon by the Company and the holders of 60% of the shares of Series B Preferred Stock then outstanding, and, in the event that they are unable to reach agreement, by a third-party appraiser agreed to by the Company and the holders of a majority of the shares of Series B Preferred Stock then outstanding; and the fair market value per share of the Series C Preferred Stock is the value per share of Series C Preferred Stock as mutually agreed upon by the Company and the holders of 66 2/3% of the shares of Series C Preferred Stock then outstanding, and, in the event that they are unable to reach agreement, by a third-party appraiser agreed to by the Company and the holders of a majority of the shares of Series C Preferred Stock then outstanding.</w:t>
      </w:r>
    </w:p>
    <w:p>
      <w:pPr>
        <w:spacing w:after="0" w:line="167" w:lineRule="exact"/>
        <w:rPr>
          <w:sz w:val="20"/>
          <w:szCs w:val="20"/>
          <w:color w:val="auto"/>
        </w:rPr>
      </w:pPr>
    </w:p>
    <w:p>
      <w:pPr>
        <w:ind w:left="200" w:right="20" w:firstLine="551"/>
        <w:spacing w:after="0" w:line="259" w:lineRule="auto"/>
        <w:rPr>
          <w:sz w:val="20"/>
          <w:szCs w:val="20"/>
          <w:color w:val="auto"/>
        </w:rPr>
      </w:pPr>
      <w:r>
        <w:rPr>
          <w:rFonts w:ascii="Arial" w:cs="Arial" w:eastAsia="Arial" w:hAnsi="Arial"/>
          <w:sz w:val="18"/>
          <w:szCs w:val="18"/>
          <w:color w:val="auto"/>
        </w:rPr>
        <w:t>As a result of the redemption rights described above, the carrying values of Series A Preferred Stock of $21.2 million and $21.0 million as of March 31, 2019 (unaudited) and December 31, 2018, respectively, Series B Preferred Stock of $33.9 million and $33.7 million as of March 31, 2019 (unaudited) and December 31, 2018, respectively, and Series C Preferred Stock of $73.0 million and $61.0 million as of March 31, 2019 (unaudited) and December 31, 2018, respectively, have been classified as temporary equity,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7" w:lineRule="auto"/>
        <w:rPr>
          <w:sz w:val="20"/>
          <w:szCs w:val="20"/>
          <w:color w:val="auto"/>
        </w:rPr>
      </w:pPr>
      <w:r>
        <w:rPr>
          <w:rFonts w:ascii="Arial" w:cs="Arial" w:eastAsia="Arial" w:hAnsi="Arial"/>
          <w:sz w:val="16"/>
          <w:szCs w:val="16"/>
          <w:color w:val="auto"/>
        </w:rPr>
        <w:t>and are presented between liabilities and stockholders’ equity on the Company’s Condensed Consolidated Balance Sheets in accordance with ASC 480. The Company will accrete the carrying value of the redeemable convertible preferred stock up to the expected redemption value over the estimated Redemption Period. The accretion will include cumulative unpaid and undeclared Accruing Dividends as well as additional increases, if any, when the fair value of the redeemable convertible preferred stock exceeds the liquidation value at any point during the Redemption Period. As a result of the shortfall of the fair value of the Series A Preferred Stock as compared to its liquidation value as of March 31, 2019 and 2018 (unaudited), the Company adjusted accretion recorded in previous periods by $0.1 million in the three months ended March 31, 2019 and 2018 (unaudited). As a result of the shortfall of the fair value of the Series B Preferred Stock as compared to its liquidation value as of March 31, 2019 and 2018 (unaudited), the Company adjusted accretion recorded in previous periods $0.2 million in the three months ended March 31, 2019 and 2018 (unaudited). At March 31, 2019 (unaudited), as a result of the shortfall of fair value of the Series C preferred stock as compared to its liquidation value, the Company reversed accretion previously recorded in 2018 by $0.1 million. As a result of the excess of the fair value of the Series C Preferred Stock as compared to its liquidation value as of March 31, 2018, the Company recorded accretion of $0.1 million.</w:t>
      </w:r>
    </w:p>
    <w:p>
      <w:pPr>
        <w:spacing w:after="0" w:line="173" w:lineRule="exact"/>
        <w:rPr>
          <w:sz w:val="20"/>
          <w:szCs w:val="20"/>
          <w:color w:val="auto"/>
        </w:rPr>
      </w:pPr>
    </w:p>
    <w:p>
      <w:pPr>
        <w:ind w:left="200" w:firstLine="551"/>
        <w:spacing w:after="0" w:line="270" w:lineRule="auto"/>
        <w:rPr>
          <w:sz w:val="20"/>
          <w:szCs w:val="20"/>
          <w:color w:val="auto"/>
        </w:rPr>
      </w:pPr>
      <w:r>
        <w:rPr>
          <w:rFonts w:ascii="Arial" w:cs="Arial" w:eastAsia="Arial" w:hAnsi="Arial"/>
          <w:sz w:val="17"/>
          <w:szCs w:val="17"/>
          <w:color w:val="auto"/>
        </w:rPr>
        <w:t>At March 31, 2019 (unaudited), the fair value of the Company’s Series A Preferred Stock, Series B Preferred Stock and Series C Preferred Stock was determined utilizing a probability-weighted modeling approach that included both IPO and non-IPO based scenarios. The non-IPO based scenarios included the fair value estimates of the Company’s common stock, before marketability discount, of $0.37, and each issue of its redeemable convertible preferred stock of: $0.82 for its Series A Preferred Stock; $0.86 for its Series B Preferred Stock; and $1.44 for its Series C Preferred Stock, each calculated at December 31, 2018 as described below, as there were no clinical development milestones either achieved or not achieved during the period, and it was deemed that the Company’s total equity value had not changed to any significant degree though the March 31, 2019 (unaudited) measurement date. Additional significant inputs utilized for the non-IPO based scenario was a probability factor of 50% and a marketability discount of 20% applied in arriving at the fair value of the common stock. The IPO-based scenario utilized an expected pre-money valuation upon IPO; cost of equity estimate of 15%; estimated time to IPO date of 0.12 years; and probability factor of 50%.</w:t>
      </w:r>
    </w:p>
    <w:p>
      <w:pPr>
        <w:spacing w:after="0" w:line="182" w:lineRule="exact"/>
        <w:rPr>
          <w:sz w:val="20"/>
          <w:szCs w:val="20"/>
          <w:color w:val="auto"/>
        </w:rPr>
      </w:pPr>
    </w:p>
    <w:p>
      <w:pPr>
        <w:ind w:left="200" w:right="160" w:firstLine="551"/>
        <w:spacing w:after="0" w:line="254" w:lineRule="auto"/>
        <w:rPr>
          <w:sz w:val="20"/>
          <w:szCs w:val="20"/>
          <w:color w:val="auto"/>
        </w:rPr>
      </w:pPr>
      <w:r>
        <w:rPr>
          <w:rFonts w:ascii="Arial" w:cs="Arial" w:eastAsia="Arial" w:hAnsi="Arial"/>
          <w:sz w:val="18"/>
          <w:szCs w:val="18"/>
          <w:color w:val="auto"/>
        </w:rPr>
        <w:t>At December 31, 2017, the fair value of the Company’s Series A Preferred Stock, Series B Preferred Stock and Series C Preferred Stock was determined utilizing the OPM; whereby each class of stock is modeled as a call option with a unique claim on the assets of the Company. Stock characteristics that were incorporated directly into the option valuation model include liquidation preferences, participation features, convertibility features and ratios, and value-sharing between classes of stock. The Company’s equity value was estimated by employing a back-solving approach to determine its implied equity value at December 31, 2017 based on the initial closing of the Series C Preferred Stock financing completed in July 2017. A Black-Scholes options pricing approach was utilized under the OPM to determine the fair value of each security, with significant inputs including a $1.44 fair value of the Series C Preferred Stock, a risk-free rate of 1.95%, volatility of 78.0% and a probability-weighted estimate of time to liquidity event of 2.71 years.</w:t>
      </w:r>
    </w:p>
    <w:p>
      <w:pPr>
        <w:spacing w:after="0" w:line="192" w:lineRule="exact"/>
        <w:rPr>
          <w:sz w:val="20"/>
          <w:szCs w:val="20"/>
          <w:color w:val="auto"/>
        </w:rPr>
      </w:pPr>
    </w:p>
    <w:p>
      <w:pPr>
        <w:ind w:left="200" w:right="20" w:firstLine="551"/>
        <w:spacing w:after="0" w:line="255" w:lineRule="auto"/>
        <w:rPr>
          <w:sz w:val="20"/>
          <w:szCs w:val="20"/>
          <w:color w:val="auto"/>
        </w:rPr>
      </w:pPr>
      <w:r>
        <w:rPr>
          <w:rFonts w:ascii="Arial" w:cs="Arial" w:eastAsia="Arial" w:hAnsi="Arial"/>
          <w:sz w:val="18"/>
          <w:szCs w:val="18"/>
          <w:color w:val="auto"/>
        </w:rPr>
        <w:t>Financing costs of approximately $166 that were netted against the proceeds from the 2013 and 2012 Series A Preferred Stock financings are being accreted to Series A Preferred Stock over the period from their respective issuance dates to the earliest redemption date of July 14, 2020. The Company recorded $1 in accretion for financing costs for the three months ended March 31, 2019 and 2018 (unaudited ), respectively, with such amounts included in accumulated deficit. In addition, the investor rights/obligation that was allocated from proceeds from the Series A Preferred Stock financings of $2.8 million, less $520 representing its fair value on the date of its exercise as noted above, is being accreted over the Redemption Period. The Company recorded $14 in accretion of investor rights/obligation in the three months ended March 31, 2019 and 2018 (unaudited), respectively, with such amounts included in accumulated deficit.</w:t>
      </w:r>
    </w:p>
    <w:p>
      <w:pPr>
        <w:spacing w:after="0" w:line="189" w:lineRule="exact"/>
        <w:rPr>
          <w:sz w:val="20"/>
          <w:szCs w:val="20"/>
          <w:color w:val="auto"/>
        </w:rPr>
      </w:pPr>
    </w:p>
    <w:p>
      <w:pPr>
        <w:ind w:left="200" w:right="20" w:firstLine="551"/>
        <w:spacing w:after="0" w:line="272" w:lineRule="auto"/>
        <w:rPr>
          <w:sz w:val="20"/>
          <w:szCs w:val="20"/>
          <w:color w:val="auto"/>
        </w:rPr>
      </w:pPr>
      <w:r>
        <w:rPr>
          <w:rFonts w:ascii="Arial" w:cs="Arial" w:eastAsia="Arial" w:hAnsi="Arial"/>
          <w:sz w:val="17"/>
          <w:szCs w:val="17"/>
          <w:color w:val="auto"/>
        </w:rPr>
        <w:t>Financing costs of approximately $76 that were netted against the proceeds from the 2014 Series B Preferred Stock financings are being accreted to Series B Preferred Stock over the period from their respective issuance dates to the earliest redemption date of July 14, 2020. The Company recorded $1 and $3 in accretion for financing costs in the three months ended March 31, 2019 (unaudited) and the year ended December 31, 2018, respectively, with such amounts included in accumulated deficit. In addition, the investor rights/obligation that was allocated from proceeds from the Series B Preferred Stock financings of $2.0 million is being accreted over the remaining Redemption Period discussed above. The Company recorded $19 and $20 in accretion of Series B Preferred Stock investor rights/obligation in the three months ended March 31, 2019 and 2018 (unaudited), respectively, with such amounts included in accumulated deficit.</w:t>
      </w:r>
    </w:p>
    <w:p>
      <w:pPr>
        <w:spacing w:after="0" w:line="178" w:lineRule="exact"/>
        <w:rPr>
          <w:sz w:val="20"/>
          <w:szCs w:val="20"/>
          <w:color w:val="auto"/>
        </w:rPr>
      </w:pPr>
    </w:p>
    <w:p>
      <w:pPr>
        <w:ind w:left="200" w:right="20" w:firstLine="551"/>
        <w:spacing w:after="0" w:line="259" w:lineRule="auto"/>
        <w:rPr>
          <w:sz w:val="20"/>
          <w:szCs w:val="20"/>
          <w:color w:val="auto"/>
        </w:rPr>
      </w:pPr>
      <w:r>
        <w:rPr>
          <w:rFonts w:ascii="Arial" w:cs="Arial" w:eastAsia="Arial" w:hAnsi="Arial"/>
          <w:sz w:val="18"/>
          <w:szCs w:val="18"/>
          <w:color w:val="auto"/>
        </w:rPr>
        <w:t>Financing costs of approximately $379 that were netted against the proceeds from the 2017, 2018 and 2019 Series C Preferred Stock financings are being accreted to Series C Preferred Stock over the period from their respective issuance dates to the earliest redemption date of July 14, 2020. The Company recorded $35 and $25 in accretion for financing costs in the three months ended March 31, 2019 and 2018 (unaudited), respectively, with such amounts included in accumulated deficit.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Optional Conversion</w:t>
      </w:r>
    </w:p>
    <w:p>
      <w:pPr>
        <w:spacing w:after="0" w:line="117" w:lineRule="exact"/>
        <w:rPr>
          <w:sz w:val="20"/>
          <w:szCs w:val="20"/>
          <w:color w:val="auto"/>
        </w:rPr>
      </w:pPr>
    </w:p>
    <w:p>
      <w:pPr>
        <w:ind w:left="200" w:right="40" w:firstLine="551"/>
        <w:spacing w:after="0" w:line="276" w:lineRule="auto"/>
        <w:rPr>
          <w:sz w:val="20"/>
          <w:szCs w:val="20"/>
          <w:color w:val="auto"/>
        </w:rPr>
      </w:pPr>
      <w:r>
        <w:rPr>
          <w:rFonts w:ascii="Arial" w:cs="Arial" w:eastAsia="Arial" w:hAnsi="Arial"/>
          <w:sz w:val="17"/>
          <w:szCs w:val="17"/>
          <w:color w:val="auto"/>
        </w:rPr>
        <w:t>Each holder of Series A, Series B or Series C Preferred Stock may convert any or all of such holder’s redeemable convertible preferred stock into common stock at any time. Each share of Series A Preferred Stock, Series B Preferred Stock and Series C Preferred Stock is convertible into such number of shares of common stock as is determined by dividing the original issue price of such series by the conversion price for such series in effect at the time of conversion. As of March 31, 2019 (unaudited) and December 31, 2018, each share of Series A Preferred Stock, Series B Preferred Stock and Series C Preferred Stock was convertible into common stock at a one-to-one conversion ratio.</w:t>
      </w:r>
    </w:p>
    <w:p>
      <w:pPr>
        <w:spacing w:after="0" w:line="173" w:lineRule="exact"/>
        <w:rPr>
          <w:sz w:val="20"/>
          <w:szCs w:val="20"/>
          <w:color w:val="auto"/>
        </w:rPr>
      </w:pPr>
    </w:p>
    <w:p>
      <w:pPr>
        <w:ind w:left="200" w:right="140" w:firstLine="551"/>
        <w:spacing w:after="0" w:line="297" w:lineRule="auto"/>
        <w:rPr>
          <w:sz w:val="20"/>
          <w:szCs w:val="20"/>
          <w:color w:val="auto"/>
        </w:rPr>
      </w:pPr>
      <w:r>
        <w:rPr>
          <w:rFonts w:ascii="Arial" w:cs="Arial" w:eastAsia="Arial" w:hAnsi="Arial"/>
          <w:sz w:val="16"/>
          <w:szCs w:val="16"/>
          <w:color w:val="auto"/>
        </w:rPr>
        <w:t>In addition, upon conversion of shares of Series A, Series B or Series C Preferred Stock, a holder is entitled to receive, at the election of the holder, either (i) payment in cash of any Accruing Dividends declared but unpaid thereon, or (ii) such number of shares of common stock as is determined by dividing the Accruing Dividends for such share of Series A, Series B or Series C Preferred Stock, by the applicable conversion price for such series of redeemable preferred stock in effect at the time of conversion. The conversion prices for Series A, Series B or Series C Preferred Stock are subject to adjustment based on certain events specified in the Company’s certificate of incorporation, including anti-dilution adjustments.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Mandatory Conversion</w:t>
      </w:r>
    </w:p>
    <w:p>
      <w:pPr>
        <w:spacing w:after="0" w:line="225" w:lineRule="exact"/>
        <w:rPr>
          <w:sz w:val="20"/>
          <w:szCs w:val="20"/>
          <w:color w:val="auto"/>
        </w:rPr>
      </w:pPr>
    </w:p>
    <w:p>
      <w:pPr>
        <w:ind w:left="200" w:right="120" w:firstLine="551"/>
        <w:spacing w:after="0" w:line="257" w:lineRule="auto"/>
        <w:rPr>
          <w:sz w:val="20"/>
          <w:szCs w:val="20"/>
          <w:color w:val="auto"/>
        </w:rPr>
      </w:pPr>
      <w:r>
        <w:rPr>
          <w:rFonts w:ascii="Arial" w:cs="Arial" w:eastAsia="Arial" w:hAnsi="Arial"/>
          <w:sz w:val="18"/>
          <w:szCs w:val="18"/>
          <w:color w:val="auto"/>
        </w:rPr>
        <w:t>Upon the closing of a qualified public offering of common stock, as defined in the Company’s certificate of incorporation, or approval of (i) the holders of at least 60% of the Series A Preferred Stock then outstanding, voting separately as a class, (ii) the holders of at least 60% of the Series B Preferred Stock then outstanding, voting separately as a class and (iii) the holders of at least 66 2/3% of the Series C Preferred Stock then outstanding, voting separately as a class, all outstanding shares of redeemable convertible preferred stock automatically convert into common stock at the then-applicable conversion rate for such shares.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200" w:right="60" w:firstLine="551"/>
        <w:spacing w:after="0" w:line="270" w:lineRule="auto"/>
        <w:rPr>
          <w:sz w:val="20"/>
          <w:szCs w:val="20"/>
          <w:color w:val="auto"/>
        </w:rPr>
      </w:pPr>
      <w:r>
        <w:rPr>
          <w:rFonts w:ascii="Arial" w:cs="Arial" w:eastAsia="Arial" w:hAnsi="Arial"/>
          <w:sz w:val="17"/>
          <w:szCs w:val="17"/>
          <w:color w:val="auto"/>
        </w:rPr>
        <w:t>Except as otherwise provided by law or by the other provisions of the Company’s certificate of incorporation, the holders of redeemable convertible preferred stock are entitled to vote as one class with the holders of common stock on any matter presented to the stockholders of the Company for their action or consideration at any meeting of stockholders of the Company (or by written consent of stockholders in lieu of a meeting), and each holder of outstanding shares of redeemable convertible preferred stock is entitled to cast the number of votes equal to the number of whole shares of common stock into which the shares of redeemable convertible preferred stock held by such holder are convertible as of the record date for determining stockholders entitled to vote on the matter. The holders of record of the shares of the Company’s Series B Preferred Stock, exclusively and as a separate class, are entitled to elect two directors of the Company, the holders of record of the shares of Series C Preferred Stock, exclusively, and as a separate class, are entitled to elect three directors of the Company, and the holders of record of the shares of common stock of the Company, exclusively and as a separate class, are entitled to elect two directors of the Company.</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200" w:right="220" w:firstLine="551"/>
        <w:spacing w:after="0" w:line="277" w:lineRule="auto"/>
        <w:rPr>
          <w:sz w:val="20"/>
          <w:szCs w:val="20"/>
          <w:color w:val="auto"/>
        </w:rPr>
      </w:pPr>
      <w:r>
        <w:rPr>
          <w:rFonts w:ascii="Arial" w:cs="Arial" w:eastAsia="Arial" w:hAnsi="Arial"/>
          <w:sz w:val="18"/>
          <w:szCs w:val="18"/>
          <w:color w:val="auto"/>
        </w:rPr>
        <w:t>The holders of shares of Series A Preferred Stock, Series B Preferred Stock and Series C Preferred Stock have certain registration rights as set forth in an investors’ rights agreement between the Company and certain of its stockholders.</w:t>
      </w:r>
    </w:p>
    <w:p>
      <w:pPr>
        <w:spacing w:after="0" w:line="315" w:lineRule="exact"/>
        <w:rPr>
          <w:sz w:val="20"/>
          <w:szCs w:val="20"/>
          <w:color w:val="auto"/>
        </w:rPr>
      </w:pPr>
    </w:p>
    <w:p>
      <w:pPr>
        <w:ind w:left="740" w:hanging="536"/>
        <w:spacing w:after="0"/>
        <w:tabs>
          <w:tab w:leader="none" w:pos="7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ind w:left="200" w:right="80" w:firstLine="551"/>
        <w:spacing w:after="0" w:line="264" w:lineRule="auto"/>
        <w:rPr>
          <w:sz w:val="20"/>
          <w:szCs w:val="20"/>
          <w:color w:val="auto"/>
        </w:rPr>
      </w:pPr>
      <w:r>
        <w:rPr>
          <w:rFonts w:ascii="Arial" w:cs="Arial" w:eastAsia="Arial" w:hAnsi="Arial"/>
          <w:sz w:val="18"/>
          <w:szCs w:val="18"/>
          <w:color w:val="auto"/>
        </w:rPr>
        <w:t>The Company’s 2012 Stock Incentive Plan (the “Plan”), as amended, was adopted by the Company’s board of directors and stockholders. The Company’s board of directors administers the Plan. The Plan provides for the issuance of stock-based awards to the Company’s employees, officers and directors, as well as non-employee/consultants and advisors to the Company.</w:t>
      </w:r>
    </w:p>
    <w:p>
      <w:pPr>
        <w:spacing w:after="0" w:line="181" w:lineRule="exact"/>
        <w:rPr>
          <w:sz w:val="20"/>
          <w:szCs w:val="20"/>
          <w:color w:val="auto"/>
        </w:rPr>
      </w:pPr>
    </w:p>
    <w:p>
      <w:pPr>
        <w:ind w:left="200" w:right="220" w:firstLine="551"/>
        <w:spacing w:after="0" w:line="277" w:lineRule="auto"/>
        <w:rPr>
          <w:sz w:val="20"/>
          <w:szCs w:val="20"/>
          <w:color w:val="auto"/>
        </w:rPr>
      </w:pPr>
      <w:r>
        <w:rPr>
          <w:rFonts w:ascii="Arial" w:cs="Arial" w:eastAsia="Arial" w:hAnsi="Arial"/>
          <w:sz w:val="18"/>
          <w:szCs w:val="18"/>
          <w:color w:val="auto"/>
        </w:rPr>
        <w:t>On May 30, 2018, the Company’s board of directors adopted a resolution to amend the Plan, thereby giving authority to the Company to grant awards under the Plan for up to 1,245,903 shares of common stock.</w:t>
      </w:r>
    </w:p>
    <w:p>
      <w:pPr>
        <w:spacing w:after="0" w:line="170" w:lineRule="exact"/>
        <w:rPr>
          <w:sz w:val="20"/>
          <w:szCs w:val="20"/>
          <w:color w:val="auto"/>
        </w:rPr>
      </w:pPr>
    </w:p>
    <w:p>
      <w:pPr>
        <w:ind w:left="200" w:right="140" w:firstLine="551"/>
        <w:spacing w:after="0" w:line="259" w:lineRule="auto"/>
        <w:rPr>
          <w:sz w:val="20"/>
          <w:szCs w:val="20"/>
          <w:color w:val="auto"/>
        </w:rPr>
      </w:pPr>
      <w:r>
        <w:rPr>
          <w:rFonts w:ascii="Arial" w:cs="Arial" w:eastAsia="Arial" w:hAnsi="Arial"/>
          <w:sz w:val="18"/>
          <w:szCs w:val="18"/>
          <w:color w:val="auto"/>
        </w:rPr>
        <w:t>Options granted under the Plan have a maximum term of ten years. Options vest over four years based on varying vesting schedules including: 25% vesting on the first anniversary date of grant and the balance ratably over the next 36 months or vesting in equal monthly or quarterly installments over four years. As of March 31, 2019 (unaudited) and December 31, 2018, respectively, options to purchase 1,059,057 and 1,077,148 shares of common stock were granted and outstanding, net of cancelations.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stock options were granted during the three months ended March 31, 2019 and 2018 (unaudited).</w:t>
      </w:r>
    </w:p>
    <w:p>
      <w:pPr>
        <w:spacing w:after="0" w:line="225" w:lineRule="exact"/>
        <w:rPr>
          <w:sz w:val="20"/>
          <w:szCs w:val="20"/>
          <w:color w:val="auto"/>
        </w:rPr>
      </w:pPr>
    </w:p>
    <w:p>
      <w:pPr>
        <w:ind w:left="200" w:firstLine="551"/>
        <w:spacing w:after="0" w:line="277" w:lineRule="auto"/>
        <w:rPr>
          <w:sz w:val="20"/>
          <w:szCs w:val="20"/>
          <w:color w:val="auto"/>
        </w:rPr>
      </w:pPr>
      <w:r>
        <w:rPr>
          <w:rFonts w:ascii="Arial" w:cs="Arial" w:eastAsia="Arial" w:hAnsi="Arial"/>
          <w:sz w:val="18"/>
          <w:szCs w:val="18"/>
          <w:color w:val="auto"/>
        </w:rPr>
        <w:t>During the three months ended March 31, 2019 and 2018 (unaudited), stock options were exercised for 7,894 and 5,679 shares of common stock, respectively.</w:t>
      </w:r>
    </w:p>
    <w:p>
      <w:pPr>
        <w:sectPr>
          <w:pgSz w:w="11900" w:h="16838" w:orient="portrait"/>
          <w:cols w:equalWidth="0" w:num="1">
            <w:col w:w="11220"/>
          </w:cols>
          <w:pgMar w:left="240" w:top="459" w:right="439" w:bottom="1440" w:gutter="0" w:footer="0" w:header="0"/>
        </w:sectPr>
      </w:pP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20"/>
          </w:cols>
          <w:pgMar w:left="24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551"/>
        <w:spacing w:after="0" w:line="277" w:lineRule="auto"/>
        <w:rPr>
          <w:sz w:val="20"/>
          <w:szCs w:val="20"/>
          <w:color w:val="auto"/>
        </w:rPr>
      </w:pPr>
      <w:r>
        <w:rPr>
          <w:rFonts w:ascii="Arial" w:cs="Arial" w:eastAsia="Arial" w:hAnsi="Arial"/>
          <w:sz w:val="18"/>
          <w:szCs w:val="18"/>
          <w:color w:val="auto"/>
        </w:rPr>
        <w:t>During the three months ended March 31, 2019 (unaudited), stock options to purchase 10,197 shares of the Company’s common stock were forfeited. No stock options were forfeited during the three months ended March 31, 2019 (unaudited).</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three months ended, March 31, 2019 and 2018 (unaudited), no stock options expired.</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the Company’s option activity is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1,077,148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Expired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Outstanding as of March 31, 2019 (unaudited)</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1,059,057</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as of March 31, 2019 (unaudited)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540,706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Options unvested as of March 31, 2019 (unaudited)</w:t>
            </w:r>
          </w:p>
        </w:tc>
        <w:tc>
          <w:tcPr>
            <w:tcW w:w="960" w:type="dxa"/>
            <w:vAlign w:val="bottom"/>
          </w:tcPr>
          <w:p>
            <w:pPr>
              <w:jc w:val="right"/>
              <w:spacing w:after="0"/>
              <w:rPr>
                <w:sz w:val="20"/>
                <w:szCs w:val="20"/>
                <w:color w:val="auto"/>
              </w:rPr>
            </w:pPr>
            <w:r>
              <w:rPr>
                <w:rFonts w:ascii="Arial" w:cs="Arial" w:eastAsia="Arial" w:hAnsi="Arial"/>
                <w:sz w:val="18"/>
                <w:szCs w:val="18"/>
                <w:color w:val="auto"/>
              </w:rPr>
              <w:t>518,351</w:t>
            </w:r>
          </w:p>
        </w:tc>
        <w:tc>
          <w:tcPr>
            <w:tcW w:w="1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400" w:firstLine="551"/>
        <w:spacing w:after="0" w:line="277" w:lineRule="auto"/>
        <w:rPr>
          <w:sz w:val="20"/>
          <w:szCs w:val="20"/>
          <w:color w:val="auto"/>
        </w:rPr>
      </w:pPr>
      <w:r>
        <w:rPr>
          <w:rFonts w:ascii="Arial" w:cs="Arial" w:eastAsia="Arial" w:hAnsi="Arial"/>
          <w:sz w:val="18"/>
          <w:szCs w:val="18"/>
          <w:color w:val="auto"/>
        </w:rPr>
        <w:t>The aggregate fair value of stock options that vested during the three months ended March 31, 2019 and 2018 (unaudited) was $68 and $39, respectively.</w:t>
      </w:r>
    </w:p>
    <w:p>
      <w:pPr>
        <w:spacing w:after="0" w:line="170" w:lineRule="exact"/>
        <w:rPr>
          <w:sz w:val="20"/>
          <w:szCs w:val="20"/>
          <w:color w:val="auto"/>
        </w:rPr>
      </w:pPr>
    </w:p>
    <w:p>
      <w:pPr>
        <w:jc w:val="both"/>
        <w:ind w:left="200" w:right="100" w:firstLine="551"/>
        <w:spacing w:after="0" w:line="31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during the three months ended March 31, 2019 and 2018 (unaudited) $50 and $6, respectively.</w:t>
      </w:r>
    </w:p>
    <w:p>
      <w:pPr>
        <w:spacing w:after="0" w:line="147" w:lineRule="exact"/>
        <w:rPr>
          <w:sz w:val="20"/>
          <w:szCs w:val="20"/>
          <w:color w:val="auto"/>
        </w:rPr>
      </w:pPr>
    </w:p>
    <w:p>
      <w:pPr>
        <w:ind w:left="200" w:right="40" w:firstLine="551"/>
        <w:spacing w:after="0" w:line="277" w:lineRule="auto"/>
        <w:rPr>
          <w:sz w:val="20"/>
          <w:szCs w:val="20"/>
          <w:color w:val="auto"/>
        </w:rPr>
      </w:pPr>
      <w:r>
        <w:rPr>
          <w:rFonts w:ascii="Arial" w:cs="Arial" w:eastAsia="Arial" w:hAnsi="Arial"/>
          <w:sz w:val="18"/>
          <w:szCs w:val="18"/>
          <w:color w:val="auto"/>
        </w:rPr>
        <w:t>The following table summarizes the classifications of stock-based compensation expenses recognized in the Condensed Consolidated Statements of Operations: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254"/>
              <w:spacing w:after="0"/>
              <w:rPr>
                <w:sz w:val="20"/>
                <w:szCs w:val="20"/>
                <w:color w:val="auto"/>
              </w:rPr>
            </w:pPr>
            <w:r>
              <w:rPr>
                <w:rFonts w:ascii="Arial" w:cs="Arial" w:eastAsia="Arial" w:hAnsi="Arial"/>
                <w:sz w:val="14"/>
                <w:szCs w:val="14"/>
                <w:b w:val="1"/>
                <w:bCs w:val="1"/>
                <w:color w:val="auto"/>
                <w:w w:val="83"/>
              </w:rPr>
              <w:t>2018</w:t>
            </w:r>
          </w:p>
        </w:tc>
        <w:tc>
          <w:tcPr>
            <w:tcW w:w="60" w:type="dxa"/>
            <w:vAlign w:val="bottom"/>
          </w:tcPr>
          <w:p>
            <w:pPr>
              <w:spacing w:after="0"/>
              <w:rPr>
                <w:sz w:val="15"/>
                <w:szCs w:val="15"/>
                <w:color w:val="auto"/>
              </w:rPr>
            </w:pPr>
          </w:p>
        </w:tc>
      </w:tr>
      <w:tr>
        <w:trPr>
          <w:trHeight w:val="111"/>
        </w:trPr>
        <w:tc>
          <w:tcPr>
            <w:tcW w:w="20" w:type="dxa"/>
            <w:vAlign w:val="bottom"/>
          </w:tcPr>
          <w:p>
            <w:pPr>
              <w:spacing w:after="0"/>
              <w:rPr>
                <w:sz w:val="9"/>
                <w:szCs w:val="9"/>
                <w:color w:val="auto"/>
              </w:rPr>
            </w:pPr>
          </w:p>
        </w:tc>
        <w:tc>
          <w:tcPr>
            <w:tcW w:w="5480" w:type="dxa"/>
            <w:vAlign w:val="bottom"/>
            <w:tcBorders>
              <w:bottom w:val="single" w:sz="8" w:color="CCEEFF"/>
            </w:tcBorders>
          </w:tcPr>
          <w:p>
            <w:pPr>
              <w:spacing w:after="0"/>
              <w:rPr>
                <w:sz w:val="9"/>
                <w:szCs w:val="9"/>
                <w:color w:val="auto"/>
              </w:rPr>
            </w:pPr>
          </w:p>
        </w:tc>
        <w:tc>
          <w:tcPr>
            <w:tcW w:w="294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9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7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551"/>
        <w:spacing w:after="0" w:line="277" w:lineRule="auto"/>
        <w:rPr>
          <w:sz w:val="20"/>
          <w:szCs w:val="20"/>
          <w:color w:val="auto"/>
        </w:rPr>
      </w:pPr>
      <w:r>
        <w:rPr>
          <w:rFonts w:ascii="Arial" w:cs="Arial" w:eastAsia="Arial" w:hAnsi="Arial"/>
          <w:sz w:val="18"/>
          <w:szCs w:val="18"/>
          <w:color w:val="auto"/>
        </w:rPr>
        <w:t>As of March 31, 2019 (unaudited), total unrecognized compensation cost related to the unvested share-based awards was $1.6 million, which is expected to be recognized over a weighted average period of 3.0 years.</w:t>
      </w:r>
    </w:p>
    <w:p>
      <w:pPr>
        <w:spacing w:after="0" w:line="170" w:lineRule="exact"/>
        <w:rPr>
          <w:sz w:val="20"/>
          <w:szCs w:val="20"/>
          <w:color w:val="auto"/>
        </w:rPr>
      </w:pPr>
    </w:p>
    <w:p>
      <w:pPr>
        <w:ind w:left="200" w:right="120" w:firstLine="551"/>
        <w:spacing w:after="0" w:line="257" w:lineRule="auto"/>
        <w:rPr>
          <w:sz w:val="20"/>
          <w:szCs w:val="20"/>
          <w:color w:val="auto"/>
        </w:rPr>
      </w:pPr>
      <w:r>
        <w:rPr>
          <w:rFonts w:ascii="Arial" w:cs="Arial" w:eastAsia="Arial" w:hAnsi="Arial"/>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Our employees, officers, directors, consultants and advisors are eligible to receive awards under the 2019 Plan. Incentive stock options, however, may only be granted to our employees. The 2019 Plan will be administered by the Company’s board of directors or by a committee appointed by the Company’s board of directors.</w:t>
      </w:r>
    </w:p>
    <w:p>
      <w:pPr>
        <w:spacing w:after="0" w:line="161" w:lineRule="exact"/>
        <w:rPr>
          <w:sz w:val="20"/>
          <w:szCs w:val="20"/>
          <w:color w:val="auto"/>
        </w:rPr>
      </w:pPr>
    </w:p>
    <w:p>
      <w:pPr>
        <w:ind w:left="200" w:right="240" w:firstLine="551"/>
        <w:spacing w:after="0" w:line="264" w:lineRule="auto"/>
        <w:rPr>
          <w:sz w:val="20"/>
          <w:szCs w:val="20"/>
          <w:color w:val="auto"/>
        </w:rPr>
      </w:pPr>
      <w:r>
        <w:rPr>
          <w:rFonts w:ascii="Arial" w:cs="Arial" w:eastAsia="Arial" w:hAnsi="Arial"/>
          <w:sz w:val="18"/>
          <w:szCs w:val="18"/>
          <w:color w:val="auto"/>
        </w:rPr>
        <w:t>In April 2019, the Company’s board of directors adopted the 2019 Employee Stock Purchase Plan (the “2019 ESSP”), which became effective on May 7, 2019. The 2019 ESPP will be administered by the Company’s board of directors or by a committee appointed by the Company’s board of directors.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All of the Company’s employees or employees of any designated subsidiary, as defined in the 2019 ESPP, are eligible to participate in the 2019</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ESPP, provided that:</w:t>
      </w:r>
    </w:p>
    <w:p>
      <w:pPr>
        <w:spacing w:after="0" w:line="211" w:lineRule="exact"/>
        <w:rPr>
          <w:sz w:val="20"/>
          <w:szCs w:val="20"/>
          <w:color w:val="auto"/>
        </w:rPr>
      </w:pPr>
    </w:p>
    <w:p>
      <w:pPr>
        <w:ind w:left="1840" w:right="360" w:hanging="434"/>
        <w:spacing w:after="0" w:line="232" w:lineRule="auto"/>
        <w:tabs>
          <w:tab w:leader="none" w:pos="1840" w:val="left"/>
        </w:tabs>
        <w:numPr>
          <w:ilvl w:val="1"/>
          <w:numId w:val="14"/>
        </w:numPr>
        <w:rPr>
          <w:rFonts w:ascii="Arial" w:cs="Arial" w:eastAsia="Arial" w:hAnsi="Arial"/>
          <w:sz w:val="22"/>
          <w:szCs w:val="22"/>
          <w:color w:val="auto"/>
        </w:rPr>
      </w:pPr>
      <w:r>
        <w:rPr>
          <w:rFonts w:ascii="Arial" w:cs="Arial" w:eastAsia="Arial" w:hAnsi="Arial"/>
          <w:sz w:val="18"/>
          <w:szCs w:val="18"/>
          <w:color w:val="auto"/>
        </w:rPr>
        <w:t>such person is customarily employed by the Company or a designated subsidiary for more than 20 hours a week and for more than five months in a calendar year;</w:t>
      </w:r>
    </w:p>
    <w:p>
      <w:pPr>
        <w:spacing w:after="0" w:line="1" w:lineRule="exact"/>
        <w:rPr>
          <w:rFonts w:ascii="Arial" w:cs="Arial" w:eastAsia="Arial" w:hAnsi="Arial"/>
          <w:sz w:val="22"/>
          <w:szCs w:val="22"/>
          <w:color w:val="auto"/>
        </w:rPr>
      </w:pPr>
    </w:p>
    <w:p>
      <w:pPr>
        <w:ind w:left="1840" w:right="240" w:hanging="434"/>
        <w:spacing w:after="0" w:line="225" w:lineRule="auto"/>
        <w:tabs>
          <w:tab w:leader="none" w:pos="1840" w:val="left"/>
        </w:tabs>
        <w:numPr>
          <w:ilvl w:val="1"/>
          <w:numId w:val="14"/>
        </w:numPr>
        <w:rPr>
          <w:rFonts w:ascii="Arial" w:cs="Arial" w:eastAsia="Arial" w:hAnsi="Arial"/>
          <w:sz w:val="22"/>
          <w:szCs w:val="22"/>
          <w:color w:val="auto"/>
        </w:rPr>
      </w:pPr>
      <w:r>
        <w:rPr>
          <w:rFonts w:ascii="Arial" w:cs="Arial" w:eastAsia="Arial" w:hAnsi="Arial"/>
          <w:sz w:val="18"/>
          <w:szCs w:val="18"/>
          <w:color w:val="auto"/>
        </w:rPr>
        <w:t>such person has been employed by the Company or by a designated subsidiary for at least three months prior to enrolling in the 2019 ESPP; and</w:t>
      </w:r>
    </w:p>
    <w:p>
      <w:pPr>
        <w:ind w:left="1840" w:right="600" w:hanging="434"/>
        <w:spacing w:after="0" w:line="225" w:lineRule="auto"/>
        <w:tabs>
          <w:tab w:leader="none" w:pos="1840" w:val="left"/>
        </w:tabs>
        <w:numPr>
          <w:ilvl w:val="1"/>
          <w:numId w:val="14"/>
        </w:numPr>
        <w:rPr>
          <w:rFonts w:ascii="Arial" w:cs="Arial" w:eastAsia="Arial" w:hAnsi="Arial"/>
          <w:sz w:val="22"/>
          <w:szCs w:val="22"/>
          <w:color w:val="auto"/>
        </w:rPr>
      </w:pPr>
      <w:r>
        <w:rPr>
          <w:rFonts w:ascii="Arial" w:cs="Arial" w:eastAsia="Arial" w:hAnsi="Arial"/>
          <w:sz w:val="18"/>
          <w:szCs w:val="18"/>
          <w:color w:val="auto"/>
        </w:rPr>
        <w:t>such person was an employee of the Company or an employee of a designated subsidiary on the first day of the applicable offering period under the 2019 ESPP.</w:t>
      </w:r>
    </w:p>
    <w:p>
      <w:pPr>
        <w:spacing w:after="0" w:line="347" w:lineRule="exact"/>
        <w:rPr>
          <w:rFonts w:ascii="Arial" w:cs="Arial" w:eastAsia="Arial" w:hAnsi="Arial"/>
          <w:sz w:val="22"/>
          <w:szCs w:val="22"/>
          <w:color w:val="auto"/>
        </w:rPr>
      </w:pPr>
    </w:p>
    <w:p>
      <w:pPr>
        <w:ind w:left="740" w:hanging="536"/>
        <w:spacing w:after="0"/>
        <w:tabs>
          <w:tab w:leader="none" w:pos="7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2"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6"/>
          <w:szCs w:val="16"/>
          <w:color w:val="auto"/>
        </w:rPr>
        <w:t>During the three months ended March 31, 2019 and 2018 (unaudited), the Company maintained a full valuation allowance on deferred tax assets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due to excess research and development credits. Therefore, the Company has not recorded a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40" w:hanging="536"/>
        <w:spacing w:after="0"/>
        <w:tabs>
          <w:tab w:leader="none" w:pos="7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summarizes the computation of basic and diluted net loss per share attributable to common stockholders of the Company:</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65"/>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ind w:right="233"/>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3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Plus: Dividends accrued on redeemable convertible preferred stock</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Plus: Accretion of redeemable convertible preferred stock</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(1,553)</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Adjusted net loss attributable to common stockholders</w:t>
            </w: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(6,152)</w:t>
            </w:r>
          </w:p>
        </w:tc>
        <w:tc>
          <w:tcPr>
            <w:tcW w:w="220" w:type="dxa"/>
            <w:vAlign w:val="bottom"/>
          </w:tcPr>
          <w:p>
            <w:pPr>
              <w:spacing w:after="0"/>
              <w:rPr>
                <w:sz w:val="19"/>
                <w:szCs w:val="19"/>
                <w:color w:val="auto"/>
              </w:rPr>
            </w:pPr>
          </w:p>
        </w:tc>
        <w:tc>
          <w:tcPr>
            <w:tcW w:w="540" w:type="dxa"/>
            <w:vAlign w:val="bottom"/>
            <w:tcBorders>
              <w:top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common shares used in net loss per share attributable to common stockholders, basic and</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444,132</w:t>
            </w:r>
          </w:p>
        </w:tc>
        <w:tc>
          <w:tcPr>
            <w:tcW w:w="2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434,567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551"/>
        <w:spacing w:after="0" w:line="273" w:lineRule="auto"/>
        <w:rPr>
          <w:sz w:val="20"/>
          <w:szCs w:val="20"/>
          <w:color w:val="auto"/>
        </w:rPr>
      </w:pPr>
      <w:r>
        <w:rPr>
          <w:rFonts w:ascii="Arial" w:cs="Arial" w:eastAsia="Arial" w:hAnsi="Arial"/>
          <w:sz w:val="17"/>
          <w:szCs w:val="17"/>
          <w:color w:val="auto"/>
        </w:rPr>
        <w:t>The Company’s potential dilutive securities, which include stock options and redeemable convertible preferred stock,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amounts outstanding at each period end, were excluded from the calculation of diluted net loss per share attributable to common stockholders for the periods indicated because including them would have had an anti-dilutive effect:</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801"/>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180" w:type="dxa"/>
            <w:vAlign w:val="bottom"/>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640" w:type="dxa"/>
            <w:vAlign w:val="bottom"/>
            <w:tcBorders>
              <w:bottom w:val="single" w:sz="8" w:color="CCEEFF"/>
            </w:tcBorders>
          </w:tcPr>
          <w:p>
            <w:pPr>
              <w:spacing w:after="0"/>
              <w:rPr>
                <w:sz w:val="9"/>
                <w:szCs w:val="9"/>
                <w:color w:val="auto"/>
              </w:rPr>
            </w:pPr>
          </w:p>
        </w:tc>
        <w:tc>
          <w:tcPr>
            <w:tcW w:w="4780" w:type="dxa"/>
            <w:vAlign w:val="bottom"/>
            <w:tcBorders>
              <w:bottom w:val="single" w:sz="8" w:color="CCEEFF"/>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47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15,387,923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15,387,923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22,608,695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22,608,695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Series C preferred stock</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44,946,987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38,097,672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47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1,059,057</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84,002,662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77,171,438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80" w:type="dxa"/>
            <w:vAlign w:val="bottom"/>
            <w:vMerge w:val="restart"/>
          </w:tcPr>
          <w:p>
            <w:pPr>
              <w:jc w:val="right"/>
              <w:ind w:right="2750"/>
              <w:spacing w:after="0"/>
              <w:rPr>
                <w:sz w:val="20"/>
                <w:szCs w:val="20"/>
                <w:color w:val="auto"/>
              </w:rPr>
            </w:pPr>
            <w:r>
              <w:rPr>
                <w:rFonts w:ascii="Arial" w:cs="Arial" w:eastAsia="Arial" w:hAnsi="Arial"/>
                <w:sz w:val="18"/>
                <w:szCs w:val="18"/>
                <w:color w:val="auto"/>
              </w:rPr>
              <w:t>19</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40" w:hanging="536"/>
        <w:spacing w:after="0"/>
        <w:tabs>
          <w:tab w:leader="none" w:pos="7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and Licensing Agreements</w:t>
      </w:r>
    </w:p>
    <w:p>
      <w:pPr>
        <w:spacing w:after="0" w:line="121" w:lineRule="exact"/>
        <w:rPr>
          <w:sz w:val="20"/>
          <w:szCs w:val="20"/>
          <w:color w:val="auto"/>
        </w:rPr>
      </w:pPr>
    </w:p>
    <w:p>
      <w:pPr>
        <w:ind w:left="200" w:right="340" w:firstLine="551"/>
        <w:spacing w:after="0" w:line="277" w:lineRule="auto"/>
        <w:rPr>
          <w:sz w:val="20"/>
          <w:szCs w:val="20"/>
          <w:color w:val="auto"/>
        </w:rPr>
      </w:pPr>
      <w:r>
        <w:rPr>
          <w:rFonts w:ascii="Arial" w:cs="Arial" w:eastAsia="Arial" w:hAnsi="Arial"/>
          <w:sz w:val="18"/>
          <w:szCs w:val="18"/>
          <w:color w:val="auto"/>
        </w:rPr>
        <w:t>The Company enters into collaborative and licensing agreements with pharmaceutical companies to in-license, develop, manufacture and/or market products that fit within its business strategy.</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Endo Pharmaceuticals Inc.</w:t>
      </w:r>
    </w:p>
    <w:p>
      <w:pPr>
        <w:spacing w:after="0" w:line="117" w:lineRule="exact"/>
        <w:rPr>
          <w:sz w:val="20"/>
          <w:szCs w:val="20"/>
          <w:color w:val="auto"/>
        </w:rPr>
      </w:pPr>
    </w:p>
    <w:p>
      <w:pPr>
        <w:ind w:left="200" w:right="80" w:firstLine="551"/>
        <w:spacing w:after="0" w:line="259" w:lineRule="auto"/>
        <w:rPr>
          <w:sz w:val="20"/>
          <w:szCs w:val="20"/>
          <w:color w:val="auto"/>
        </w:rPr>
      </w:pPr>
      <w:r>
        <w:rPr>
          <w:rFonts w:ascii="Arial" w:cs="Arial" w:eastAsia="Arial" w:hAnsi="Arial"/>
          <w:sz w:val="18"/>
          <w:szCs w:val="18"/>
          <w:color w:val="auto"/>
        </w:rPr>
        <w:t>In May 2011, the Company entered into an agreement with Penwest Pharmaceuticals Co. (“Penwest”) (subsequently merged into its parent, Endo Pharmaceuticals Inc. (“Endo”)) for an exclusive worldwide sublicenseable license under certain patent rights and know-how controlled by Penwest to develop and commercialize products incorporating nalbuphine hydrochloride in any formulation, including an extended release formulation such as nalbuphine ER, in all fields and for any use.</w:t>
      </w:r>
    </w:p>
    <w:p>
      <w:pPr>
        <w:spacing w:after="0" w:line="187" w:lineRule="exact"/>
        <w:rPr>
          <w:sz w:val="20"/>
          <w:szCs w:val="20"/>
          <w:color w:val="auto"/>
        </w:rPr>
      </w:pPr>
    </w:p>
    <w:p>
      <w:pPr>
        <w:ind w:left="200" w:right="40" w:firstLine="551"/>
        <w:spacing w:after="0" w:line="273" w:lineRule="auto"/>
        <w:rPr>
          <w:sz w:val="20"/>
          <w:szCs w:val="20"/>
          <w:color w:val="auto"/>
        </w:rPr>
      </w:pPr>
      <w:r>
        <w:rPr>
          <w:rFonts w:ascii="Arial" w:cs="Arial" w:eastAsia="Arial" w:hAnsi="Arial"/>
          <w:sz w:val="17"/>
          <w:szCs w:val="17"/>
          <w:color w:val="auto"/>
        </w:rPr>
        <w:t>Under the license agreement, the Company paid Penwest a non-creditable, non-refundable upfront license fee of $25. The Company may also become obligated to make milestone payments to Endo of $250, which would become due upon the successful completion of the first Phase 3 clinical trial of a licensed product candidate, such as the PRISM trial, and $750, which would become due upon the marketing approval of a licensed product in the United States, and to pay mid-single-digit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178" w:lineRule="exact"/>
        <w:rPr>
          <w:sz w:val="20"/>
          <w:szCs w:val="20"/>
          <w:color w:val="auto"/>
        </w:rPr>
      </w:pPr>
    </w:p>
    <w:p>
      <w:pPr>
        <w:ind w:left="200" w:right="300" w:firstLine="551"/>
        <w:spacing w:after="0" w:line="257" w:lineRule="auto"/>
        <w:rPr>
          <w:sz w:val="20"/>
          <w:szCs w:val="20"/>
          <w:color w:val="auto"/>
        </w:rPr>
      </w:pPr>
      <w:r>
        <w:rPr>
          <w:rFonts w:ascii="Arial" w:cs="Arial" w:eastAsia="Arial" w:hAnsi="Arial"/>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188" w:lineRule="exact"/>
        <w:rPr>
          <w:sz w:val="20"/>
          <w:szCs w:val="20"/>
          <w:color w:val="auto"/>
        </w:rPr>
      </w:pPr>
    </w:p>
    <w:p>
      <w:pPr>
        <w:ind w:left="200" w:right="320" w:firstLine="551"/>
        <w:spacing w:after="0" w:line="264" w:lineRule="auto"/>
        <w:rPr>
          <w:sz w:val="20"/>
          <w:szCs w:val="20"/>
          <w:color w:val="auto"/>
        </w:rPr>
      </w:pPr>
      <w:r>
        <w:rPr>
          <w:rFonts w:ascii="Arial" w:cs="Arial" w:eastAsia="Arial" w:hAnsi="Arial"/>
          <w:sz w:val="18"/>
          <w:szCs w:val="18"/>
          <w:color w:val="auto"/>
        </w:rPr>
        <w:t>Under the agreement, the Company has granted Endo a non-exclusive, royalty-free (except for pass-through payments to third parties), sublicenseable license under its relevant patent rights, to use any improvement the Company makes to Endo’s controlled release technology, for any product other than the products under which it is licensed by Endo.</w:t>
      </w:r>
    </w:p>
    <w:p>
      <w:pPr>
        <w:spacing w:after="0" w:line="181" w:lineRule="exact"/>
        <w:rPr>
          <w:sz w:val="20"/>
          <w:szCs w:val="20"/>
          <w:color w:val="auto"/>
        </w:rPr>
      </w:pPr>
    </w:p>
    <w:p>
      <w:pPr>
        <w:ind w:left="200" w:firstLine="551"/>
        <w:spacing w:after="0" w:line="255" w:lineRule="auto"/>
        <w:rPr>
          <w:sz w:val="20"/>
          <w:szCs w:val="20"/>
          <w:color w:val="auto"/>
        </w:rPr>
      </w:pPr>
      <w:r>
        <w:rPr>
          <w:rFonts w:ascii="Arial" w:cs="Arial" w:eastAsia="Arial" w:hAnsi="Arial"/>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and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193" w:lineRule="exact"/>
        <w:rPr>
          <w:sz w:val="20"/>
          <w:szCs w:val="20"/>
          <w:color w:val="auto"/>
        </w:rPr>
      </w:pPr>
    </w:p>
    <w:p>
      <w:pPr>
        <w:ind w:left="200" w:right="340" w:firstLine="551"/>
        <w:spacing w:after="0" w:line="255" w:lineRule="auto"/>
        <w:rPr>
          <w:sz w:val="20"/>
          <w:szCs w:val="20"/>
          <w:color w:val="auto"/>
        </w:rPr>
      </w:pPr>
      <w:r>
        <w:rPr>
          <w:rFonts w:ascii="Arial" w:cs="Arial" w:eastAsia="Arial" w:hAnsi="Arial"/>
          <w:sz w:val="18"/>
          <w:szCs w:val="18"/>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Exclusive License Agreement with Rutgers</w:t>
      </w:r>
    </w:p>
    <w:p>
      <w:pPr>
        <w:spacing w:after="0" w:line="117" w:lineRule="exact"/>
        <w:rPr>
          <w:sz w:val="20"/>
          <w:szCs w:val="20"/>
          <w:color w:val="auto"/>
        </w:rPr>
      </w:pPr>
    </w:p>
    <w:p>
      <w:pPr>
        <w:ind w:left="200" w:right="100" w:firstLine="551"/>
        <w:spacing w:after="0" w:line="312" w:lineRule="auto"/>
        <w:rPr>
          <w:sz w:val="20"/>
          <w:szCs w:val="20"/>
          <w:color w:val="auto"/>
        </w:rPr>
      </w:pPr>
      <w:r>
        <w:rPr>
          <w:rFonts w:ascii="Arial" w:cs="Arial" w:eastAsia="Arial" w:hAnsi="Arial"/>
          <w:sz w:val="16"/>
          <w:szCs w:val="16"/>
          <w:color w:val="auto"/>
        </w:rPr>
        <w:t>On November 6, 2018, the Company entered into an agreement with Rutgers, The State University of New Jersey (“Rutgers”) for an exclusive, worldwide, sublicensable license under certain patent rights controlled by Rutgers and for a non-exclusive, worldwide, sublicensable license under certain know-how controlled by Rutgers, in each case to develop and commercialize products incorporating nalbuphine for any human or animal use.</w:t>
      </w:r>
    </w:p>
    <w:p>
      <w:pPr>
        <w:spacing w:after="0" w:line="147" w:lineRule="exact"/>
        <w:rPr>
          <w:sz w:val="20"/>
          <w:szCs w:val="20"/>
          <w:color w:val="auto"/>
        </w:rPr>
      </w:pPr>
    </w:p>
    <w:p>
      <w:pPr>
        <w:ind w:left="200" w:right="100" w:firstLine="551"/>
        <w:spacing w:after="0" w:line="257" w:lineRule="auto"/>
        <w:rPr>
          <w:sz w:val="20"/>
          <w:szCs w:val="20"/>
          <w:color w:val="auto"/>
        </w:rPr>
      </w:pPr>
      <w:r>
        <w:rPr>
          <w:rFonts w:ascii="Arial" w:cs="Arial" w:eastAsia="Arial" w:hAnsi="Arial"/>
          <w:sz w:val="18"/>
          <w:szCs w:val="18"/>
          <w:color w:val="auto"/>
        </w:rPr>
        <w:t>Upon entering into the license agreement, the Company paid Rutgers a minimal upfront license issue fee, which was recorded as R&amp;D expense in 2018 and agreed to pay Rutgers a minimal annual license fee. The Company may become obligated to make milestone payments to Rutgers in the aggregate of up to $331 based on the achievement of certain clinical, regulatory and sales milestones. The Company has also agreed to pay Rutgers a low single-digit percentage of certain income it receives from sublicensees and to pay tiered low single-digit royalties based on net sales of licensed products by the Company and its affiliates and sublicensees.</w:t>
      </w:r>
    </w:p>
    <w:p>
      <w:pPr>
        <w:spacing w:after="0" w:line="188" w:lineRule="exact"/>
        <w:rPr>
          <w:sz w:val="20"/>
          <w:szCs w:val="20"/>
          <w:color w:val="auto"/>
        </w:rPr>
      </w:pPr>
    </w:p>
    <w:p>
      <w:pPr>
        <w:ind w:left="200" w:right="140" w:firstLine="551"/>
        <w:spacing w:after="0" w:line="259" w:lineRule="auto"/>
        <w:rPr>
          <w:sz w:val="20"/>
          <w:szCs w:val="20"/>
          <w:color w:val="auto"/>
        </w:rPr>
      </w:pPr>
      <w:r>
        <w:rPr>
          <w:rFonts w:ascii="Arial" w:cs="Arial" w:eastAsia="Arial" w:hAnsi="Arial"/>
          <w:sz w:val="18"/>
          <w:szCs w:val="18"/>
          <w:color w:val="auto"/>
        </w:rPr>
        <w:t>The Company’s royalty obligation with respect to each licensed product in each country commences on the date of the first commercial sale of the licensed product in that country following receipt of marketing approval and extends until the later of the date of expiration, unenforceability or invalidation of the last valid claim of any licensed patent or patent application covering the licensed product in the country and 10 years after the first commercial sale of the first licensed product sold anywhere in the world, which</w:t>
      </w:r>
    </w:p>
    <w:p>
      <w:pPr>
        <w:sectPr>
          <w:pgSz w:w="11900" w:h="16838" w:orient="portrait"/>
          <w:cols w:equalWidth="0" w:num="1">
            <w:col w:w="11180"/>
          </w:cols>
          <w:pgMar w:left="240" w:top="459" w:right="479" w:bottom="1440" w:gutter="0" w:footer="0" w:header="0"/>
        </w:sectPr>
      </w:pP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80"/>
          </w:cols>
          <w:pgMar w:left="240" w:top="459" w:right="4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period is referred to as the royalty term. Upon the expiration of the royalty term for a licensed product in a country, the license granted to us under the agreement shall become perpetual, fully paid-up, irrevocable and royalty-free in such country. The royalty is subject to reduction in certain circumstances.</w:t>
      </w:r>
    </w:p>
    <w:p>
      <w:pPr>
        <w:spacing w:after="0" w:line="2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Restructuring Agreement with MentiNova, Inc.</w:t>
      </w:r>
    </w:p>
    <w:p>
      <w:pPr>
        <w:spacing w:after="0" w:line="117" w:lineRule="exact"/>
        <w:rPr>
          <w:sz w:val="20"/>
          <w:szCs w:val="20"/>
          <w:color w:val="auto"/>
        </w:rPr>
      </w:pPr>
    </w:p>
    <w:p>
      <w:pPr>
        <w:ind w:left="200" w:right="40" w:firstLine="551"/>
        <w:spacing w:after="0" w:line="264" w:lineRule="auto"/>
        <w:rPr>
          <w:sz w:val="20"/>
          <w:szCs w:val="20"/>
          <w:color w:val="auto"/>
        </w:rPr>
      </w:pPr>
      <w:r>
        <w:rPr>
          <w:rFonts w:ascii="Arial" w:cs="Arial" w:eastAsia="Arial" w:hAnsi="Arial"/>
          <w:sz w:val="18"/>
          <w:szCs w:val="18"/>
          <w:color w:val="auto"/>
        </w:rPr>
        <w:t>On November 6, 2018, concurrent with the signing of the agreement with Rutgers described above, the Company entered into a restructuring agreement with MentiNova, Inc. (“MentiNova”) for the purchase of specified information and know-how, specified contractual rights and benefits, and all books and records of MentiNova related thereto (collectively, the “Acquired Assets”).</w:t>
      </w:r>
    </w:p>
    <w:p>
      <w:pPr>
        <w:spacing w:after="0" w:line="181" w:lineRule="exact"/>
        <w:rPr>
          <w:sz w:val="20"/>
          <w:szCs w:val="20"/>
          <w:color w:val="auto"/>
        </w:rPr>
      </w:pPr>
    </w:p>
    <w:p>
      <w:pPr>
        <w:ind w:left="200" w:firstLine="551"/>
        <w:spacing w:after="0" w:line="273" w:lineRule="auto"/>
        <w:rPr>
          <w:sz w:val="20"/>
          <w:szCs w:val="20"/>
          <w:color w:val="auto"/>
        </w:rPr>
      </w:pPr>
      <w:r>
        <w:rPr>
          <w:rFonts w:ascii="Arial" w:cs="Arial" w:eastAsia="Arial" w:hAnsi="Arial"/>
          <w:sz w:val="17"/>
          <w:szCs w:val="17"/>
          <w:color w:val="auto"/>
        </w:rPr>
        <w:t>Upon entering into the license agreement, the Company paid MentiNova an aggregate upfront payment of $119, which was recorded as R&amp;D expense in 2018, subject to specified closing adjustments. The Company may become obligated to make milestone payments to MentiNova in the aggregate of up to $1,188 based on the achievement of certain clinical and regulatory milestones as well as tiered low single-digit royalties based on net sales of products containing nalbuphine as the sole active pharmaceutical ingredient that are developed by the Company using the Acquired Assets or the intellectual property licensed to the Company under the Rutgers agreement described above (the “Rutgers IP”) for indications that are within the scope of the Rutgers IP. The royalty is subject to reduction in certain circumstances.</w:t>
      </w:r>
    </w:p>
    <w:p>
      <w:pPr>
        <w:spacing w:after="0" w:line="283"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ind w:left="200" w:right="180" w:firstLine="551"/>
        <w:spacing w:after="0" w:line="312" w:lineRule="auto"/>
        <w:rPr>
          <w:sz w:val="20"/>
          <w:szCs w:val="20"/>
          <w:color w:val="auto"/>
        </w:rPr>
      </w:pPr>
      <w:r>
        <w:rPr>
          <w:rFonts w:ascii="Arial" w:cs="Arial" w:eastAsia="Arial" w:hAnsi="Arial"/>
          <w:sz w:val="16"/>
          <w:szCs w:val="16"/>
          <w:color w:val="auto"/>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The Company also has commitments under lease and licensing agreements. </w:t>
      </w:r>
      <w:r>
        <w:rPr>
          <w:rFonts w:ascii="Arial" w:cs="Arial" w:eastAsia="Arial" w:hAnsi="Arial"/>
          <w:sz w:val="18"/>
          <w:szCs w:val="18"/>
          <w:i w:val="1"/>
          <w:iCs w:val="1"/>
          <w:color w:val="auto"/>
        </w:rPr>
        <w:t>(Note 5 and Note 12)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240" w:top="459"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200" w:firstLine="551"/>
        <w:spacing w:after="0" w:line="26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2018 included in the final prospectus for our initial public offering of our common shares, or IPO, filed with the Securities and Exchange Commission, or SEC, pursuant to Rule 424(b)(4) on May 8, 2019.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“could,” “continue”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spacing w:after="0" w:line="180" w:lineRule="exact"/>
        <w:rPr>
          <w:sz w:val="20"/>
          <w:szCs w:val="20"/>
          <w:color w:val="auto"/>
        </w:rPr>
      </w:pPr>
    </w:p>
    <w:p>
      <w:pPr>
        <w:ind w:left="200" w:right="220" w:firstLine="551"/>
        <w:spacing w:after="0" w:line="286" w:lineRule="auto"/>
        <w:rPr>
          <w:sz w:val="20"/>
          <w:szCs w:val="20"/>
          <w:color w:val="auto"/>
        </w:rPr>
      </w:pPr>
      <w:r>
        <w:rPr>
          <w:rFonts w:ascii="Arial" w:cs="Arial" w:eastAsia="Arial" w:hAnsi="Arial"/>
          <w:sz w:val="16"/>
          <w:szCs w:val="16"/>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w:t>
      </w:r>
    </w:p>
    <w:p>
      <w:pPr>
        <w:spacing w:after="0" w:line="2" w:lineRule="exact"/>
        <w:rPr>
          <w:sz w:val="20"/>
          <w:szCs w:val="20"/>
          <w:color w:val="auto"/>
        </w:rPr>
      </w:pPr>
    </w:p>
    <w:p>
      <w:pPr>
        <w:ind w:left="200" w:right="20"/>
        <w:spacing w:after="0" w:line="292" w:lineRule="auto"/>
        <w:rPr>
          <w:sz w:val="20"/>
          <w:szCs w:val="20"/>
          <w:color w:val="auto"/>
        </w:rPr>
      </w:pPr>
      <w:r>
        <w:rPr>
          <w:rFonts w:ascii="Arial" w:cs="Arial" w:eastAsia="Arial" w:hAnsi="Arial"/>
          <w:sz w:val="16"/>
          <w:szCs w:val="16"/>
          <w:i w:val="1"/>
          <w:iCs w:val="1"/>
          <w:color w:val="auto"/>
        </w:rPr>
        <w:t>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We caution readers not to place undue reliance on any forward-looking statements made by us, which speak only as of the date they are made.</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320" w:firstLine="551"/>
        <w:spacing w:after="0" w:line="286"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nalbuphine ER to treat serious neurologically mediated conditions. We are currently developing nalbuphine ER for the treatment of chronic pruritus, chronic cough in patients with idiopathic pulmonary fibrosis, or IPF, and levodopa-induced dyskinesia, or LID, in patients with Parkinson’s disease.</w:t>
      </w:r>
    </w:p>
    <w:p>
      <w:pPr>
        <w:spacing w:after="0" w:line="166" w:lineRule="exact"/>
        <w:rPr>
          <w:sz w:val="20"/>
          <w:szCs w:val="20"/>
          <w:color w:val="auto"/>
        </w:rPr>
      </w:pPr>
    </w:p>
    <w:p>
      <w:pPr>
        <w:ind w:left="200" w:firstLine="551"/>
        <w:spacing w:after="0" w:line="293" w:lineRule="auto"/>
        <w:rPr>
          <w:sz w:val="20"/>
          <w:szCs w:val="20"/>
          <w:color w:val="auto"/>
        </w:rPr>
      </w:pPr>
      <w:r>
        <w:rPr>
          <w:rFonts w:ascii="Arial" w:cs="Arial" w:eastAsia="Arial" w:hAnsi="Arial"/>
          <w:sz w:val="16"/>
          <w:szCs w:val="16"/>
          <w:color w:val="auto"/>
        </w:rPr>
        <w:t>Since commencing operations in 2011, we have devoted substantially all of our efforts and financial resources to the clinical development of nalbuphine ER. We have not generated any revenue from product sales and, as a result, we have never been profitable and have incurred net losses in each year since commencement of our operations. As of March 31, 2019, we had an accumulated deficit of $115.5 million, primarily as a result of research and development and general and administrative expenses. We do not expect to generate product revenue unless and until we obtain marketing approval for and commercialize nalbuphine ER for the treatment of pruritus associated with prurigo nodularis, chronic cough in patients with IPF or LID in patients with Parkinson’s disease, and we can provide no assurance that we will ever generate significant revenue or profits.</w:t>
      </w:r>
    </w:p>
    <w:p>
      <w:pPr>
        <w:spacing w:after="0" w:line="165" w:lineRule="exact"/>
        <w:rPr>
          <w:sz w:val="20"/>
          <w:szCs w:val="20"/>
          <w:color w:val="auto"/>
        </w:rPr>
      </w:pPr>
    </w:p>
    <w:p>
      <w:pPr>
        <w:ind w:left="200" w:right="80" w:firstLine="551"/>
        <w:spacing w:after="0" w:line="257" w:lineRule="auto"/>
        <w:rPr>
          <w:sz w:val="20"/>
          <w:szCs w:val="20"/>
          <w:color w:val="auto"/>
        </w:rPr>
      </w:pPr>
      <w:r>
        <w:rPr>
          <w:rFonts w:ascii="Arial" w:cs="Arial" w:eastAsia="Arial" w:hAnsi="Arial"/>
          <w:sz w:val="18"/>
          <w:szCs w:val="18"/>
          <w:color w:val="auto"/>
        </w:rPr>
        <w:t>Prior to our initial public offering, or IPO, and concurrent placement in May 2019, we financed our operations primarily through private placements of our redeemable convertible preferred stock, which we refer to as our preferred stock, and convertible notes as well as borrowings under a term loan facility. From inception to March 31, 2019, we raised an aggregate of $102.2 million in gross proceeds from sales of our preferred stock and convertible notes and borrowed $15.0 million under a term loan facility. As of June 30, 2018, all amounts owed under the term loan facility had been paid in full.</w:t>
      </w:r>
    </w:p>
    <w:p>
      <w:pPr>
        <w:spacing w:after="0" w:line="188" w:lineRule="exact"/>
        <w:rPr>
          <w:sz w:val="20"/>
          <w:szCs w:val="20"/>
          <w:color w:val="auto"/>
        </w:rPr>
      </w:pPr>
    </w:p>
    <w:p>
      <w:pPr>
        <w:ind w:left="200" w:right="320" w:firstLine="551"/>
        <w:spacing w:after="0" w:line="279" w:lineRule="auto"/>
        <w:rPr>
          <w:sz w:val="20"/>
          <w:szCs w:val="20"/>
          <w:color w:val="auto"/>
        </w:rPr>
      </w:pPr>
      <w:r>
        <w:rPr>
          <w:rFonts w:ascii="Arial" w:cs="Arial" w:eastAsia="Arial" w:hAnsi="Arial"/>
          <w:sz w:val="17"/>
          <w:szCs w:val="17"/>
          <w:color w:val="auto"/>
        </w:rPr>
        <w:t>On May 9, 2019, we issued and sold 5,500,000 shares of common stock in our IPO and 1,500,000 shares of common stock in a concurrent private placement, in each case at an offering price of $10.00 per share, for combined net proceeds of $62.6 million after deducting aggregate underwriting discounts and commissions and private placement agent fees of $4.9 million and estimated offering expenses of $2.5 million. Upon the closing of the IPO, our preferred stock then outstanding converted into an aggregate of 10,381,234 shares of common stock.</w:t>
      </w:r>
    </w:p>
    <w:p>
      <w:pPr>
        <w:spacing w:after="0" w:line="171" w:lineRule="exact"/>
        <w:rPr>
          <w:sz w:val="20"/>
          <w:szCs w:val="20"/>
          <w:color w:val="auto"/>
        </w:rPr>
      </w:pPr>
    </w:p>
    <w:p>
      <w:pPr>
        <w:ind w:left="200" w:right="60" w:firstLine="551"/>
        <w:spacing w:after="0" w:line="259" w:lineRule="auto"/>
        <w:rPr>
          <w:sz w:val="20"/>
          <w:szCs w:val="20"/>
          <w:color w:val="auto"/>
        </w:rPr>
      </w:pPr>
      <w:r>
        <w:rPr>
          <w:rFonts w:ascii="Arial" w:cs="Arial" w:eastAsia="Arial" w:hAnsi="Arial"/>
          <w:sz w:val="18"/>
          <w:szCs w:val="18"/>
          <w:color w:val="auto"/>
        </w:rPr>
        <w:t>As of March 31, 2019, we had cash and cash equivalents of $12.9 million. We completed our IPO and concurrent private placement in May 2019, resulting in combined net proceeds of $62.6 million. We believe that our existing cash and cash equivalents, including the net proceeds from our IPO and concurrent private placement, will enable us to fund our operating expenses and capital expenditure requirements through the end of 2020. Our estimate as to how long we expect our existing cash and cash equivalents to</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continue to fund our operations is based on assumptions that may prove to be wrong, and we could use our available capital resources sooner than we expect. See “—Liquidity and Capital Resources.” Our future viability beyond that point is dependent on our ability to raise additional capital to finance our operations.</w:t>
      </w:r>
    </w:p>
    <w:p>
      <w:pPr>
        <w:spacing w:after="0" w:line="181" w:lineRule="exact"/>
        <w:rPr>
          <w:sz w:val="20"/>
          <w:szCs w:val="20"/>
          <w:color w:val="auto"/>
        </w:rPr>
      </w:pPr>
    </w:p>
    <w:p>
      <w:pPr>
        <w:ind w:left="200" w:right="100" w:firstLine="551"/>
        <w:spacing w:after="0" w:line="270" w:lineRule="auto"/>
        <w:rPr>
          <w:sz w:val="20"/>
          <w:szCs w:val="20"/>
          <w:color w:val="auto"/>
        </w:rPr>
      </w:pPr>
      <w:r>
        <w:rPr>
          <w:rFonts w:ascii="Arial" w:cs="Arial" w:eastAsia="Arial" w:hAnsi="Arial"/>
          <w:sz w:val="17"/>
          <w:szCs w:val="17"/>
          <w:color w:val="auto"/>
        </w:rPr>
        <w:t>We expect to incur substantial expenditures in the foreseeable future as we advance nalbuphine ER through clinical development, the regulatory approval process and, if approved, commercial launch activities. Specifically, in the near term, we expect to incur substantial expenses relating to our ongoing Phase 2b/3 PRISM trial in patients with pruritus associated with prurigo nodularis, the additional Phase 3 clinical trial we will be required to conduct to support the submission of a new drug application, or NDA, to the United States Food and Drug Administration, or FDA, for nalbuphine ER for the treatment of pruritus associated with prurigo nodularis, our ongoing Phase 1b clinical trial in patients with chronic liver disease, our ongoing Phase 2 clinical trial in chronic cough in patients with IPF and our planned Phase 2 clinical trial for the treatment of LID in patients with Parkinson’s disease, the development and validation of our commercial manufacturing process for nalbuphine ER and other development activities, including potentially commencing a Phase 2 clinical trial for pruritus associated with chronic liver disease. Furthermore, we expect to incur additional costs associated with operating as a public company, including significant legal, accounting, investor relations and other expenses that we did not incur as a private company.</w:t>
      </w:r>
    </w:p>
    <w:p>
      <w:pPr>
        <w:spacing w:after="0" w:line="178" w:lineRule="exact"/>
        <w:rPr>
          <w:sz w:val="20"/>
          <w:szCs w:val="20"/>
          <w:color w:val="auto"/>
        </w:rPr>
      </w:pPr>
    </w:p>
    <w:p>
      <w:pPr>
        <w:ind w:left="200" w:firstLine="551"/>
        <w:spacing w:after="0" w:line="297" w:lineRule="auto"/>
        <w:rPr>
          <w:sz w:val="20"/>
          <w:szCs w:val="20"/>
          <w:color w:val="auto"/>
        </w:rPr>
      </w:pPr>
      <w:r>
        <w:rPr>
          <w:rFonts w:ascii="Arial" w:cs="Arial" w:eastAsia="Arial" w:hAnsi="Arial"/>
          <w:sz w:val="16"/>
          <w:szCs w:val="16"/>
          <w:color w:val="auto"/>
        </w:rPr>
        <w:t>We will need substantial additional funding to support our continuing operations and pursue our growth strategy. Until such time as we can generate significant revenue from sales of nalbuphine ER,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nalbuphine ER for one or more indications or delay our efforts to expand our product pipeline.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200" w:firstLine="551"/>
        <w:spacing w:after="0" w:line="255" w:lineRule="auto"/>
        <w:rPr>
          <w:sz w:val="20"/>
          <w:szCs w:val="20"/>
          <w:color w:val="auto"/>
        </w:rPr>
      </w:pPr>
      <w:r>
        <w:rPr>
          <w:rFonts w:ascii="Arial" w:cs="Arial" w:eastAsia="Arial" w:hAnsi="Arial"/>
          <w:sz w:val="18"/>
          <w:szCs w:val="18"/>
          <w:color w:val="auto"/>
        </w:rPr>
        <w:t>All of our research and development expenses consist of expenses incurred in connection with the development of nalbuphine ER. These expenses include certain payroll and personnel expenses, including stock-based compensation, consulting costs, contract manufacturing costs and fees paid to clinical research organizations, or CROs, to conduct certain research and development activities on our behalf. We do not allocate our costs by each indication for which we are developing nalbuphine ER, as a significant amount of our development activities broadly support all indications. In addition, several of our departments support our nalbuphine ER drug candidate development program and we do not identify internal costs for each potential indication.</w:t>
      </w:r>
    </w:p>
    <w:p>
      <w:pPr>
        <w:spacing w:after="0" w:line="193" w:lineRule="exact"/>
        <w:rPr>
          <w:sz w:val="20"/>
          <w:szCs w:val="20"/>
          <w:color w:val="auto"/>
        </w:rPr>
      </w:pPr>
    </w:p>
    <w:p>
      <w:pPr>
        <w:ind w:left="200" w:right="20" w:firstLine="551"/>
        <w:spacing w:after="0" w:line="291" w:lineRule="auto"/>
        <w:rPr>
          <w:sz w:val="20"/>
          <w:szCs w:val="20"/>
          <w:color w:val="auto"/>
        </w:rPr>
      </w:pPr>
      <w:r>
        <w:rPr>
          <w:rFonts w:ascii="Arial" w:cs="Arial" w:eastAsia="Arial" w:hAnsi="Arial"/>
          <w:sz w:val="16"/>
          <w:szCs w:val="16"/>
          <w:color w:val="auto"/>
        </w:rPr>
        <w:t>We expect our research and development expenses to increase over the next few years as we pursue our development program, pursue regulatory approval of nalbuphine ER in the United States and Europe and prepare for a possible commercial launch of nalbuphine ER. Predicting the timing or the cost to conduct our nalbuphine ER development program or prepare for a possible commercial launch of nalbuphine ER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nalbuphine ER will receive regulatory approval in the United States or elsewhere with any certainty.</w:t>
      </w:r>
    </w:p>
    <w:p>
      <w:pPr>
        <w:spacing w:after="0" w:line="27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320" w:firstLine="551"/>
        <w:spacing w:after="0" w:line="264" w:lineRule="auto"/>
        <w:rPr>
          <w:sz w:val="20"/>
          <w:szCs w:val="20"/>
          <w:color w:val="auto"/>
        </w:rPr>
      </w:pPr>
      <w:r>
        <w:rPr>
          <w:rFonts w:ascii="Arial" w:cs="Arial" w:eastAsia="Arial" w:hAnsi="Arial"/>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181" w:lineRule="exact"/>
        <w:rPr>
          <w:sz w:val="20"/>
          <w:szCs w:val="20"/>
          <w:color w:val="auto"/>
        </w:rPr>
      </w:pPr>
    </w:p>
    <w:p>
      <w:pPr>
        <w:ind w:left="200" w:right="240" w:firstLine="551"/>
        <w:spacing w:after="0" w:line="312" w:lineRule="auto"/>
        <w:rPr>
          <w:sz w:val="20"/>
          <w:szCs w:val="20"/>
          <w:color w:val="auto"/>
        </w:rPr>
      </w:pPr>
      <w:r>
        <w:rPr>
          <w:rFonts w:ascii="Arial" w:cs="Arial" w:eastAsia="Arial" w:hAnsi="Arial"/>
          <w:sz w:val="16"/>
          <w:szCs w:val="16"/>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stock exchange listing and SEC requirements, investor relations costs and director and officer insurance premiums associated with being a public company.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Expense on our Term Loan Facility</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 December 2014, we entered into a loan and security agreement with Solar Capital Ltd. and Square 1 Bank under which we borrowed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$15.0 million under a term loan, or the Term Loan. The Term Loan accrued interest at a floating rate equal to the one-month LIBOR plus 7.75% per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annum. The Term Loan required interest-only payments until March 2016, which was extended to November 2016. After November 2016, payments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Term Loan were made monthly in 20 equal installments of principal plus interest. In June 2018, we paid all amounts owed under the Term Loan.</w:t>
      </w:r>
    </w:p>
    <w:p>
      <w:pPr>
        <w:spacing w:after="0" w:line="34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Change in Fair Value of Series C Redeemable Convertible Preferred Stock Liability</w:t>
      </w:r>
    </w:p>
    <w:p>
      <w:pPr>
        <w:spacing w:after="0" w:line="117" w:lineRule="exact"/>
        <w:rPr>
          <w:sz w:val="20"/>
          <w:szCs w:val="20"/>
          <w:color w:val="auto"/>
        </w:rPr>
      </w:pPr>
    </w:p>
    <w:p>
      <w:pPr>
        <w:ind w:left="200" w:right="60" w:firstLine="551"/>
        <w:spacing w:after="0" w:line="255" w:lineRule="auto"/>
        <w:rPr>
          <w:sz w:val="20"/>
          <w:szCs w:val="20"/>
          <w:color w:val="auto"/>
        </w:rPr>
      </w:pPr>
      <w:r>
        <w:rPr>
          <w:rFonts w:ascii="Arial" w:cs="Arial" w:eastAsia="Arial" w:hAnsi="Arial"/>
          <w:sz w:val="18"/>
          <w:szCs w:val="18"/>
          <w:color w:val="auto"/>
        </w:rPr>
        <w:t>The stock purchase agreement under which we sold shares of Series C preferred stock provided for the issuance and sale of our Series C preferred stock in three separate tranches. The tranches represented a free-standing financial instrument under Accounting Standards Codification, or ASC, 480 and required fair value accounting until they are settled. We recognized a liability on our consolidated balance sheet for the obligations under this financial instrument. We adjusted this liability to fair value at each reporting date and recognized the changes in fair value in our statements of operations as a component of other income (expense), net. We continued to recognize changes in the fair value of this liability through the closing of the third tranche, which occurred on January 18, 2019.</w:t>
      </w:r>
    </w:p>
    <w:p>
      <w:pPr>
        <w:spacing w:after="0" w:line="38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Change in Fair Value of Obligation for Loan Success Fee</w:t>
      </w:r>
    </w:p>
    <w:p>
      <w:pPr>
        <w:spacing w:after="0" w:line="117" w:lineRule="exact"/>
        <w:rPr>
          <w:sz w:val="20"/>
          <w:szCs w:val="20"/>
          <w:color w:val="auto"/>
        </w:rPr>
      </w:pPr>
    </w:p>
    <w:p>
      <w:pPr>
        <w:ind w:left="200" w:right="40" w:firstLine="551"/>
        <w:spacing w:after="0" w:line="255" w:lineRule="auto"/>
        <w:rPr>
          <w:sz w:val="20"/>
          <w:szCs w:val="20"/>
          <w:color w:val="auto"/>
        </w:rPr>
      </w:pPr>
      <w:r>
        <w:rPr>
          <w:rFonts w:ascii="Arial" w:cs="Arial" w:eastAsia="Arial" w:hAnsi="Arial"/>
          <w:sz w:val="18"/>
          <w:szCs w:val="18"/>
          <w:color w:val="auto"/>
        </w:rPr>
        <w:t>In connection with the Term Loan, we entered into a success fee agreement under which we agreed to pay the lenders a success fee upon the occurrence of an exit event, as defined in the success fee agreement. We classify this contingent obligation for the success fee as a liability on our consolidated balance sheet and we adjust this liability to fair value at each reporting date. We recognize changes in the fair value of this obligation for loan success fee in our statements of operations as a component of other income (expense), net and net loss. We will continue to recognize changes in the fair value of the obligation for loan success fee until the success fee payment is triggered. The success fee was triggered and paid upon the closing of our IPO in May 2019.</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3,338</w:t>
            </w:r>
          </w:p>
        </w:tc>
        <w:tc>
          <w:tcPr>
            <w:tcW w:w="120" w:type="dxa"/>
            <w:vAlign w:val="bottom"/>
          </w:tcPr>
          <w:p>
            <w:pPr>
              <w:spacing w:after="0"/>
              <w:rPr>
                <w:sz w:val="18"/>
                <w:szCs w:val="18"/>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18"/>
                <w:szCs w:val="18"/>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Change in fair value of Series C redeemable convertible preferred stock liability</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60"/>
              <w:spacing w:after="0"/>
              <w:rPr>
                <w:sz w:val="20"/>
                <w:szCs w:val="20"/>
                <w:color w:val="auto"/>
              </w:rPr>
            </w:pPr>
            <w:r>
              <w:rPr>
                <w:rFonts w:ascii="Arial" w:cs="Arial" w:eastAsia="Arial" w:hAnsi="Arial"/>
                <w:sz w:val="18"/>
                <w:szCs w:val="18"/>
                <w:color w:val="auto"/>
              </w:rPr>
              <w:t>Change in fair value of obligation for loan success fee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income (expense), net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Loss before income tax benefit</w:t>
            </w:r>
          </w:p>
        </w:tc>
        <w:tc>
          <w:tcPr>
            <w:tcW w:w="4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jc w:val="right"/>
              <w:ind w:right="83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r>
      <w:tr>
        <w:trPr>
          <w:trHeight w:val="180"/>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r>
      <w:tr>
        <w:trPr>
          <w:trHeight w:val="111"/>
        </w:trPr>
        <w:tc>
          <w:tcPr>
            <w:tcW w:w="20" w:type="dxa"/>
            <w:vAlign w:val="bottom"/>
          </w:tcPr>
          <w:p>
            <w:pPr>
              <w:spacing w:after="0"/>
              <w:rPr>
                <w:sz w:val="9"/>
                <w:szCs w:val="9"/>
                <w:color w:val="auto"/>
              </w:rPr>
            </w:pPr>
          </w:p>
        </w:tc>
        <w:tc>
          <w:tcPr>
            <w:tcW w:w="84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Clinical development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Personnel and related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Consulting expenses and professional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expenses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00" w:firstLine="551"/>
        <w:spacing w:after="0" w:line="257" w:lineRule="auto"/>
        <w:rPr>
          <w:sz w:val="20"/>
          <w:szCs w:val="20"/>
          <w:color w:val="auto"/>
        </w:rPr>
      </w:pPr>
      <w:r>
        <w:rPr>
          <w:rFonts w:ascii="Arial" w:cs="Arial" w:eastAsia="Arial" w:hAnsi="Arial"/>
          <w:sz w:val="18"/>
          <w:szCs w:val="18"/>
          <w:color w:val="auto"/>
        </w:rPr>
        <w:t>Research and development expenses for the three months ended March 31, 2019 increased to $3.3 million from $2.4 million for the corresponding period in 2018. The increase was primarily due to a $0.9 million increase in clinical development expenses primarily related to commencement of our ongoing Phase 2b/3 PRISM trial and an increase in personnel and related expenses of $0.1 million as a result of an increase in our employee headcount. For the periods presented, all of our research and development expenses related to our development activity for nalbuphine ER.</w:t>
      </w: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500" w:firstLine="551"/>
        <w:spacing w:after="0" w:line="286" w:lineRule="auto"/>
        <w:rPr>
          <w:sz w:val="20"/>
          <w:szCs w:val="20"/>
          <w:color w:val="auto"/>
        </w:rPr>
      </w:pPr>
      <w:r>
        <w:rPr>
          <w:rFonts w:ascii="Arial" w:cs="Arial" w:eastAsia="Arial" w:hAnsi="Arial"/>
          <w:sz w:val="17"/>
          <w:szCs w:val="17"/>
          <w:color w:val="auto"/>
        </w:rPr>
        <w:t>General and administrative expenses for the three months ended March 31, 2019 increased to $1.5 million from $0.8 million for the corresponding period in 2018. The increase was primarily due to an increase in personnel and stock-based compensation expenses of $0.3 million, which we incurred as we expanded our operations and an increase in consulting expenses and professional fees of $0.2 million.</w:t>
      </w:r>
    </w:p>
    <w:p>
      <w:pPr>
        <w:spacing w:after="0" w:line="27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200" w:right="40" w:firstLine="551"/>
        <w:spacing w:after="0" w:line="259" w:lineRule="auto"/>
        <w:rPr>
          <w:sz w:val="20"/>
          <w:szCs w:val="20"/>
          <w:color w:val="auto"/>
        </w:rPr>
      </w:pPr>
      <w:r>
        <w:rPr>
          <w:rFonts w:ascii="Arial" w:cs="Arial" w:eastAsia="Arial" w:hAnsi="Arial"/>
          <w:sz w:val="18"/>
          <w:szCs w:val="18"/>
          <w:color w:val="auto"/>
        </w:rPr>
        <w:t>Other income (expense), net for the three months ended March 31, 2019 increased to net income of approximately $6 thousand from net expense of $0.9 million for the corresponding period in 2018. The increase was primarily due to the change in fair value of our liability for the shares of Series C preferred stock purchasable in the second and third tranches of our Series C preferred stock financing, which closed in August 2018 and January 2019, respectively.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00" w:right="180" w:firstLine="551"/>
        <w:spacing w:after="0" w:line="276" w:lineRule="auto"/>
        <w:rPr>
          <w:sz w:val="20"/>
          <w:szCs w:val="20"/>
          <w:color w:val="auto"/>
        </w:rPr>
      </w:pPr>
      <w:r>
        <w:rPr>
          <w:rFonts w:ascii="Arial" w:cs="Arial" w:eastAsia="Arial" w:hAnsi="Arial"/>
          <w:sz w:val="17"/>
          <w:szCs w:val="17"/>
          <w:color w:val="auto"/>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a term loan facility. From inception to March 31, 2019, we raised an aggregate of $102.2 million in gross proceeds from sales of our preferred stock and convertible notes and borrowed $15.0 million under a term loan facility. As of June 30, 2018, all amounts owed under the term loan facility had been paid in full.</w:t>
      </w:r>
    </w:p>
    <w:p>
      <w:pPr>
        <w:spacing w:after="0" w:line="173" w:lineRule="exact"/>
        <w:rPr>
          <w:sz w:val="20"/>
          <w:szCs w:val="20"/>
          <w:color w:val="auto"/>
        </w:rPr>
      </w:pPr>
    </w:p>
    <w:p>
      <w:pPr>
        <w:ind w:left="200" w:right="100" w:firstLine="551"/>
        <w:spacing w:after="0" w:line="279" w:lineRule="auto"/>
        <w:rPr>
          <w:sz w:val="20"/>
          <w:szCs w:val="20"/>
          <w:color w:val="auto"/>
        </w:rPr>
      </w:pPr>
      <w:r>
        <w:rPr>
          <w:rFonts w:ascii="Arial" w:cs="Arial" w:eastAsia="Arial" w:hAnsi="Arial"/>
          <w:sz w:val="17"/>
          <w:szCs w:val="17"/>
          <w:color w:val="auto"/>
        </w:rPr>
        <w:t>As of March 31, 2019, we had cash and cash equivalents of $12.9 million. In May 2019, we issued and sold 5,500,000 shares of common stock in our IPO and 1,500,000 shares of common stock in a concurrent private placement, in each case at an offering price of $10.00 per share, for combined net proceeds of $62.6 million after deducting aggregate underwriting discounts and commissions and private placement agent fees of $4.9 million and estimated offering expenses of $2.5 million. Our cash and cash equivalents are primarily held in money market accounts.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each of the periods presented below (in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1"/>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7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r>
      <w:tr>
        <w:trPr>
          <w:trHeight w:val="134"/>
        </w:trPr>
        <w:tc>
          <w:tcPr>
            <w:tcW w:w="20" w:type="dxa"/>
            <w:vAlign w:val="bottom"/>
          </w:tcPr>
          <w:p>
            <w:pPr>
              <w:spacing w:after="0"/>
              <w:rPr>
                <w:sz w:val="11"/>
                <w:szCs w:val="11"/>
                <w:color w:val="auto"/>
              </w:rPr>
            </w:pPr>
          </w:p>
        </w:tc>
        <w:tc>
          <w:tcPr>
            <w:tcW w:w="83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(2,050)</w:t>
            </w:r>
          </w:p>
        </w:tc>
      </w:tr>
      <w:tr>
        <w:trPr>
          <w:trHeight w:val="223"/>
        </w:trPr>
        <w:tc>
          <w:tcPr>
            <w:tcW w:w="20" w:type="dxa"/>
            <w:vAlign w:val="bottom"/>
          </w:tcPr>
          <w:p>
            <w:pPr>
              <w:spacing w:after="0"/>
              <w:rPr>
                <w:sz w:val="19"/>
                <w:szCs w:val="19"/>
                <w:color w:val="auto"/>
              </w:rPr>
            </w:pPr>
          </w:p>
        </w:tc>
        <w:tc>
          <w:tcPr>
            <w:tcW w:w="8380" w:type="dxa"/>
            <w:vAlign w:val="bottom"/>
          </w:tcPr>
          <w:p>
            <w:pPr>
              <w:ind w:left="260"/>
              <w:spacing w:after="0"/>
              <w:rPr>
                <w:sz w:val="20"/>
                <w:szCs w:val="20"/>
                <w:color w:val="auto"/>
              </w:rPr>
            </w:pPr>
            <w:r>
              <w:rPr>
                <w:rFonts w:ascii="Arial" w:cs="Arial" w:eastAsia="Arial" w:hAnsi="Arial"/>
                <w:sz w:val="18"/>
                <w:szCs w:val="18"/>
                <w:color w:val="auto"/>
              </w:rPr>
              <w:t>Net cash increase (decrease)</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200" w:right="20" w:firstLine="551"/>
        <w:spacing w:after="0" w:line="276" w:lineRule="auto"/>
        <w:rPr>
          <w:sz w:val="20"/>
          <w:szCs w:val="20"/>
          <w:color w:val="auto"/>
        </w:rPr>
      </w:pPr>
      <w:r>
        <w:rPr>
          <w:rFonts w:ascii="Arial" w:cs="Arial" w:eastAsia="Arial" w:hAnsi="Arial"/>
          <w:sz w:val="17"/>
          <w:szCs w:val="17"/>
          <w:color w:val="auto"/>
        </w:rPr>
        <w:t>During the three months ended March 31, 2019, operating activities used $4.1 million of cash, resulting from our net loss of $4.8 million, net cash provided by changes in our operating assets and liabilities of $0.5 million and non-cash charges of $0.2 million. Net cash provided by changes in our operating assets and liabilities for the three months ended March 31, 2019 consisted primarily of a $0.9 million increase in accrued expenses. The increase in accrued expenses was primarily due to increases in accruals related to our Phase 2b/3 PRISM trial in prurigo nodularis. The non-cash charges for the three months ended March 31, 2019 consisted primarily of stock-based compensation expense of $0.1 million.</w:t>
      </w:r>
    </w:p>
    <w:p>
      <w:pPr>
        <w:spacing w:after="0" w:line="173" w:lineRule="exact"/>
        <w:rPr>
          <w:sz w:val="20"/>
          <w:szCs w:val="20"/>
          <w:color w:val="auto"/>
        </w:rPr>
      </w:pPr>
    </w:p>
    <w:p>
      <w:pPr>
        <w:ind w:left="200" w:right="60" w:firstLine="551"/>
        <w:spacing w:after="0" w:line="297" w:lineRule="auto"/>
        <w:rPr>
          <w:sz w:val="20"/>
          <w:szCs w:val="20"/>
          <w:color w:val="auto"/>
        </w:rPr>
      </w:pPr>
      <w:r>
        <w:rPr>
          <w:rFonts w:ascii="Arial" w:cs="Arial" w:eastAsia="Arial" w:hAnsi="Arial"/>
          <w:sz w:val="16"/>
          <w:szCs w:val="16"/>
          <w:color w:val="auto"/>
        </w:rPr>
        <w:t>During the three months ended March 31, 2018, operating activities used $4.0 million of cash, resulting from our net loss of $4.0 million and net cash used in changes in our operating assets and liabilities of $0.9 million, partially offset by non-cash charges of $1.0 million. Net cash used in changes in our operating assets and liabilities for the three months ended March 31, 2018 consisted primarily of a $0.8 million decrease in accrued expenses due to the reversal of accrued expenses related to our Phase 2 prurigo nodularis trial. The non-cash charges for the three months ended March 31, 2018 consisted primarily of a $0.8 million expense related to the change in fair value of our Series C redeemable convertible preferred stock liability.</w:t>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200" w:right="680" w:firstLine="551"/>
        <w:spacing w:after="0" w:line="277" w:lineRule="auto"/>
        <w:rPr>
          <w:sz w:val="20"/>
          <w:szCs w:val="20"/>
          <w:color w:val="auto"/>
        </w:rPr>
      </w:pPr>
      <w:r>
        <w:rPr>
          <w:rFonts w:ascii="Arial" w:cs="Arial" w:eastAsia="Arial" w:hAnsi="Arial"/>
          <w:sz w:val="18"/>
          <w:szCs w:val="18"/>
          <w:color w:val="auto"/>
        </w:rPr>
        <w:t>During the three months ended March 31, 2019 and the three months ended March 31, 2018, we used an insignificant amount of cash in investing activities, consisting of purchases of property and equipment.</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200" w:right="260" w:firstLine="551"/>
        <w:spacing w:after="0" w:line="264" w:lineRule="auto"/>
        <w:rPr>
          <w:sz w:val="20"/>
          <w:szCs w:val="20"/>
          <w:color w:val="auto"/>
        </w:rPr>
      </w:pPr>
      <w:r>
        <w:rPr>
          <w:rFonts w:ascii="Arial" w:cs="Arial" w:eastAsia="Arial" w:hAnsi="Arial"/>
          <w:sz w:val="18"/>
          <w:szCs w:val="18"/>
          <w:color w:val="auto"/>
        </w:rPr>
        <w:t>During the three months ended March 31, 2019, net cash provided by financing activities was $9.8 million, primarily consisting of net cash proceeds of $10.0 million from our sales of shares of Series C preferred stock in the third tranche of our Series C preferred stock financing in January 2019, partially offset by deferred costs relating to our IPO of $0.1 million.</w:t>
      </w:r>
    </w:p>
    <w:p>
      <w:pPr>
        <w:spacing w:after="0" w:line="181" w:lineRule="exact"/>
        <w:rPr>
          <w:sz w:val="20"/>
          <w:szCs w:val="20"/>
          <w:color w:val="auto"/>
        </w:rPr>
      </w:pPr>
    </w:p>
    <w:p>
      <w:pPr>
        <w:ind w:left="200" w:right="360" w:firstLine="551"/>
        <w:spacing w:after="0" w:line="277" w:lineRule="auto"/>
        <w:rPr>
          <w:sz w:val="20"/>
          <w:szCs w:val="20"/>
          <w:color w:val="auto"/>
        </w:rPr>
      </w:pPr>
      <w:r>
        <w:rPr>
          <w:rFonts w:ascii="Arial" w:cs="Arial" w:eastAsia="Arial" w:hAnsi="Arial"/>
          <w:sz w:val="18"/>
          <w:szCs w:val="18"/>
          <w:color w:val="auto"/>
        </w:rPr>
        <w:t>During the three months ended March 31, 2018, net cash used in financing activities was $2.1 million, primarily consisting of repayments of $2.1 million on the Term Loan.</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200" w:right="120" w:firstLine="551"/>
        <w:spacing w:after="0" w:line="289" w:lineRule="auto"/>
        <w:rPr>
          <w:sz w:val="20"/>
          <w:szCs w:val="20"/>
          <w:color w:val="auto"/>
        </w:rPr>
      </w:pPr>
      <w:r>
        <w:rPr>
          <w:rFonts w:ascii="Arial" w:cs="Arial" w:eastAsia="Arial" w:hAnsi="Arial"/>
          <w:sz w:val="16"/>
          <w:szCs w:val="16"/>
          <w:color w:val="auto"/>
        </w:rPr>
        <w:t>We expect to incur substantial expenditures in the foreseeable future as we advance nalbuphine ER through clinical development, the regulatory approval process and, if approved, commercial launch activities. Specifically, in the near term, we expect to incur substantial expenses relating to our ongoing Phase 2b/3 PRISM trial, the additional Phase 3 clinical trial we will need to conduct to support the submission of an NDA to the FDA and a marketing authorization application to the European Medicines Agency for nalbuphine ER for the treatment of pruritus associated with prurigo nodularis, our ongoing Phase 1b clinical trial in patients with chronic liver disease, our ongoing Phase 2 clinical trial in chronic cough in patients with IPF and our planned Phase 2 clinical trial for the treatment of LID in patients with Parkinson’s disease, the costs of commercialization activities, including manufacturing capabilities, for nalbuphine ER and other development activities including potentially commencing a Phase 2 clinical trial for pruritus associated with chronic liver diseases. Furthermore, we expect to incur additional costs associated with operating as a public company, including significant legal, accounting, investor relations and other expenses that we did not incur as a private company.</w:t>
      </w:r>
    </w:p>
    <w:p>
      <w:pPr>
        <w:spacing w:after="0" w:line="167" w:lineRule="exact"/>
        <w:rPr>
          <w:sz w:val="20"/>
          <w:szCs w:val="20"/>
          <w:color w:val="auto"/>
        </w:rPr>
      </w:pPr>
    </w:p>
    <w:p>
      <w:pPr>
        <w:ind w:left="200" w:right="280" w:firstLine="551"/>
        <w:spacing w:after="0" w:line="264" w:lineRule="auto"/>
        <w:rPr>
          <w:sz w:val="20"/>
          <w:szCs w:val="20"/>
          <w:color w:val="auto"/>
        </w:rPr>
      </w:pPr>
      <w:r>
        <w:rPr>
          <w:rFonts w:ascii="Arial" w:cs="Arial" w:eastAsia="Arial" w:hAnsi="Arial"/>
          <w:sz w:val="18"/>
          <w:szCs w:val="18"/>
          <w:color w:val="auto"/>
        </w:rPr>
        <w:t>We will need substantial additional funding to support our continuing operations and pursue our growth strategy. Until such time as we can generate significant revenue from sales of nalbuphine ER, if ever, we expect to finance our operations through public or private equity offerings, debt financings, collaborations and licensing arrangements or other sources to achieve our business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objectives. Adequate additional financing may not be available to us on acceptable terms, or at all. Our future funding requirements, both short-term and long-term, will depend on many factors, including:</w:t>
      </w:r>
    </w:p>
    <w:p>
      <w:pPr>
        <w:spacing w:after="0" w:line="76" w:lineRule="exact"/>
        <w:rPr>
          <w:sz w:val="20"/>
          <w:szCs w:val="20"/>
          <w:color w:val="auto"/>
        </w:rPr>
      </w:pPr>
    </w:p>
    <w:p>
      <w:pPr>
        <w:ind w:left="1180" w:right="580" w:hanging="436"/>
        <w:spacing w:after="0" w:line="251" w:lineRule="auto"/>
        <w:tabs>
          <w:tab w:leader="none" w:pos="1180" w:val="left"/>
        </w:tabs>
        <w:numPr>
          <w:ilvl w:val="0"/>
          <w:numId w:val="17"/>
        </w:numPr>
        <w:rPr>
          <w:rFonts w:ascii="Arial" w:cs="Arial" w:eastAsia="Arial" w:hAnsi="Arial"/>
          <w:sz w:val="21"/>
          <w:szCs w:val="21"/>
          <w:color w:val="auto"/>
        </w:rPr>
      </w:pPr>
      <w:r>
        <w:rPr>
          <w:rFonts w:ascii="Arial" w:cs="Arial" w:eastAsia="Arial" w:hAnsi="Arial"/>
          <w:sz w:val="17"/>
          <w:szCs w:val="17"/>
          <w:color w:val="auto"/>
        </w:rPr>
        <w:t>the scope, progress, timing, costs and results of clinical trials of nalbuphine ER for the treatment of pruritus associated with prurigo nodularis and for other serious neurologically mediated conditions, as well of as any future product candidates;</w:t>
      </w:r>
    </w:p>
    <w:p>
      <w:pPr>
        <w:spacing w:after="0" w:line="96" w:lineRule="exact"/>
        <w:rPr>
          <w:rFonts w:ascii="Arial" w:cs="Arial" w:eastAsia="Arial" w:hAnsi="Arial"/>
          <w:sz w:val="21"/>
          <w:szCs w:val="21"/>
          <w:color w:val="auto"/>
        </w:rPr>
      </w:pPr>
    </w:p>
    <w:p>
      <w:pPr>
        <w:ind w:left="1180" w:right="440" w:hanging="436"/>
        <w:spacing w:after="0" w:line="232" w:lineRule="auto"/>
        <w:tabs>
          <w:tab w:leader="none" w:pos="11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number and characteristics of indications for which we seek to develop nalbuphine ER or any future product candidates, and their respective development requirements;</w:t>
      </w:r>
    </w:p>
    <w:p>
      <w:pPr>
        <w:spacing w:after="0" w:line="109" w:lineRule="exact"/>
        <w:rPr>
          <w:rFonts w:ascii="Arial" w:cs="Arial" w:eastAsia="Arial" w:hAnsi="Arial"/>
          <w:sz w:val="22"/>
          <w:szCs w:val="22"/>
          <w:color w:val="auto"/>
        </w:rPr>
      </w:pPr>
    </w:p>
    <w:p>
      <w:pPr>
        <w:ind w:left="1180" w:right="500" w:hanging="436"/>
        <w:spacing w:after="0" w:line="297" w:lineRule="auto"/>
        <w:tabs>
          <w:tab w:leader="none" w:pos="1180" w:val="left"/>
        </w:tabs>
        <w:numPr>
          <w:ilvl w:val="0"/>
          <w:numId w:val="17"/>
        </w:numPr>
        <w:rPr>
          <w:rFonts w:ascii="Arial" w:cs="Arial" w:eastAsia="Arial" w:hAnsi="Arial"/>
          <w:sz w:val="19"/>
          <w:szCs w:val="19"/>
          <w:color w:val="auto"/>
        </w:rPr>
      </w:pPr>
      <w:r>
        <w:rPr>
          <w:rFonts w:ascii="Arial" w:cs="Arial" w:eastAsia="Arial" w:hAnsi="Arial"/>
          <w:sz w:val="16"/>
          <w:szCs w:val="16"/>
          <w:color w:val="auto"/>
        </w:rPr>
        <w:t>the outcome, timing and costs of clinical and nonclinical trials and of seeking regulatory approvals, including the costs of supportive clinical studies such as our planned human abuse liability, or HAL, study and our planned Thorough QT, or TQT, studies;</w:t>
      </w:r>
    </w:p>
    <w:p>
      <w:pPr>
        <w:spacing w:after="0" w:line="55" w:lineRule="exact"/>
        <w:rPr>
          <w:rFonts w:ascii="Arial" w:cs="Arial" w:eastAsia="Arial" w:hAnsi="Arial"/>
          <w:sz w:val="19"/>
          <w:szCs w:val="19"/>
          <w:color w:val="auto"/>
        </w:rPr>
      </w:pPr>
    </w:p>
    <w:p>
      <w:pPr>
        <w:ind w:left="1180" w:right="920" w:hanging="436"/>
        <w:spacing w:after="0" w:line="232" w:lineRule="auto"/>
        <w:tabs>
          <w:tab w:leader="none" w:pos="11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costs associated with the manufacture of necessary quantities of nalbuphine ER or any future product candidate for clinical development in connection with regulatory submissions;</w:t>
      </w:r>
    </w:p>
    <w:p>
      <w:pPr>
        <w:spacing w:after="0" w:line="109" w:lineRule="exact"/>
        <w:rPr>
          <w:rFonts w:ascii="Arial" w:cs="Arial" w:eastAsia="Arial" w:hAnsi="Arial"/>
          <w:sz w:val="22"/>
          <w:szCs w:val="22"/>
          <w:color w:val="auto"/>
        </w:rPr>
      </w:pPr>
    </w:p>
    <w:p>
      <w:pPr>
        <w:jc w:val="both"/>
        <w:ind w:left="1180" w:right="60" w:hanging="436"/>
        <w:spacing w:after="0" w:line="238" w:lineRule="auto"/>
        <w:tabs>
          <w:tab w:leader="none" w:pos="11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costs of commercialization activities for nalbuphine ER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108" w:lineRule="exact"/>
        <w:rPr>
          <w:rFonts w:ascii="Arial" w:cs="Arial" w:eastAsia="Arial" w:hAnsi="Arial"/>
          <w:sz w:val="22"/>
          <w:szCs w:val="22"/>
          <w:color w:val="auto"/>
        </w:rPr>
      </w:pPr>
    </w:p>
    <w:p>
      <w:pPr>
        <w:ind w:left="1180" w:right="200" w:hanging="436"/>
        <w:spacing w:after="0" w:line="297" w:lineRule="auto"/>
        <w:tabs>
          <w:tab w:leader="none" w:pos="1180" w:val="left"/>
        </w:tabs>
        <w:numPr>
          <w:ilvl w:val="0"/>
          <w:numId w:val="17"/>
        </w:numPr>
        <w:rPr>
          <w:rFonts w:ascii="Arial" w:cs="Arial" w:eastAsia="Arial" w:hAnsi="Arial"/>
          <w:sz w:val="19"/>
          <w:szCs w:val="19"/>
          <w:color w:val="auto"/>
        </w:rPr>
      </w:pPr>
      <w:r>
        <w:rPr>
          <w:rFonts w:ascii="Arial" w:cs="Arial" w:eastAsia="Arial" w:hAnsi="Arial"/>
          <w:sz w:val="16"/>
          <w:szCs w:val="16"/>
          <w:color w:val="auto"/>
        </w:rPr>
        <w:t>subject to receipt of marketing approvals, revenue, if any, received from commercial sales of nalbuphine ER for the treatment of pruritus associated with prurigo nodularis or for any other serious neurologically mediated conditions or from any future product candidates;</w:t>
      </w:r>
    </w:p>
    <w:p>
      <w:pPr>
        <w:spacing w:after="0" w:line="55" w:lineRule="exact"/>
        <w:rPr>
          <w:rFonts w:ascii="Arial" w:cs="Arial" w:eastAsia="Arial" w:hAnsi="Arial"/>
          <w:sz w:val="19"/>
          <w:szCs w:val="19"/>
          <w:color w:val="auto"/>
        </w:rPr>
      </w:pPr>
    </w:p>
    <w:p>
      <w:pPr>
        <w:ind w:left="1180" w:right="240" w:hanging="436"/>
        <w:spacing w:after="0" w:line="238" w:lineRule="auto"/>
        <w:tabs>
          <w:tab w:leader="none" w:pos="11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ability to identify potential collaborators for nalbuphine ER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108" w:lineRule="exact"/>
        <w:rPr>
          <w:rFonts w:ascii="Arial" w:cs="Arial" w:eastAsia="Arial" w:hAnsi="Arial"/>
          <w:sz w:val="22"/>
          <w:szCs w:val="22"/>
          <w:color w:val="auto"/>
        </w:rPr>
      </w:pPr>
    </w:p>
    <w:p>
      <w:pPr>
        <w:ind w:left="1180" w:right="240" w:hanging="436"/>
        <w:spacing w:after="0" w:line="232" w:lineRule="auto"/>
        <w:tabs>
          <w:tab w:leader="none" w:pos="11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109" w:lineRule="exact"/>
        <w:rPr>
          <w:rFonts w:ascii="Arial" w:cs="Arial" w:eastAsia="Arial" w:hAnsi="Arial"/>
          <w:sz w:val="22"/>
          <w:szCs w:val="22"/>
          <w:color w:val="auto"/>
        </w:rPr>
      </w:pPr>
    </w:p>
    <w:p>
      <w:pPr>
        <w:ind w:left="1180" w:right="1060" w:hanging="436"/>
        <w:spacing w:after="0" w:line="232" w:lineRule="auto"/>
        <w:tabs>
          <w:tab w:leader="none" w:pos="11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headcount growth and associated costs as we expand our research and development activities and establish a commercial infrastructure;</w:t>
      </w:r>
    </w:p>
    <w:p>
      <w:pPr>
        <w:spacing w:after="0" w:line="109" w:lineRule="exact"/>
        <w:rPr>
          <w:rFonts w:ascii="Arial" w:cs="Arial" w:eastAsia="Arial" w:hAnsi="Arial"/>
          <w:sz w:val="22"/>
          <w:szCs w:val="22"/>
          <w:color w:val="auto"/>
        </w:rPr>
      </w:pPr>
    </w:p>
    <w:p>
      <w:pPr>
        <w:ind w:left="1180" w:hanging="436"/>
        <w:spacing w:after="0" w:line="232" w:lineRule="auto"/>
        <w:tabs>
          <w:tab w:leader="none" w:pos="11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86" w:lineRule="exact"/>
        <w:rPr>
          <w:rFonts w:ascii="Arial" w:cs="Arial" w:eastAsia="Arial" w:hAnsi="Arial"/>
          <w:sz w:val="22"/>
          <w:szCs w:val="22"/>
          <w:color w:val="auto"/>
        </w:rPr>
      </w:pPr>
    </w:p>
    <w:p>
      <w:pPr>
        <w:ind w:left="1180" w:hanging="436"/>
        <w:spacing w:after="0"/>
        <w:tabs>
          <w:tab w:leader="none" w:pos="11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effect of competing technological and market developments;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ability to establish and maintain healthcare coverage and adequate reimbursement for our products; and</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costs of operating as a public company.</w:t>
      </w:r>
    </w:p>
    <w:p>
      <w:pPr>
        <w:spacing w:after="0" w:line="229" w:lineRule="exact"/>
        <w:rPr>
          <w:sz w:val="20"/>
          <w:szCs w:val="20"/>
          <w:color w:val="auto"/>
        </w:rPr>
      </w:pPr>
    </w:p>
    <w:p>
      <w:pPr>
        <w:ind w:left="200" w:firstLine="551"/>
        <w:spacing w:after="0" w:line="308" w:lineRule="auto"/>
        <w:rPr>
          <w:sz w:val="20"/>
          <w:szCs w:val="20"/>
          <w:color w:val="auto"/>
        </w:rPr>
      </w:pPr>
      <w:r>
        <w:rPr>
          <w:rFonts w:ascii="Arial" w:cs="Arial" w:eastAsia="Arial" w:hAnsi="Arial"/>
          <w:sz w:val="17"/>
          <w:szCs w:val="17"/>
          <w:color w:val="auto"/>
        </w:rPr>
        <w:t>We believe that our existing cash and cash equivalents, together with the net proceeds from our IPO and concurrent private placement that closed in May 2019, will enable us to fund our operating expenses and capital expenditure requirements through the end of 2020.</w:t>
      </w:r>
    </w:p>
    <w:p>
      <w:pPr>
        <w:spacing w:after="0" w:line="147" w:lineRule="exact"/>
        <w:rPr>
          <w:sz w:val="20"/>
          <w:szCs w:val="20"/>
          <w:color w:val="auto"/>
        </w:rPr>
      </w:pPr>
    </w:p>
    <w:p>
      <w:pPr>
        <w:jc w:val="both"/>
        <w:ind w:left="200" w:right="120" w:firstLine="551"/>
        <w:spacing w:after="0" w:line="259"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which may not be available to us on acceptable terms, or at all. Our failure to raise capital as and when needed would have a negative impact on our financial condition and our ability to pursue our business strategy.</w:t>
      </w:r>
    </w:p>
    <w:p>
      <w:pPr>
        <w:spacing w:after="0" w:line="187" w:lineRule="exact"/>
        <w:rPr>
          <w:sz w:val="20"/>
          <w:szCs w:val="20"/>
          <w:color w:val="auto"/>
        </w:rPr>
      </w:pPr>
    </w:p>
    <w:p>
      <w:pPr>
        <w:ind w:left="200" w:right="40" w:firstLine="551"/>
        <w:spacing w:after="0" w:line="254" w:lineRule="auto"/>
        <w:rPr>
          <w:sz w:val="20"/>
          <w:szCs w:val="20"/>
          <w:color w:val="auto"/>
        </w:rPr>
      </w:pPr>
      <w:r>
        <w:rPr>
          <w:rFonts w:ascii="Arial" w:cs="Arial" w:eastAsia="Arial" w:hAnsi="Arial"/>
          <w:sz w:val="18"/>
          <w:szCs w:val="18"/>
          <w:color w:val="auto"/>
        </w:rPr>
        <w:t>We do not have any committed external source of funds. Accordingly, we will be required to obtain further funding through public or private equity offerings, debt financings, collaborations and licensing arrangements or other sources to complete the clinical development and commercialization of nalbuphine ER for pruritus associated with prurigo nodularis or any other indication. If we raise additional funds by issuing equity securities, our stockholders may experience dilution. Any future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Any debt financing or additional equity that we raise may contain terms that could adversely affect our common stockholders.</w:t>
      </w:r>
    </w:p>
    <w:p>
      <w:pPr>
        <w:spacing w:after="0" w:line="192" w:lineRule="exact"/>
        <w:rPr>
          <w:sz w:val="20"/>
          <w:szCs w:val="20"/>
          <w:color w:val="auto"/>
        </w:rPr>
      </w:pPr>
    </w:p>
    <w:p>
      <w:pPr>
        <w:ind w:left="200" w:right="360" w:firstLine="551"/>
        <w:spacing w:after="0" w:line="259" w:lineRule="auto"/>
        <w:rPr>
          <w:sz w:val="20"/>
          <w:szCs w:val="20"/>
          <w:color w:val="auto"/>
        </w:rPr>
      </w:pPr>
      <w:r>
        <w:rPr>
          <w:rFonts w:ascii="Arial" w:cs="Arial" w:eastAsia="Arial" w:hAnsi="Arial"/>
          <w:sz w:val="18"/>
          <w:szCs w:val="18"/>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ectPr>
          <w:pgSz w:w="11900" w:h="16838" w:orient="portrait"/>
          <w:cols w:equalWidth="0" w:num="1">
            <w:col w:w="11220"/>
          </w:cols>
          <w:pgMar w:left="240" w:top="459" w:right="439" w:bottom="1440" w:gutter="0" w:footer="0" w:header="0"/>
        </w:sectPr>
      </w:pP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20"/>
          </w:cols>
          <w:pgMar w:left="24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During the three months ended March 31, 2019, there were no material changes to our critical accounting policies. Our critical accounting policies are described under the heading “Management’s Discussion and Analysis of Financial Condition and Results of Operations—Critical Accounting Policies and Use of Estimates” in the final prospectus for our IPO filed with the SEC pursuant to Rule 424(b)(4) on May 8, 2019 and in the notes to the condensed consolidated financial statements appearing elsewhere in this Quarterly Report on Form 10-Q.</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Item 3.</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60" w:firstLine="551"/>
        <w:spacing w:after="0" w:line="264"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 See Note 13 to our condensed consolidated financial statements included elsewhere in this Quarterly Report on Form 10-Q for discussion regarding our guarantees and indemnifications.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200" w:right="120" w:firstLine="551"/>
        <w:spacing w:after="0" w:line="279" w:lineRule="auto"/>
        <w:rPr>
          <w:sz w:val="20"/>
          <w:szCs w:val="20"/>
          <w:color w:val="auto"/>
        </w:rPr>
      </w:pPr>
      <w:r>
        <w:rPr>
          <w:rFonts w:ascii="Arial" w:cs="Arial" w:eastAsia="Arial" w:hAnsi="Arial"/>
          <w:sz w:val="17"/>
          <w:szCs w:val="17"/>
          <w:color w:val="auto"/>
        </w:rPr>
        <w:t xml:space="preserve">In February 2016, the Financial Accounting Standards Board, or FASB, issued ASU No. 2016-02 titled </w:t>
      </w:r>
      <w:r>
        <w:rPr>
          <w:rFonts w:ascii="Arial" w:cs="Arial" w:eastAsia="Arial" w:hAnsi="Arial"/>
          <w:sz w:val="17"/>
          <w:szCs w:val="17"/>
          <w:i w:val="1"/>
          <w:iCs w:val="1"/>
          <w:color w:val="auto"/>
        </w:rPr>
        <w:t>Lease,</w:t>
      </w:r>
      <w:r>
        <w:rPr>
          <w:rFonts w:ascii="Arial" w:cs="Arial" w:eastAsia="Arial" w:hAnsi="Arial"/>
          <w:sz w:val="17"/>
          <w:szCs w:val="17"/>
          <w:color w:val="auto"/>
        </w:rPr>
        <w:t xml:space="preserve"> or ASU 2016-02, which requires rights and obligations arising from both operating and capital leases to be reported on the Consolidated Balance Sheet, and to disclose quantitative and qualitative information about lease transactions (such as information about variable lease payments and options to renew and terminate leases). ASU 2016-02 is effective for fiscal years beginning after December 15, 2018, with early adoption permitted.</w:t>
      </w:r>
    </w:p>
    <w:p>
      <w:pPr>
        <w:spacing w:after="0" w:line="171" w:lineRule="exact"/>
        <w:rPr>
          <w:sz w:val="20"/>
          <w:szCs w:val="20"/>
          <w:color w:val="auto"/>
        </w:rPr>
      </w:pPr>
    </w:p>
    <w:p>
      <w:pPr>
        <w:ind w:left="200" w:right="40" w:firstLine="551"/>
        <w:spacing w:after="0" w:line="286" w:lineRule="auto"/>
        <w:rPr>
          <w:sz w:val="20"/>
          <w:szCs w:val="20"/>
          <w:color w:val="auto"/>
        </w:rPr>
      </w:pPr>
      <w:r>
        <w:rPr>
          <w:rFonts w:ascii="Arial" w:cs="Arial" w:eastAsia="Arial" w:hAnsi="Arial"/>
          <w:sz w:val="16"/>
          <w:szCs w:val="16"/>
          <w:color w:val="auto"/>
        </w:rPr>
        <w:t>We adopted this new guidance as of January 1, 2019, which included an assessment of the impact of the new guidance on the condensed consolidated financial statements. We utilized the transition practical expedient added by the FASB, which eliminated the requirement that entities apply the new lease standard to the comparative periods presented in the year of adoption. We elected to use the package of practical expedients that allowed us to not reassess: (1) whether any expired or existing contracts were or contained leases, (2) lease classification for any expired or existing leases and</w:t>
      </w:r>
    </w:p>
    <w:p>
      <w:pPr>
        <w:spacing w:after="0" w:line="2" w:lineRule="exact"/>
        <w:rPr>
          <w:sz w:val="20"/>
          <w:szCs w:val="20"/>
          <w:color w:val="auto"/>
        </w:rPr>
      </w:pPr>
    </w:p>
    <w:p>
      <w:pPr>
        <w:ind w:left="200" w:firstLine="4"/>
        <w:spacing w:after="0" w:line="253" w:lineRule="auto"/>
        <w:tabs>
          <w:tab w:leader="none" w:pos="4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initial direct costs for any expired or existing leases. We additionally used the practical expedient that allows lessees to treat the lease and non-lease components of leases as a single lease component. The adoption of this standard resulted in the recognition of a right-of-use asset of approximately $379 and related lease liabilities of approximately $424 related to our operating lease commitments on the Condensed Consolidated Balance Sheet as of January 1, 2019 </w:t>
      </w:r>
      <w:r>
        <w:rPr>
          <w:rFonts w:ascii="Arial" w:cs="Arial" w:eastAsia="Arial" w:hAnsi="Arial"/>
          <w:sz w:val="18"/>
          <w:szCs w:val="18"/>
          <w:i w:val="1"/>
          <w:iCs w:val="1"/>
          <w:color w:val="auto"/>
        </w:rPr>
        <w:t>(Note 4).</w:t>
      </w:r>
      <w:r>
        <w:rPr>
          <w:rFonts w:ascii="Arial" w:cs="Arial" w:eastAsia="Arial" w:hAnsi="Arial"/>
          <w:sz w:val="18"/>
          <w:szCs w:val="18"/>
          <w:color w:val="auto"/>
        </w:rPr>
        <w:t xml:space="preserve"> The impact of adoption of the new leasing standard did not have a material impact on the condensed consolidated statement of income during the three months ended March 31, 2019.</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440" w:firstLine="551"/>
        <w:spacing w:after="0" w:line="312" w:lineRule="auto"/>
        <w:rPr>
          <w:sz w:val="20"/>
          <w:szCs w:val="20"/>
          <w:color w:val="auto"/>
        </w:rPr>
      </w:pPr>
      <w:r>
        <w:rPr>
          <w:rFonts w:ascii="Arial" w:cs="Arial" w:eastAsia="Arial" w:hAnsi="Arial"/>
          <w:sz w:val="16"/>
          <w:szCs w:val="16"/>
          <w:color w:val="auto"/>
        </w:rPr>
        <w:t>There have been no new accounting pronouncements during the three months ended March 31, 2019, as compared to the recent accounting pronouncements described in Note 2 to our audited consolidated financial statements for the year ended December 31, 2018 included in the final prospectus for our IPO, which could be expected to materially impact our unaudited condensed consolidated financial statements.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Required.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March 31, 2019.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March 31, 2019, our Chief Executive Officer and Chief Financial Officer concluded that, as of such date, our disclosure controls and procedures were effective at the reasonable assurance level.</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right="20" w:firstLine="771"/>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March 31, 2019 that has materially affected, or is reasonably likely to materially affect, our internal control over financial reporting.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not subject to any material legal proceedings.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have incurred significant annual net losses every year since our inception. We expect to continue to incur significant and increasing net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losses for at least the next several years. Our net losses were $4.8 million, $20.5 million and $12.9 million for the three months ended March 31, 2019,</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year ended December 31, 2018 and the year ended December 31, 2017, respectively. As of March 31, 2019, we had an accumulated deficit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$115.5 million. We have not generated any revenues from product sales, have not completed the development of any product candidate and may never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have a product candidate approved for commercialization. We have financed our operations to date primarily through private placements of our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convertible preferred stock. We have devoted substantially all of our financial resources and efforts to the clinical development of our product candidate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nalbuphine ER and related activities. Our net losses may fluctuate significantly from quarter to quarter and year to year. Net losses and negative cash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flows have had, and will continue to have, an adverse effect on our stockholders’ equity and working capital.</w:t>
      </w:r>
    </w:p>
    <w:p>
      <w:pPr>
        <w:spacing w:after="0" w:line="211" w:lineRule="exact"/>
        <w:rPr>
          <w:sz w:val="20"/>
          <w:szCs w:val="20"/>
          <w:color w:val="auto"/>
        </w:rPr>
      </w:pPr>
    </w:p>
    <w:p>
      <w:pPr>
        <w:ind w:left="200" w:right="260" w:firstLine="551"/>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76" w:lineRule="exact"/>
        <w:rPr>
          <w:sz w:val="20"/>
          <w:szCs w:val="20"/>
          <w:color w:val="auto"/>
        </w:rPr>
      </w:pPr>
    </w:p>
    <w:p>
      <w:pPr>
        <w:ind w:left="1180" w:hanging="436"/>
        <w:spacing w:after="0" w:line="232" w:lineRule="auto"/>
        <w:tabs>
          <w:tab w:leader="none" w:pos="11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continue to develop and conduct clinical trials of nalbuphine ER, including our ongoing Phase 2b/3 trial of nalbuphine ER for the treatment of pruritus associated with prurigo nodularis, which we refer to as our PRISM trial;</w:t>
      </w:r>
    </w:p>
    <w:p>
      <w:pPr>
        <w:spacing w:after="0" w:line="109" w:lineRule="exact"/>
        <w:rPr>
          <w:rFonts w:ascii="Arial" w:cs="Arial" w:eastAsia="Arial" w:hAnsi="Arial"/>
          <w:sz w:val="22"/>
          <w:szCs w:val="22"/>
          <w:color w:val="auto"/>
        </w:rPr>
      </w:pPr>
    </w:p>
    <w:p>
      <w:pPr>
        <w:ind w:left="1180" w:right="60" w:hanging="436"/>
        <w:spacing w:after="0" w:line="241" w:lineRule="auto"/>
        <w:tabs>
          <w:tab w:leader="none" w:pos="11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complete other development work required for the filing of a new drug application, or NDA, with the U.S. Food and Drug Administration, or FDA, and the filing of a marketing authorization application, or MAA, with the European Medicines Agency, or EMA, for nalbuphine ER for the treatment of pruritus associated with prurigo nodularis, including completing our PRISM trial and at least one additional Phase 3 clinical trial in this indication;</w:t>
      </w:r>
    </w:p>
    <w:p>
      <w:pPr>
        <w:spacing w:after="0" w:line="108" w:lineRule="exact"/>
        <w:rPr>
          <w:rFonts w:ascii="Arial" w:cs="Arial" w:eastAsia="Arial" w:hAnsi="Arial"/>
          <w:sz w:val="22"/>
          <w:szCs w:val="22"/>
          <w:color w:val="auto"/>
        </w:rPr>
      </w:pPr>
    </w:p>
    <w:p>
      <w:pPr>
        <w:ind w:left="1180" w:right="400" w:hanging="436"/>
        <w:spacing w:after="0" w:line="297" w:lineRule="auto"/>
        <w:tabs>
          <w:tab w:leader="none" w:pos="1180" w:val="left"/>
        </w:tabs>
        <w:numPr>
          <w:ilvl w:val="0"/>
          <w:numId w:val="19"/>
        </w:numPr>
        <w:rPr>
          <w:rFonts w:ascii="Arial" w:cs="Arial" w:eastAsia="Arial" w:hAnsi="Arial"/>
          <w:sz w:val="19"/>
          <w:szCs w:val="19"/>
          <w:color w:val="auto"/>
        </w:rPr>
      </w:pPr>
      <w:r>
        <w:rPr>
          <w:rFonts w:ascii="Arial" w:cs="Arial" w:eastAsia="Arial" w:hAnsi="Arial"/>
          <w:sz w:val="16"/>
          <w:szCs w:val="16"/>
          <w:color w:val="auto"/>
        </w:rPr>
        <w:t>seek regulatory and marketing approvals for nalbuphine ER for the treatment of pruritus associated with prurigo nodularis or for other serious neurologically mediated conditions or for any future product candidate that successfully completes clinical trials, if any;</w:t>
      </w:r>
    </w:p>
    <w:p>
      <w:pPr>
        <w:spacing w:after="0" w:line="55" w:lineRule="exact"/>
        <w:rPr>
          <w:rFonts w:ascii="Arial" w:cs="Arial" w:eastAsia="Arial" w:hAnsi="Arial"/>
          <w:sz w:val="19"/>
          <w:szCs w:val="19"/>
          <w:color w:val="auto"/>
        </w:rPr>
      </w:pPr>
    </w:p>
    <w:p>
      <w:pPr>
        <w:ind w:left="1180" w:right="540" w:hanging="436"/>
        <w:spacing w:after="0" w:line="232" w:lineRule="auto"/>
        <w:tabs>
          <w:tab w:leader="none" w:pos="11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establish sales, marketing, distribution and other commercial infrastructure to commercialize any products for which we may obtain marketing approval;</w:t>
      </w:r>
    </w:p>
    <w:p>
      <w:pPr>
        <w:spacing w:after="0" w:line="109" w:lineRule="exact"/>
        <w:rPr>
          <w:rFonts w:ascii="Arial" w:cs="Arial" w:eastAsia="Arial" w:hAnsi="Arial"/>
          <w:sz w:val="22"/>
          <w:szCs w:val="22"/>
          <w:color w:val="auto"/>
        </w:rPr>
      </w:pPr>
    </w:p>
    <w:p>
      <w:pPr>
        <w:ind w:left="1180" w:right="300" w:hanging="436"/>
        <w:spacing w:after="0" w:line="232" w:lineRule="auto"/>
        <w:tabs>
          <w:tab w:leader="none" w:pos="11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require the manufacture of larger quantities of nalbuphine ER or any future product candidate for clinical development and, potentially, commercialization;</w:t>
      </w:r>
    </w:p>
    <w:p>
      <w:pPr>
        <w:spacing w:after="0" w:line="86" w:lineRule="exact"/>
        <w:rPr>
          <w:rFonts w:ascii="Arial" w:cs="Arial" w:eastAsia="Arial" w:hAnsi="Arial"/>
          <w:sz w:val="22"/>
          <w:szCs w:val="22"/>
          <w:color w:val="auto"/>
        </w:rPr>
      </w:pPr>
    </w:p>
    <w:p>
      <w:pPr>
        <w:ind w:left="1180" w:hanging="436"/>
        <w:spacing w:after="0"/>
        <w:tabs>
          <w:tab w:leader="none" w:pos="11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acquire or in-license rights to other potential product candidates or technologies;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initiate and conduct research, preclinical and clinical development efforts for any future product candidates;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maintain, expand and protect our intellectual property portfolio;</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hire and retain additional personnel, such as clinical, quality control and scientific personnel;</w:t>
      </w:r>
    </w:p>
    <w:p>
      <w:pPr>
        <w:spacing w:after="0" w:line="134" w:lineRule="exact"/>
        <w:rPr>
          <w:rFonts w:ascii="Arial" w:cs="Arial" w:eastAsia="Arial" w:hAnsi="Arial"/>
          <w:sz w:val="22"/>
          <w:szCs w:val="22"/>
          <w:color w:val="auto"/>
        </w:rPr>
      </w:pPr>
    </w:p>
    <w:p>
      <w:pPr>
        <w:ind w:left="1180" w:right="240" w:hanging="436"/>
        <w:spacing w:after="0" w:line="232" w:lineRule="auto"/>
        <w:tabs>
          <w:tab w:leader="none" w:pos="11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109" w:lineRule="exact"/>
        <w:rPr>
          <w:rFonts w:ascii="Arial" w:cs="Arial" w:eastAsia="Arial" w:hAnsi="Arial"/>
          <w:sz w:val="22"/>
          <w:szCs w:val="22"/>
          <w:color w:val="auto"/>
        </w:rPr>
      </w:pPr>
    </w:p>
    <w:p>
      <w:pPr>
        <w:ind w:left="1180" w:hanging="436"/>
        <w:spacing w:after="0"/>
        <w:tabs>
          <w:tab w:leader="none" w:pos="1180" w:val="left"/>
        </w:tabs>
        <w:numPr>
          <w:ilvl w:val="0"/>
          <w:numId w:val="19"/>
        </w:numPr>
        <w:rPr>
          <w:rFonts w:ascii="Arial" w:cs="Arial" w:eastAsia="Arial" w:hAnsi="Arial"/>
          <w:sz w:val="19"/>
          <w:szCs w:val="19"/>
          <w:color w:val="auto"/>
        </w:rPr>
      </w:pPr>
      <w:r>
        <w:rPr>
          <w:rFonts w:ascii="Arial" w:cs="Arial" w:eastAsia="Arial" w:hAnsi="Arial"/>
          <w:sz w:val="16"/>
          <w:szCs w:val="16"/>
          <w:color w:val="auto"/>
        </w:rPr>
        <w:t>add equipment and physical infrastructure to support our development program for nalbuphine ER and for any future product candidates.</w:t>
      </w:r>
    </w:p>
    <w:p>
      <w:pPr>
        <w:spacing w:after="0" w:line="1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551"/>
        <w:spacing w:after="0" w:line="268" w:lineRule="auto"/>
        <w:rPr>
          <w:sz w:val="20"/>
          <w:szCs w:val="20"/>
          <w:color w:val="auto"/>
        </w:rPr>
      </w:pPr>
      <w:r>
        <w:rPr>
          <w:rFonts w:ascii="Arial" w:cs="Arial" w:eastAsia="Arial" w:hAnsi="Arial"/>
          <w:sz w:val="17"/>
          <w:szCs w:val="17"/>
          <w:color w:val="auto"/>
        </w:rPr>
        <w:t>Our ability to become and remain profitable depends on our ability to generate revenue. We do not expect to generate significant revenue unless and until we are able to obtain marketing approval for, and successfully commercialize, nalbuphine ER or any future product candidate. Successful commercialization will require achievement of key milestones, including completing clinical trials of nalbuphine ER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nalbuphine ER for the treatment of pruritus associated with prurigo nodularis, we will be required, at a minimum, to successfully complete our ongoing PRISM trial as well as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296"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62" w:lineRule="exact"/>
        <w:rPr>
          <w:sz w:val="20"/>
          <w:szCs w:val="20"/>
          <w:color w:val="auto"/>
        </w:rPr>
      </w:pPr>
    </w:p>
    <w:p>
      <w:pPr>
        <w:ind w:left="200" w:firstLine="551"/>
        <w:spacing w:after="0" w:line="272" w:lineRule="auto"/>
        <w:rPr>
          <w:sz w:val="20"/>
          <w:szCs w:val="20"/>
          <w:color w:val="auto"/>
        </w:rPr>
      </w:pPr>
      <w:r>
        <w:rPr>
          <w:rFonts w:ascii="Arial" w:cs="Arial" w:eastAsia="Arial" w:hAnsi="Arial"/>
          <w:sz w:val="17"/>
          <w:szCs w:val="17"/>
          <w:color w:val="auto"/>
        </w:rPr>
        <w:t>We were founded and commenced operations in 2011. Our operations to date have been limited to financing and staffing our company and conducting preclinical and clinical development of nalbuphine ER. We have not yet demonstrated an ability to successfully complete clinical development of any product candidates, obtain marketing approvals, manufacture a commercial-scale product or arrange for a third 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78" w:lineRule="exact"/>
        <w:rPr>
          <w:sz w:val="20"/>
          <w:szCs w:val="20"/>
          <w:color w:val="auto"/>
        </w:rPr>
      </w:pPr>
    </w:p>
    <w:p>
      <w:pPr>
        <w:ind w:left="200" w:right="140" w:firstLine="551"/>
        <w:spacing w:after="0" w:line="312" w:lineRule="auto"/>
        <w:rPr>
          <w:sz w:val="20"/>
          <w:szCs w:val="20"/>
          <w:color w:val="auto"/>
        </w:rPr>
      </w:pPr>
      <w:r>
        <w:rPr>
          <w:rFonts w:ascii="Arial" w:cs="Arial" w:eastAsia="Arial" w:hAnsi="Arial"/>
          <w:sz w:val="16"/>
          <w:szCs w:val="16"/>
          <w:color w:val="auto"/>
        </w:rPr>
        <w:t>We may encounter unforeseen expenses, difficulties, complications, delays and other known or unknown factors in achieving our business objectives. If we are able to obtain marketing approval for nalbuphine ER or any future product candidate, we will need to transition from a company focused on clinical development to a company capable of supporting commercial activities. We may not be successful in effectuating such a transition.</w:t>
      </w:r>
    </w:p>
    <w:p>
      <w:pPr>
        <w:spacing w:after="0" w:line="147" w:lineRule="exact"/>
        <w:rPr>
          <w:sz w:val="20"/>
          <w:szCs w:val="20"/>
          <w:color w:val="auto"/>
        </w:rPr>
      </w:pPr>
    </w:p>
    <w:p>
      <w:pPr>
        <w:ind w:left="200" w:right="160" w:firstLine="551"/>
        <w:spacing w:after="0" w:line="264" w:lineRule="auto"/>
        <w:rPr>
          <w:sz w:val="20"/>
          <w:szCs w:val="20"/>
          <w:color w:val="auto"/>
        </w:rPr>
      </w:pPr>
      <w:r>
        <w:rPr>
          <w:rFonts w:ascii="Arial" w:cs="Arial" w:eastAsia="Arial" w:hAnsi="Arial"/>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8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62" w:lineRule="exact"/>
        <w:rPr>
          <w:sz w:val="20"/>
          <w:szCs w:val="20"/>
          <w:color w:val="auto"/>
        </w:rPr>
      </w:pPr>
    </w:p>
    <w:p>
      <w:pPr>
        <w:ind w:left="200" w:right="200" w:firstLine="551"/>
        <w:spacing w:after="0" w:line="288" w:lineRule="auto"/>
        <w:rPr>
          <w:sz w:val="20"/>
          <w:szCs w:val="20"/>
          <w:color w:val="auto"/>
        </w:rPr>
      </w:pPr>
      <w:r>
        <w:rPr>
          <w:rFonts w:ascii="Arial" w:cs="Arial" w:eastAsia="Arial" w:hAnsi="Arial"/>
          <w:sz w:val="16"/>
          <w:szCs w:val="16"/>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three months ended March 31, 2019 and in the years ended December 31, 2018 and 2017, we used net cash of $3.9 million, $18.3 million and</w:t>
      </w:r>
    </w:p>
    <w:p>
      <w:pPr>
        <w:ind w:left="200"/>
        <w:spacing w:after="0" w:line="285" w:lineRule="auto"/>
        <w:rPr>
          <w:sz w:val="20"/>
          <w:szCs w:val="20"/>
          <w:color w:val="auto"/>
        </w:rPr>
      </w:pPr>
      <w:r>
        <w:rPr>
          <w:rFonts w:ascii="Arial" w:cs="Arial" w:eastAsia="Arial" w:hAnsi="Arial"/>
          <w:sz w:val="16"/>
          <w:szCs w:val="16"/>
          <w:color w:val="auto"/>
        </w:rPr>
        <w:t>$8.0 million, respectively, in our operating activities, substantially all of which related to development activities for nalbuphine ER. As of March 31, 2019, our cash and cash equivalents were $12.9 million, and we received $62.6 million in net proceeds from our initial public offering and concurrent private placement that closed on May 9, 2019. We expect our expenses to increase substantially in connection with our ongoing activities, particularly as we continue to develop and conduct clinical trials of nalbuphine ER, including our ongoing PRISM trial and the additional Phase 3 clinical trial we will need to conduct for nalbuphine ER for the treatment of pruritus associated with prurigo nodularis, acquire or in-license rights to other potential product candidates or technologies and seek regulatory and marketing approvals for nalbuphine ER or any future product candidate that successfully completes clinical trials, if any. In addition, if we obtain marketing approval for nalbuphine ER or any future product candidate, we may incur significant commercialization expenses related to product sales, marketing, manufacturing and distribution. For instance, we currently intend to commercialize nalbuphine ER in the United States ourselves by developing a focused, specialty sales, marketing and distribution organization. Furthermore, we expect to incur significant additional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551"/>
        <w:spacing w:after="0" w:line="270" w:lineRule="auto"/>
        <w:rPr>
          <w:sz w:val="20"/>
          <w:szCs w:val="20"/>
          <w:color w:val="auto"/>
        </w:rPr>
      </w:pPr>
      <w:r>
        <w:rPr>
          <w:rFonts w:ascii="Arial" w:cs="Arial" w:eastAsia="Arial" w:hAnsi="Arial"/>
          <w:sz w:val="17"/>
          <w:szCs w:val="17"/>
          <w:color w:val="auto"/>
        </w:rPr>
        <w:t>We plan to use our existing cash and cash equivalents, to fund the development of nalbuphine ER for the treatment of pruritus associated with prurigo nodularis, to fund the development of nalbuphine ER for other serious neurologically mediated conditions and for working capital and other general corporate purposes. We will be required to expend significant funds in order to advance the development of nalbuphine ER in multiple indications, as well as any future product candidates we may seek to develop. Our existing cash and cash equivalents may not be sufficient to complete development of nalbuphine ER for the treatment of pruritus associated with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82" w:lineRule="exact"/>
        <w:rPr>
          <w:sz w:val="20"/>
          <w:szCs w:val="20"/>
          <w:color w:val="auto"/>
        </w:rPr>
      </w:pPr>
    </w:p>
    <w:p>
      <w:pPr>
        <w:ind w:left="200" w:right="180" w:firstLine="551"/>
        <w:spacing w:after="0" w:line="255"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through the end of 2020. Our estimate as to how long we expect our existing cash and cash equivalents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99" w:lineRule="exact"/>
        <w:rPr>
          <w:sz w:val="20"/>
          <w:szCs w:val="20"/>
          <w:color w:val="auto"/>
        </w:rPr>
      </w:pPr>
    </w:p>
    <w:p>
      <w:pPr>
        <w:ind w:left="1180" w:right="580" w:hanging="436"/>
        <w:spacing w:after="0" w:line="251" w:lineRule="auto"/>
        <w:tabs>
          <w:tab w:leader="none" w:pos="1180" w:val="left"/>
        </w:tabs>
        <w:numPr>
          <w:ilvl w:val="0"/>
          <w:numId w:val="20"/>
        </w:numPr>
        <w:rPr>
          <w:rFonts w:ascii="Arial" w:cs="Arial" w:eastAsia="Arial" w:hAnsi="Arial"/>
          <w:sz w:val="21"/>
          <w:szCs w:val="21"/>
          <w:color w:val="auto"/>
        </w:rPr>
      </w:pPr>
      <w:r>
        <w:rPr>
          <w:rFonts w:ascii="Arial" w:cs="Arial" w:eastAsia="Arial" w:hAnsi="Arial"/>
          <w:sz w:val="17"/>
          <w:szCs w:val="17"/>
          <w:color w:val="auto"/>
        </w:rPr>
        <w:t>the scope, progress, timing, costs and results of clinical trials of nalbuphine ER for the treatment of pruritus associated with prurigo nodularis and for other serious neurologically mediated conditions, as well of as any future product candidates;</w:t>
      </w:r>
    </w:p>
    <w:p>
      <w:pPr>
        <w:spacing w:after="0" w:line="96" w:lineRule="exact"/>
        <w:rPr>
          <w:rFonts w:ascii="Arial" w:cs="Arial" w:eastAsia="Arial" w:hAnsi="Arial"/>
          <w:sz w:val="21"/>
          <w:szCs w:val="21"/>
          <w:color w:val="auto"/>
        </w:rPr>
      </w:pPr>
    </w:p>
    <w:p>
      <w:pPr>
        <w:ind w:left="1180" w:right="440" w:hanging="436"/>
        <w:spacing w:after="0" w:line="232" w:lineRule="auto"/>
        <w:tabs>
          <w:tab w:leader="none" w:pos="11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number and characteristics of indications for which we seek to develop nalbuphine ER or any future product candidates, and their respective development requirements;</w:t>
      </w:r>
    </w:p>
    <w:p>
      <w:pPr>
        <w:spacing w:after="0" w:line="109" w:lineRule="exact"/>
        <w:rPr>
          <w:rFonts w:ascii="Arial" w:cs="Arial" w:eastAsia="Arial" w:hAnsi="Arial"/>
          <w:sz w:val="22"/>
          <w:szCs w:val="22"/>
          <w:color w:val="auto"/>
        </w:rPr>
      </w:pPr>
    </w:p>
    <w:p>
      <w:pPr>
        <w:ind w:left="1180" w:right="500" w:hanging="436"/>
        <w:spacing w:after="0" w:line="297" w:lineRule="auto"/>
        <w:tabs>
          <w:tab w:leader="none" w:pos="1180" w:val="left"/>
        </w:tabs>
        <w:numPr>
          <w:ilvl w:val="0"/>
          <w:numId w:val="20"/>
        </w:numPr>
        <w:rPr>
          <w:rFonts w:ascii="Arial" w:cs="Arial" w:eastAsia="Arial" w:hAnsi="Arial"/>
          <w:sz w:val="19"/>
          <w:szCs w:val="19"/>
          <w:color w:val="auto"/>
        </w:rPr>
      </w:pPr>
      <w:r>
        <w:rPr>
          <w:rFonts w:ascii="Arial" w:cs="Arial" w:eastAsia="Arial" w:hAnsi="Arial"/>
          <w:sz w:val="16"/>
          <w:szCs w:val="16"/>
          <w:color w:val="auto"/>
        </w:rPr>
        <w:t>the outcome, timing and costs of clinical and nonclinical trials and of seeking regulatory approvals, including the costs of supportive clinical studies such as our planned human abuse liability, or HAL, study and our planned Thorough QT, or TQT, studies;</w:t>
      </w:r>
    </w:p>
    <w:p>
      <w:pPr>
        <w:spacing w:after="0" w:line="55" w:lineRule="exact"/>
        <w:rPr>
          <w:rFonts w:ascii="Arial" w:cs="Arial" w:eastAsia="Arial" w:hAnsi="Arial"/>
          <w:sz w:val="19"/>
          <w:szCs w:val="19"/>
          <w:color w:val="auto"/>
        </w:rPr>
      </w:pPr>
    </w:p>
    <w:p>
      <w:pPr>
        <w:ind w:left="1180" w:right="920" w:hanging="436"/>
        <w:spacing w:after="0" w:line="232" w:lineRule="auto"/>
        <w:tabs>
          <w:tab w:leader="none" w:pos="11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costs associated with the manufacture of necessary quantities of nalbuphine ER or any future product candidate for clinical development in connection with regulatory submissions;</w:t>
      </w:r>
    </w:p>
    <w:p>
      <w:pPr>
        <w:spacing w:after="0" w:line="109" w:lineRule="exact"/>
        <w:rPr>
          <w:rFonts w:ascii="Arial" w:cs="Arial" w:eastAsia="Arial" w:hAnsi="Arial"/>
          <w:sz w:val="22"/>
          <w:szCs w:val="22"/>
          <w:color w:val="auto"/>
        </w:rPr>
      </w:pPr>
    </w:p>
    <w:p>
      <w:pPr>
        <w:jc w:val="both"/>
        <w:ind w:left="1180" w:right="60" w:hanging="436"/>
        <w:spacing w:after="0" w:line="238" w:lineRule="auto"/>
        <w:tabs>
          <w:tab w:leader="none" w:pos="11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costs of commercialization activities for nalbuphine ER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108" w:lineRule="exact"/>
        <w:rPr>
          <w:rFonts w:ascii="Arial" w:cs="Arial" w:eastAsia="Arial" w:hAnsi="Arial"/>
          <w:sz w:val="22"/>
          <w:szCs w:val="22"/>
          <w:color w:val="auto"/>
        </w:rPr>
      </w:pPr>
    </w:p>
    <w:p>
      <w:pPr>
        <w:ind w:left="1180" w:right="200" w:hanging="436"/>
        <w:spacing w:after="0" w:line="297" w:lineRule="auto"/>
        <w:tabs>
          <w:tab w:leader="none" w:pos="1180" w:val="left"/>
        </w:tabs>
        <w:numPr>
          <w:ilvl w:val="0"/>
          <w:numId w:val="20"/>
        </w:numPr>
        <w:rPr>
          <w:rFonts w:ascii="Arial" w:cs="Arial" w:eastAsia="Arial" w:hAnsi="Arial"/>
          <w:sz w:val="19"/>
          <w:szCs w:val="19"/>
          <w:color w:val="auto"/>
        </w:rPr>
      </w:pPr>
      <w:r>
        <w:rPr>
          <w:rFonts w:ascii="Arial" w:cs="Arial" w:eastAsia="Arial" w:hAnsi="Arial"/>
          <w:sz w:val="16"/>
          <w:szCs w:val="16"/>
          <w:color w:val="auto"/>
        </w:rPr>
        <w:t>subject to receipt of marketing approvals, revenue, if any, received from commercial sales of nalbuphine ER for the treatment of pruritus associated with prurigo nodularis or for any other serious neurologically mediated conditions or from any future product candidates;</w:t>
      </w:r>
    </w:p>
    <w:p>
      <w:pPr>
        <w:spacing w:after="0" w:line="55" w:lineRule="exact"/>
        <w:rPr>
          <w:rFonts w:ascii="Arial" w:cs="Arial" w:eastAsia="Arial" w:hAnsi="Arial"/>
          <w:sz w:val="19"/>
          <w:szCs w:val="19"/>
          <w:color w:val="auto"/>
        </w:rPr>
      </w:pPr>
    </w:p>
    <w:p>
      <w:pPr>
        <w:ind w:left="1180" w:right="240" w:hanging="436"/>
        <w:spacing w:after="0" w:line="238" w:lineRule="auto"/>
        <w:tabs>
          <w:tab w:leader="none" w:pos="11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our ability to identify potential collaborators for nalbuphine ER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108" w:lineRule="exact"/>
        <w:rPr>
          <w:rFonts w:ascii="Arial" w:cs="Arial" w:eastAsia="Arial" w:hAnsi="Arial"/>
          <w:sz w:val="22"/>
          <w:szCs w:val="22"/>
          <w:color w:val="auto"/>
        </w:rPr>
      </w:pPr>
    </w:p>
    <w:p>
      <w:pPr>
        <w:ind w:left="1180" w:right="240" w:hanging="436"/>
        <w:spacing w:after="0" w:line="232" w:lineRule="auto"/>
        <w:tabs>
          <w:tab w:leader="none" w:pos="11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109" w:lineRule="exact"/>
        <w:rPr>
          <w:rFonts w:ascii="Arial" w:cs="Arial" w:eastAsia="Arial" w:hAnsi="Arial"/>
          <w:sz w:val="22"/>
          <w:szCs w:val="22"/>
          <w:color w:val="auto"/>
        </w:rPr>
      </w:pPr>
    </w:p>
    <w:p>
      <w:pPr>
        <w:ind w:left="1180" w:right="1060" w:hanging="436"/>
        <w:spacing w:after="0" w:line="232" w:lineRule="auto"/>
        <w:tabs>
          <w:tab w:leader="none" w:pos="11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our headcount growth and associated costs as we expand our research and development activities and establish a commercial infrastructure;</w:t>
      </w:r>
    </w:p>
    <w:p>
      <w:pPr>
        <w:spacing w:after="0" w:line="109" w:lineRule="exact"/>
        <w:rPr>
          <w:rFonts w:ascii="Arial" w:cs="Arial" w:eastAsia="Arial" w:hAnsi="Arial"/>
          <w:sz w:val="22"/>
          <w:szCs w:val="22"/>
          <w:color w:val="auto"/>
        </w:rPr>
      </w:pPr>
    </w:p>
    <w:p>
      <w:pPr>
        <w:ind w:left="1180" w:hanging="436"/>
        <w:spacing w:after="0" w:line="232" w:lineRule="auto"/>
        <w:tabs>
          <w:tab w:leader="none" w:pos="11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86" w:lineRule="exact"/>
        <w:rPr>
          <w:rFonts w:ascii="Arial" w:cs="Arial" w:eastAsia="Arial" w:hAnsi="Arial"/>
          <w:sz w:val="22"/>
          <w:szCs w:val="22"/>
          <w:color w:val="auto"/>
        </w:rPr>
      </w:pPr>
    </w:p>
    <w:p>
      <w:pPr>
        <w:ind w:left="1180" w:hanging="436"/>
        <w:spacing w:after="0"/>
        <w:tabs>
          <w:tab w:leader="none" w:pos="11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effect of competing technologies and market developments;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our ability to establish and maintain healthcare coverage and adequate reimbursement for our products; and</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costs of operating as a public company.</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report of our independent registered public accounting firm included a “going concern” explanatory paragraph.</w:t>
      </w:r>
    </w:p>
    <w:p>
      <w:pPr>
        <w:spacing w:after="0" w:line="117" w:lineRule="exact"/>
        <w:rPr>
          <w:sz w:val="20"/>
          <w:szCs w:val="20"/>
          <w:color w:val="auto"/>
        </w:rPr>
      </w:pPr>
    </w:p>
    <w:p>
      <w:pPr>
        <w:ind w:left="200" w:firstLine="551"/>
        <w:spacing w:after="0" w:line="270" w:lineRule="auto"/>
        <w:rPr>
          <w:sz w:val="20"/>
          <w:szCs w:val="20"/>
          <w:color w:val="auto"/>
        </w:rPr>
      </w:pPr>
      <w:r>
        <w:rPr>
          <w:rFonts w:ascii="Arial" w:cs="Arial" w:eastAsia="Arial" w:hAnsi="Arial"/>
          <w:sz w:val="17"/>
          <w:szCs w:val="17"/>
          <w:color w:val="auto"/>
        </w:rPr>
        <w:t>The report of our independent registered public accounting firm on our consolidated financial statements as of and for the year ended December 31, 2018 that was issued prior to our initial public offering included an explanatory paragraph indicating that there was substantial doubt about our ability to continue as a going concern. Given our planned expenditures, including expenditures in connection with our clinical trials of nalbuphine ER, our independent registered public accounting firm may conclude, in connection with the audit of our financial statements for the year ended December 31, 2019 or any other subsequent period, that there is substantial doubt regarding our ability to continue as a going concern. If we are unable to continue as a going concern, we may have to liquidate our assets, and the values we receive for our assets in liquidation or dissolution could be significantly lower than the values reflected in our financial statements. The inclusion of a going concern explanatory paragraph by our independent registered public accounting firm may materially adversely affect our share price and our ability to raise new capital, enter into critical contractual relations with third parties and otherwise execute our development strategy.</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Raising additional capital may cause dilution to our stockholders, restrict our operations or require us to relinquish rights to our product candidates.</w:t>
      </w:r>
    </w:p>
    <w:p>
      <w:pPr>
        <w:spacing w:after="0" w:line="152" w:lineRule="exact"/>
        <w:rPr>
          <w:sz w:val="20"/>
          <w:szCs w:val="20"/>
          <w:color w:val="auto"/>
        </w:rPr>
      </w:pPr>
    </w:p>
    <w:p>
      <w:pPr>
        <w:ind w:left="200" w:right="20" w:firstLine="551"/>
        <w:spacing w:after="0" w:line="287" w:lineRule="auto"/>
        <w:rPr>
          <w:sz w:val="20"/>
          <w:szCs w:val="20"/>
          <w:color w:val="auto"/>
        </w:rPr>
      </w:pPr>
      <w:r>
        <w:rPr>
          <w:rFonts w:ascii="Arial" w:cs="Arial" w:eastAsia="Arial" w:hAnsi="Arial"/>
          <w:sz w:val="16"/>
          <w:szCs w:val="16"/>
          <w:color w:val="auto"/>
        </w:rPr>
        <w:t>We expect our expenses to increase substantially in connection with our planned operations, particularly as we conduct our ongoing PRISM trial as well as the additional Phase 3 clinical trial we will need to conduct for nalbuphine ER for the treatment of pruritus associated with prurigo nodularis and develop nalbuphine ER for the treatment of other serious neurologically mediated conditions.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 In addition, 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Securing financing could also require a substantial amount of time from our management and may divert a disproportionate amount of their attention away from daily activities, which may adversely affect our management’s ability to oversee the development of nalbuphine ER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Development and Commercialization of Nalbuphine ER and Any Future Product Candidates</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i w:val="1"/>
          <w:iCs w:val="1"/>
          <w:color w:val="auto"/>
        </w:rPr>
        <w:t>We are dependent on the successful development and commercialization of nalbuphine ER, our sole product candidate. If we are unable to complete the clinical development of, obtain marketing approval for or successfully commercialize nalbuphine ER, or if we experience significant delays in doing so, our business would be substantially harmed.</w:t>
      </w:r>
    </w:p>
    <w:p>
      <w:pPr>
        <w:spacing w:after="0" w:line="73" w:lineRule="exact"/>
        <w:rPr>
          <w:sz w:val="20"/>
          <w:szCs w:val="20"/>
          <w:color w:val="auto"/>
        </w:rPr>
      </w:pPr>
    </w:p>
    <w:p>
      <w:pPr>
        <w:ind w:left="200" w:right="20" w:firstLine="551"/>
        <w:spacing w:after="0" w:line="257" w:lineRule="auto"/>
        <w:rPr>
          <w:sz w:val="20"/>
          <w:szCs w:val="20"/>
          <w:color w:val="auto"/>
        </w:rPr>
      </w:pPr>
      <w:r>
        <w:rPr>
          <w:rFonts w:ascii="Arial" w:cs="Arial" w:eastAsia="Arial" w:hAnsi="Arial"/>
          <w:sz w:val="18"/>
          <w:szCs w:val="18"/>
          <w:color w:val="auto"/>
        </w:rPr>
        <w:t>We currently have no products approved for sale and are investing substantially all of our efforts and financial resources to fund the development of nalbuphine ER for multiple serious neurologically mediated conditions. Our prospects are dependent on our ability to develop, obtain marketing approval for and successfully commercialize nalbuphine ER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spacing w:after="0" w:line="188" w:lineRule="exact"/>
        <w:rPr>
          <w:sz w:val="20"/>
          <w:szCs w:val="20"/>
          <w:color w:val="auto"/>
        </w:rPr>
      </w:pPr>
    </w:p>
    <w:p>
      <w:pPr>
        <w:ind w:left="200" w:right="180" w:firstLine="551"/>
        <w:spacing w:after="0" w:line="259" w:lineRule="auto"/>
        <w:rPr>
          <w:sz w:val="20"/>
          <w:szCs w:val="20"/>
          <w:color w:val="auto"/>
        </w:rPr>
      </w:pPr>
      <w:r>
        <w:rPr>
          <w:rFonts w:ascii="Arial" w:cs="Arial" w:eastAsia="Arial" w:hAnsi="Arial"/>
          <w:sz w:val="18"/>
          <w:szCs w:val="18"/>
          <w:color w:val="auto"/>
        </w:rPr>
        <w:t>Our most advanced program for nalbuphine ER is our program to develop nalbuphine ER for the treatment of pruritus associated with prurigo nodularis, as our efforts to develop nalbuphine ER for other serious neurologically mediated conditions are only at an early stage. As a result, if our efforts to develop and commercialize nalbuphine ER for the treatment of pruritus associated with prurigo nodularis are unsuccessful, or we experience significant delays in doing so, our business could also be substantially harmed.</w:t>
      </w:r>
    </w:p>
    <w:p>
      <w:pPr>
        <w:spacing w:after="0" w:line="187" w:lineRule="exact"/>
        <w:rPr>
          <w:sz w:val="20"/>
          <w:szCs w:val="20"/>
          <w:color w:val="auto"/>
        </w:rPr>
      </w:pPr>
    </w:p>
    <w:p>
      <w:pPr>
        <w:ind w:left="200" w:firstLine="551"/>
        <w:spacing w:after="0" w:line="277" w:lineRule="auto"/>
        <w:rPr>
          <w:sz w:val="20"/>
          <w:szCs w:val="20"/>
          <w:color w:val="auto"/>
        </w:rPr>
      </w:pPr>
      <w:r>
        <w:rPr>
          <w:rFonts w:ascii="Arial" w:cs="Arial" w:eastAsia="Arial" w:hAnsi="Arial"/>
          <w:sz w:val="18"/>
          <w:szCs w:val="18"/>
          <w:color w:val="auto"/>
        </w:rPr>
        <w:t>The success of nalbuphine ER for the treatment of pruritus associated with prurigo nodularis, as well as for other serious neurologically mediated conditions, will depend on several factors, including the following:</w:t>
      </w:r>
    </w:p>
    <w:p>
      <w:pPr>
        <w:spacing w:after="0" w:line="53" w:lineRule="exact"/>
        <w:rPr>
          <w:sz w:val="20"/>
          <w:szCs w:val="20"/>
          <w:color w:val="auto"/>
        </w:rPr>
      </w:pPr>
    </w:p>
    <w:p>
      <w:pPr>
        <w:ind w:left="1180" w:hanging="436"/>
        <w:spacing w:after="0"/>
        <w:tabs>
          <w:tab w:leader="none" w:pos="1180" w:val="left"/>
        </w:tabs>
        <w:numPr>
          <w:ilvl w:val="0"/>
          <w:numId w:val="21"/>
        </w:numPr>
        <w:rPr>
          <w:rFonts w:ascii="Arial" w:cs="Arial" w:eastAsia="Arial" w:hAnsi="Arial"/>
          <w:sz w:val="22"/>
          <w:szCs w:val="22"/>
          <w:color w:val="auto"/>
        </w:rPr>
      </w:pPr>
      <w:r>
        <w:rPr>
          <w:rFonts w:ascii="Arial" w:cs="Arial" w:eastAsia="Arial" w:hAnsi="Arial"/>
          <w:sz w:val="18"/>
          <w:szCs w:val="18"/>
          <w:color w:val="auto"/>
        </w:rPr>
        <w:t>successfully recruiting, enrolling and retaining patients in and completing our PRISM trial;</w:t>
      </w:r>
    </w:p>
    <w:p>
      <w:pPr>
        <w:spacing w:after="0" w:line="134" w:lineRule="exact"/>
        <w:rPr>
          <w:rFonts w:ascii="Arial" w:cs="Arial" w:eastAsia="Arial" w:hAnsi="Arial"/>
          <w:sz w:val="22"/>
          <w:szCs w:val="22"/>
          <w:color w:val="auto"/>
        </w:rPr>
      </w:pPr>
    </w:p>
    <w:p>
      <w:pPr>
        <w:ind w:left="1180" w:right="80" w:hanging="436"/>
        <w:spacing w:after="0" w:line="238" w:lineRule="auto"/>
        <w:tabs>
          <w:tab w:leader="none" w:pos="1180" w:val="left"/>
        </w:tabs>
        <w:numPr>
          <w:ilvl w:val="0"/>
          <w:numId w:val="21"/>
        </w:numPr>
        <w:rPr>
          <w:rFonts w:ascii="Arial" w:cs="Arial" w:eastAsia="Arial" w:hAnsi="Arial"/>
          <w:sz w:val="22"/>
          <w:szCs w:val="22"/>
          <w:color w:val="auto"/>
        </w:rPr>
      </w:pPr>
      <w:r>
        <w:rPr>
          <w:rFonts w:ascii="Arial" w:cs="Arial" w:eastAsia="Arial" w:hAnsi="Arial"/>
          <w:sz w:val="18"/>
          <w:szCs w:val="18"/>
          <w:color w:val="auto"/>
        </w:rPr>
        <w:t>initiating and successfully recruiting, enrolling and retaining patients in and completing additional clinical and nonclinical trials, including the additional Phase 3 clinical trial we will need to conduct for nalbuphine ER for the treatment of pruritus associated with prurigo nodularis and other supportive clinical studies such as our planned HAL study and TQT studies;</w:t>
      </w:r>
    </w:p>
    <w:p>
      <w:pPr>
        <w:spacing w:after="0" w:line="108" w:lineRule="exact"/>
        <w:rPr>
          <w:rFonts w:ascii="Arial" w:cs="Arial" w:eastAsia="Arial" w:hAnsi="Arial"/>
          <w:sz w:val="22"/>
          <w:szCs w:val="22"/>
          <w:color w:val="auto"/>
        </w:rPr>
      </w:pPr>
    </w:p>
    <w:p>
      <w:pPr>
        <w:ind w:left="1180" w:right="160" w:hanging="436"/>
        <w:spacing w:after="0" w:line="232" w:lineRule="auto"/>
        <w:tabs>
          <w:tab w:leader="none" w:pos="1180" w:val="left"/>
        </w:tabs>
        <w:numPr>
          <w:ilvl w:val="0"/>
          <w:numId w:val="21"/>
        </w:numPr>
        <w:rPr>
          <w:rFonts w:ascii="Arial" w:cs="Arial" w:eastAsia="Arial" w:hAnsi="Arial"/>
          <w:sz w:val="22"/>
          <w:szCs w:val="22"/>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86" w:lineRule="exact"/>
        <w:rPr>
          <w:rFonts w:ascii="Arial" w:cs="Arial" w:eastAsia="Arial" w:hAnsi="Arial"/>
          <w:sz w:val="22"/>
          <w:szCs w:val="22"/>
          <w:color w:val="auto"/>
        </w:rPr>
      </w:pPr>
    </w:p>
    <w:p>
      <w:pPr>
        <w:ind w:left="1180" w:hanging="436"/>
        <w:spacing w:after="0"/>
        <w:tabs>
          <w:tab w:leader="none" w:pos="1180" w:val="left"/>
        </w:tabs>
        <w:numPr>
          <w:ilvl w:val="0"/>
          <w:numId w:val="21"/>
        </w:numPr>
        <w:rPr>
          <w:rFonts w:ascii="Arial" w:cs="Arial" w:eastAsia="Arial" w:hAnsi="Arial"/>
          <w:sz w:val="22"/>
          <w:szCs w:val="22"/>
          <w:color w:val="auto"/>
        </w:rPr>
      </w:pPr>
      <w:r>
        <w:rPr>
          <w:rFonts w:ascii="Arial" w:cs="Arial" w:eastAsia="Arial" w:hAnsi="Arial"/>
          <w:sz w:val="18"/>
          <w:szCs w:val="18"/>
          <w:color w:val="auto"/>
        </w:rPr>
        <w:t>receiving timely marketing approvals from applicable regulatory authorities;</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establishing and maintaining arrangements with third-party suppliers of drug substance for nalbuphine ER;</w:t>
      </w:r>
    </w:p>
    <w:p>
      <w:pPr>
        <w:spacing w:after="0" w:line="134" w:lineRule="exact"/>
        <w:rPr>
          <w:rFonts w:ascii="Arial" w:cs="Arial" w:eastAsia="Arial" w:hAnsi="Arial"/>
          <w:sz w:val="22"/>
          <w:szCs w:val="22"/>
          <w:color w:val="auto"/>
        </w:rPr>
      </w:pPr>
    </w:p>
    <w:p>
      <w:pPr>
        <w:jc w:val="both"/>
        <w:ind w:left="1180" w:right="640" w:hanging="436"/>
        <w:spacing w:after="0" w:line="297" w:lineRule="auto"/>
        <w:tabs>
          <w:tab w:leader="none" w:pos="1180" w:val="left"/>
        </w:tabs>
        <w:numPr>
          <w:ilvl w:val="0"/>
          <w:numId w:val="22"/>
        </w:numPr>
        <w:rPr>
          <w:rFonts w:ascii="Arial" w:cs="Arial" w:eastAsia="Arial" w:hAnsi="Arial"/>
          <w:sz w:val="19"/>
          <w:szCs w:val="19"/>
          <w:color w:val="auto"/>
        </w:rPr>
      </w:pPr>
      <w:r>
        <w:rPr>
          <w:rFonts w:ascii="Arial" w:cs="Arial" w:eastAsia="Arial" w:hAnsi="Arial"/>
          <w:sz w:val="16"/>
          <w:szCs w:val="16"/>
          <w:color w:val="auto"/>
        </w:rPr>
        <w:t>establishing and maintaining arrangements with third-party manufacturers of nalbuphine ER, including developing, validating and maintaining a commercially viable manufacturing process that is compliant with current good manufacturing practices, or cGMPs;</w:t>
      </w:r>
    </w:p>
    <w:p>
      <w:pPr>
        <w:spacing w:after="0" w:line="44" w:lineRule="exact"/>
        <w:rPr>
          <w:rFonts w:ascii="Arial" w:cs="Arial" w:eastAsia="Arial" w:hAnsi="Arial"/>
          <w:sz w:val="19"/>
          <w:szCs w:val="19"/>
          <w:color w:val="auto"/>
        </w:rPr>
      </w:pPr>
    </w:p>
    <w:p>
      <w:pPr>
        <w:ind w:left="1180" w:hanging="436"/>
        <w:spacing w:after="0"/>
        <w:tabs>
          <w:tab w:leader="none" w:pos="1180" w:val="left"/>
        </w:tabs>
        <w:numPr>
          <w:ilvl w:val="0"/>
          <w:numId w:val="22"/>
        </w:numPr>
        <w:rPr>
          <w:rFonts w:ascii="Arial" w:cs="Arial" w:eastAsia="Arial" w:hAnsi="Arial"/>
          <w:sz w:val="21"/>
          <w:szCs w:val="21"/>
          <w:color w:val="auto"/>
        </w:rPr>
      </w:pPr>
      <w:r>
        <w:rPr>
          <w:rFonts w:ascii="Arial" w:cs="Arial" w:eastAsia="Arial" w:hAnsi="Arial"/>
          <w:sz w:val="17"/>
          <w:szCs w:val="17"/>
          <w:color w:val="auto"/>
        </w:rPr>
        <w:t>obtaining, maintaining and protecting our patents, trade secrets and regulatory exclusivity in the United States and other countries;</w:t>
      </w:r>
    </w:p>
    <w:p>
      <w:pPr>
        <w:spacing w:after="0" w:line="134" w:lineRule="exact"/>
        <w:rPr>
          <w:rFonts w:ascii="Arial" w:cs="Arial" w:eastAsia="Arial" w:hAnsi="Arial"/>
          <w:sz w:val="21"/>
          <w:szCs w:val="21"/>
          <w:color w:val="auto"/>
        </w:rPr>
      </w:pPr>
    </w:p>
    <w:p>
      <w:pPr>
        <w:ind w:left="1180" w:right="600" w:hanging="436"/>
        <w:spacing w:after="0" w:line="232" w:lineRule="auto"/>
        <w:tabs>
          <w:tab w:leader="none" w:pos="11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establishing a focused, specialty sales organization in the United States and successfully launching commercial sales following any marketing approval;</w:t>
      </w:r>
    </w:p>
    <w:p>
      <w:pPr>
        <w:spacing w:after="0" w:line="109" w:lineRule="exact"/>
        <w:rPr>
          <w:rFonts w:ascii="Arial" w:cs="Arial" w:eastAsia="Arial" w:hAnsi="Arial"/>
          <w:sz w:val="22"/>
          <w:szCs w:val="22"/>
          <w:color w:val="auto"/>
        </w:rPr>
      </w:pPr>
    </w:p>
    <w:p>
      <w:pPr>
        <w:ind w:left="1180" w:right="240" w:hanging="436"/>
        <w:spacing w:after="0" w:line="232" w:lineRule="auto"/>
        <w:tabs>
          <w:tab w:leader="none" w:pos="11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obtaining commercial acceptance of our products, if approved, by patients, the medical community and third-party payors and obtaining and maintaining healthcare coverage and adequate reimbursement;</w:t>
      </w:r>
    </w:p>
    <w:p>
      <w:pPr>
        <w:spacing w:after="0" w:line="86" w:lineRule="exact"/>
        <w:rPr>
          <w:rFonts w:ascii="Arial" w:cs="Arial" w:eastAsia="Arial" w:hAnsi="Arial"/>
          <w:sz w:val="22"/>
          <w:szCs w:val="22"/>
          <w:color w:val="auto"/>
        </w:rPr>
      </w:pPr>
    </w:p>
    <w:p>
      <w:pPr>
        <w:ind w:left="1180" w:hanging="436"/>
        <w:spacing w:after="0"/>
        <w:tabs>
          <w:tab w:leader="none" w:pos="11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maintaining an acceptable safety profile following any marketing approval; and</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our ability to compete with other therapies.</w:t>
      </w:r>
    </w:p>
    <w:p>
      <w:pPr>
        <w:spacing w:after="0" w:line="229" w:lineRule="exact"/>
        <w:rPr>
          <w:sz w:val="20"/>
          <w:szCs w:val="20"/>
          <w:color w:val="auto"/>
        </w:rPr>
      </w:pPr>
    </w:p>
    <w:p>
      <w:pPr>
        <w:ind w:left="200" w:right="120" w:firstLine="551"/>
        <w:spacing w:after="0" w:line="259" w:lineRule="auto"/>
        <w:rPr>
          <w:sz w:val="20"/>
          <w:szCs w:val="20"/>
          <w:color w:val="auto"/>
        </w:rPr>
      </w:pPr>
      <w:r>
        <w:rPr>
          <w:rFonts w:ascii="Arial" w:cs="Arial" w:eastAsia="Arial" w:hAnsi="Arial"/>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nalbuphine ER, or if we experience delays as a result of any of these factors or otherwise, our business would be substantially harmed.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approach to the development and commercialization of nalbuphine ER to treat serious neurologically mediated conditions is unproven.</w:t>
      </w:r>
    </w:p>
    <w:p>
      <w:pPr>
        <w:spacing w:after="0" w:line="140" w:lineRule="exact"/>
        <w:rPr>
          <w:sz w:val="20"/>
          <w:szCs w:val="20"/>
          <w:color w:val="auto"/>
        </w:rPr>
      </w:pPr>
    </w:p>
    <w:p>
      <w:pPr>
        <w:ind w:left="200" w:right="20" w:firstLine="551"/>
        <w:spacing w:after="0" w:line="269" w:lineRule="auto"/>
        <w:rPr>
          <w:sz w:val="20"/>
          <w:szCs w:val="20"/>
          <w:color w:val="auto"/>
        </w:rPr>
      </w:pPr>
      <w:r>
        <w:rPr>
          <w:rFonts w:ascii="Arial" w:cs="Arial" w:eastAsia="Arial" w:hAnsi="Arial"/>
          <w:sz w:val="17"/>
          <w:szCs w:val="17"/>
          <w:color w:val="auto"/>
        </w:rPr>
        <w:t>We are currently focused on the development and commercialization of nalbuphine ER to treat serious neurologically mediated conditions. Nalbuphine ER is an oral extended release formulation of nalbuphine, which is a mixed k-opioid receptor agonist and µ-opioid receptor antagonist that has been approved and marketed as an injectable for pain indications for more than 20 years in the United States and Europe. Nalbuphine is currently not commercially available in an oral dosage form, such as nalbuphine ER. While we believe that nalbuphine’s dual mechanism of action, which targets both the central and peripheral nervous systems, makes nalbuphine ER a promising potential therapy for the treatment of chronic pruritus and other serious neurologically mediated conditions, and that nalbuphine ER has the potential to be safe and well-tolerated, nalbuphine has not been approved in any indications other than pain. Additionally, nalbuphine ER has not been approved in any indication, including the treatment of pruritus associated with prurigo nodularis, the lead indication for which we are pursuing clinical development of nalbuphine ER. No therapies have been approved in the United States or Europe for the treatment of moderate to severe pruritus, and we can provide no assurance that either nalbuphine ER or any other future product candidate that we may seek to develop for this indication or for any other serious neurologically mediated condition will be effective or safe, obtain regulatory approval or be commercially successful.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117" w:lineRule="exact"/>
        <w:rPr>
          <w:sz w:val="20"/>
          <w:szCs w:val="20"/>
          <w:color w:val="auto"/>
        </w:rPr>
      </w:pPr>
    </w:p>
    <w:p>
      <w:pPr>
        <w:ind w:left="200" w:right="40" w:firstLine="551"/>
        <w:spacing w:after="0" w:line="259"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Foreign regulatory authorities, such as the EMA, impose similar requirements. We must complete extensive clinical trials to demonstrate the safety and efficacy of nalbuphine ER and any future product candidate in humans and complete required regulatory submissions before we will be able to obtain these approvals. We may never receive such approvals.</w:t>
      </w:r>
    </w:p>
    <w:p>
      <w:pPr>
        <w:spacing w:after="0" w:line="187" w:lineRule="exact"/>
        <w:rPr>
          <w:sz w:val="20"/>
          <w:szCs w:val="20"/>
          <w:color w:val="auto"/>
        </w:rPr>
      </w:pPr>
    </w:p>
    <w:p>
      <w:pPr>
        <w:ind w:left="200" w:firstLine="551"/>
        <w:spacing w:after="0" w:line="259"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inherently uncertain as to outcome. The clinical development of nalbuphine ER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nalbuphine ER or any future product candidate, including:</w:t>
      </w:r>
    </w:p>
    <w:p>
      <w:pPr>
        <w:spacing w:after="0" w:line="70" w:lineRule="exact"/>
        <w:rPr>
          <w:sz w:val="20"/>
          <w:szCs w:val="20"/>
          <w:color w:val="auto"/>
        </w:rPr>
      </w:pPr>
    </w:p>
    <w:p>
      <w:pPr>
        <w:ind w:left="1180" w:hanging="436"/>
        <w:spacing w:after="0"/>
        <w:tabs>
          <w:tab w:leader="none" w:pos="11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clinical trials may produce unfavorable or inconclusive results;</w:t>
      </w:r>
    </w:p>
    <w:p>
      <w:pPr>
        <w:spacing w:after="0" w:line="134" w:lineRule="exact"/>
        <w:rPr>
          <w:rFonts w:ascii="Arial" w:cs="Arial" w:eastAsia="Arial" w:hAnsi="Arial"/>
          <w:sz w:val="22"/>
          <w:szCs w:val="22"/>
          <w:color w:val="auto"/>
        </w:rPr>
      </w:pPr>
    </w:p>
    <w:p>
      <w:pPr>
        <w:ind w:left="1180" w:right="420" w:hanging="436"/>
        <w:spacing w:after="0" w:line="232" w:lineRule="auto"/>
        <w:tabs>
          <w:tab w:leader="none" w:pos="11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we may decide, or regulators may require us, to restructure clinical trials, conduct additional clinical and nonclinical trials or abandon product development programs;</w:t>
      </w:r>
    </w:p>
    <w:p>
      <w:pPr>
        <w:spacing w:after="0" w:line="109" w:lineRule="exact"/>
        <w:rPr>
          <w:rFonts w:ascii="Arial" w:cs="Arial" w:eastAsia="Arial" w:hAnsi="Arial"/>
          <w:sz w:val="22"/>
          <w:szCs w:val="22"/>
          <w:color w:val="auto"/>
        </w:rPr>
      </w:pPr>
    </w:p>
    <w:p>
      <w:pPr>
        <w:ind w:left="1180" w:right="80" w:hanging="436"/>
        <w:spacing w:after="0" w:line="256" w:lineRule="auto"/>
        <w:tabs>
          <w:tab w:leader="none" w:pos="1180" w:val="left"/>
        </w:tabs>
        <w:numPr>
          <w:ilvl w:val="0"/>
          <w:numId w:val="23"/>
        </w:numPr>
        <w:rPr>
          <w:rFonts w:ascii="Arial" w:cs="Arial" w:eastAsia="Arial" w:hAnsi="Arial"/>
          <w:sz w:val="21"/>
          <w:szCs w:val="21"/>
          <w:color w:val="auto"/>
        </w:rPr>
      </w:pPr>
      <w:r>
        <w:rPr>
          <w:rFonts w:ascii="Arial" w:cs="Arial" w:eastAsia="Arial" w:hAnsi="Arial"/>
          <w:sz w:val="17"/>
          <w:szCs w:val="17"/>
          <w:color w:val="auto"/>
        </w:rPr>
        <w:t>the number of patients required for clinical trials may be larger than we anticipate, patient enrollment in these clinical trials may be slower than we anticipate or participants may discontinue their participation in these clinical trials at a higher rate than we anticipate, as we experienced in our Phase 2 clinical trial of nalbuphine ER for the treatment of pruritus associated with prurigo nodularis;</w:t>
      </w:r>
    </w:p>
    <w:p>
      <w:pPr>
        <w:spacing w:after="0" w:line="72" w:lineRule="exact"/>
        <w:rPr>
          <w:rFonts w:ascii="Arial" w:cs="Arial" w:eastAsia="Arial" w:hAnsi="Arial"/>
          <w:sz w:val="21"/>
          <w:szCs w:val="21"/>
          <w:color w:val="auto"/>
        </w:rPr>
      </w:pPr>
    </w:p>
    <w:p>
      <w:pPr>
        <w:ind w:left="1180" w:hanging="436"/>
        <w:spacing w:after="0"/>
        <w:tabs>
          <w:tab w:leader="none" w:pos="11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cost of planned clinical trials may be greater than we anticipate;</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0" w:hanging="436"/>
        <w:spacing w:after="0" w:line="238" w:lineRule="auto"/>
        <w:tabs>
          <w:tab w:leader="none" w:pos="11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108" w:lineRule="exact"/>
        <w:rPr>
          <w:rFonts w:ascii="Arial" w:cs="Arial" w:eastAsia="Arial" w:hAnsi="Arial"/>
          <w:sz w:val="22"/>
          <w:szCs w:val="22"/>
          <w:color w:val="auto"/>
        </w:rPr>
      </w:pPr>
    </w:p>
    <w:p>
      <w:pPr>
        <w:ind w:left="1180" w:right="80" w:hanging="436"/>
        <w:spacing w:after="0" w:line="232" w:lineRule="auto"/>
        <w:tabs>
          <w:tab w:leader="none" w:pos="11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109" w:lineRule="exact"/>
        <w:rPr>
          <w:rFonts w:ascii="Arial" w:cs="Arial" w:eastAsia="Arial" w:hAnsi="Arial"/>
          <w:sz w:val="22"/>
          <w:szCs w:val="22"/>
          <w:color w:val="auto"/>
        </w:rPr>
      </w:pPr>
    </w:p>
    <w:p>
      <w:pPr>
        <w:ind w:left="1180" w:right="560" w:hanging="436"/>
        <w:spacing w:after="0" w:line="232" w:lineRule="auto"/>
        <w:tabs>
          <w:tab w:leader="none" w:pos="11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109" w:lineRule="exact"/>
        <w:rPr>
          <w:rFonts w:ascii="Arial" w:cs="Arial" w:eastAsia="Arial" w:hAnsi="Arial"/>
          <w:sz w:val="22"/>
          <w:szCs w:val="22"/>
          <w:color w:val="auto"/>
        </w:rPr>
      </w:pPr>
    </w:p>
    <w:p>
      <w:pPr>
        <w:ind w:left="1180" w:hanging="436"/>
        <w:spacing w:after="0" w:line="238" w:lineRule="auto"/>
        <w:tabs>
          <w:tab w:leader="none" w:pos="11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spacing w:after="0" w:line="108" w:lineRule="exact"/>
        <w:rPr>
          <w:rFonts w:ascii="Arial" w:cs="Arial" w:eastAsia="Arial" w:hAnsi="Arial"/>
          <w:sz w:val="22"/>
          <w:szCs w:val="22"/>
          <w:color w:val="auto"/>
        </w:rPr>
      </w:pPr>
    </w:p>
    <w:p>
      <w:pPr>
        <w:ind w:left="1180" w:right="20" w:hanging="436"/>
        <w:spacing w:after="0" w:line="251" w:lineRule="auto"/>
        <w:tabs>
          <w:tab w:leader="none" w:pos="1180" w:val="left"/>
        </w:tabs>
        <w:numPr>
          <w:ilvl w:val="0"/>
          <w:numId w:val="24"/>
        </w:numPr>
        <w:rPr>
          <w:rFonts w:ascii="Arial" w:cs="Arial" w:eastAsia="Arial" w:hAnsi="Arial"/>
          <w:sz w:val="21"/>
          <w:szCs w:val="21"/>
          <w:color w:val="auto"/>
        </w:rPr>
      </w:pPr>
      <w:r>
        <w:rPr>
          <w:rFonts w:ascii="Arial" w:cs="Arial" w:eastAsia="Arial" w:hAnsi="Arial"/>
          <w:sz w:val="17"/>
          <w:szCs w:val="17"/>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96" w:lineRule="exact"/>
        <w:rPr>
          <w:rFonts w:ascii="Arial" w:cs="Arial" w:eastAsia="Arial" w:hAnsi="Arial"/>
          <w:sz w:val="21"/>
          <w:szCs w:val="21"/>
          <w:color w:val="auto"/>
        </w:rPr>
      </w:pPr>
    </w:p>
    <w:p>
      <w:pPr>
        <w:ind w:left="1180" w:hanging="436"/>
        <w:spacing w:after="0" w:line="259" w:lineRule="auto"/>
        <w:tabs>
          <w:tab w:leader="none" w:pos="1180" w:val="left"/>
        </w:tabs>
        <w:numPr>
          <w:ilvl w:val="0"/>
          <w:numId w:val="24"/>
        </w:numPr>
        <w:rPr>
          <w:rFonts w:ascii="Arial" w:cs="Arial" w:eastAsia="Arial" w:hAnsi="Arial"/>
          <w:sz w:val="21"/>
          <w:szCs w:val="21"/>
          <w:color w:val="auto"/>
        </w:rPr>
      </w:pPr>
      <w:r>
        <w:rPr>
          <w:rFonts w:ascii="Arial" w:cs="Arial" w:eastAsia="Arial" w:hAnsi="Arial"/>
          <w:sz w:val="17"/>
          <w:szCs w:val="17"/>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92" w:lineRule="exact"/>
        <w:rPr>
          <w:rFonts w:ascii="Arial" w:cs="Arial" w:eastAsia="Arial" w:hAnsi="Arial"/>
          <w:sz w:val="21"/>
          <w:szCs w:val="21"/>
          <w:color w:val="auto"/>
        </w:rPr>
      </w:pPr>
    </w:p>
    <w:p>
      <w:pPr>
        <w:ind w:left="1180" w:right="600" w:hanging="436"/>
        <w:spacing w:after="0" w:line="232" w:lineRule="auto"/>
        <w:tabs>
          <w:tab w:leader="none" w:pos="11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FDA or comparable foreign regulatory authorities may disagree with our clinical trial designs or our interpretation of data from preclinical studies and clinical trials;</w:t>
      </w:r>
    </w:p>
    <w:p>
      <w:pPr>
        <w:spacing w:after="0" w:line="109" w:lineRule="exact"/>
        <w:rPr>
          <w:rFonts w:ascii="Arial" w:cs="Arial" w:eastAsia="Arial" w:hAnsi="Arial"/>
          <w:sz w:val="22"/>
          <w:szCs w:val="22"/>
          <w:color w:val="auto"/>
        </w:rPr>
      </w:pPr>
    </w:p>
    <w:p>
      <w:pPr>
        <w:ind w:left="1180" w:right="180" w:hanging="436"/>
        <w:spacing w:after="0" w:line="251" w:lineRule="auto"/>
        <w:tabs>
          <w:tab w:leader="none" w:pos="118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96" w:lineRule="exact"/>
        <w:rPr>
          <w:rFonts w:ascii="Arial" w:cs="Arial" w:eastAsia="Arial" w:hAnsi="Arial"/>
          <w:sz w:val="21"/>
          <w:szCs w:val="21"/>
          <w:color w:val="auto"/>
        </w:rPr>
      </w:pPr>
    </w:p>
    <w:p>
      <w:pPr>
        <w:ind w:left="1180" w:right="20" w:hanging="436"/>
        <w:spacing w:after="0" w:line="238" w:lineRule="auto"/>
        <w:tabs>
          <w:tab w:leader="none" w:pos="11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w:t>
      </w:r>
    </w:p>
    <w:p>
      <w:pPr>
        <w:spacing w:after="0" w:line="108" w:lineRule="exact"/>
        <w:rPr>
          <w:rFonts w:ascii="Arial" w:cs="Arial" w:eastAsia="Arial" w:hAnsi="Arial"/>
          <w:sz w:val="22"/>
          <w:szCs w:val="22"/>
          <w:color w:val="auto"/>
        </w:rPr>
      </w:pPr>
    </w:p>
    <w:p>
      <w:pPr>
        <w:ind w:left="1180" w:right="640" w:hanging="436"/>
        <w:spacing w:after="0" w:line="232" w:lineRule="auto"/>
        <w:tabs>
          <w:tab w:leader="none" w:pos="11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to obtain marketing approvals; and</w:t>
      </w:r>
    </w:p>
    <w:p>
      <w:pPr>
        <w:spacing w:after="0" w:line="109" w:lineRule="exact"/>
        <w:rPr>
          <w:rFonts w:ascii="Arial" w:cs="Arial" w:eastAsia="Arial" w:hAnsi="Arial"/>
          <w:sz w:val="22"/>
          <w:szCs w:val="22"/>
          <w:color w:val="auto"/>
        </w:rPr>
      </w:pPr>
    </w:p>
    <w:p>
      <w:pPr>
        <w:ind w:left="1180" w:right="240" w:hanging="436"/>
        <w:spacing w:after="0" w:line="238" w:lineRule="auto"/>
        <w:tabs>
          <w:tab w:leader="none" w:pos="11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spacing w:after="0" w:line="203" w:lineRule="exact"/>
        <w:rPr>
          <w:sz w:val="20"/>
          <w:szCs w:val="20"/>
          <w:color w:val="auto"/>
        </w:rPr>
      </w:pPr>
    </w:p>
    <w:p>
      <w:pPr>
        <w:ind w:left="200" w:right="300" w:firstLine="551"/>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nalbuphine ER or any future product candidate beyond the trials and testing that we contemplate, we are unable to successfully and timely complete clinical trials or other testing of nalbuphine ER or any future product candidate, the results of these trials or tests are unfavorable, uncertain or are only modestly favorable or there are unacceptable safety concerns associated with the product candidate, we may:</w:t>
      </w:r>
    </w:p>
    <w:p>
      <w:pPr>
        <w:spacing w:after="0" w:line="81"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21"/>
          <w:szCs w:val="21"/>
          <w:color w:val="auto"/>
        </w:rPr>
      </w:pPr>
      <w:r>
        <w:rPr>
          <w:rFonts w:ascii="Arial" w:cs="Arial" w:eastAsia="Arial" w:hAnsi="Arial"/>
          <w:sz w:val="17"/>
          <w:szCs w:val="17"/>
          <w:color w:val="auto"/>
        </w:rPr>
        <w:t>incur additional unplanned costs, which may exceed the resources that we have available or are able to obtain on reasonable terms;</w:t>
      </w:r>
    </w:p>
    <w:p>
      <w:pPr>
        <w:spacing w:after="0" w:line="134" w:lineRule="exact"/>
        <w:rPr>
          <w:rFonts w:ascii="Arial" w:cs="Arial" w:eastAsia="Arial" w:hAnsi="Arial"/>
          <w:sz w:val="21"/>
          <w:szCs w:val="21"/>
          <w:color w:val="auto"/>
        </w:rPr>
      </w:pPr>
    </w:p>
    <w:p>
      <w:pPr>
        <w:ind w:left="1180" w:right="80" w:hanging="436"/>
        <w:spacing w:after="0" w:line="238" w:lineRule="auto"/>
        <w:tabs>
          <w:tab w:leader="none" w:pos="1180" w:val="left"/>
        </w:tabs>
        <w:numPr>
          <w:ilvl w:val="0"/>
          <w:numId w:val="25"/>
        </w:numPr>
        <w:rPr>
          <w:rFonts w:ascii="Arial" w:cs="Arial" w:eastAsia="Arial" w:hAnsi="Arial"/>
          <w:sz w:val="22"/>
          <w:szCs w:val="22"/>
          <w:color w:val="auto"/>
        </w:rPr>
      </w:pPr>
      <w:r>
        <w:rPr>
          <w:rFonts w:ascii="Arial" w:cs="Arial" w:eastAsia="Arial" w:hAnsi="Arial"/>
          <w:sz w:val="18"/>
          <w:szCs w:val="18"/>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85" w:lineRule="exact"/>
        <w:rPr>
          <w:rFonts w:ascii="Arial" w:cs="Arial" w:eastAsia="Arial" w:hAnsi="Arial"/>
          <w:sz w:val="22"/>
          <w:szCs w:val="22"/>
          <w:color w:val="auto"/>
        </w:rPr>
      </w:pPr>
    </w:p>
    <w:p>
      <w:pPr>
        <w:ind w:left="1180" w:hanging="436"/>
        <w:spacing w:after="0"/>
        <w:tabs>
          <w:tab w:leader="none" w:pos="1180" w:val="left"/>
        </w:tabs>
        <w:numPr>
          <w:ilvl w:val="0"/>
          <w:numId w:val="25"/>
        </w:numPr>
        <w:rPr>
          <w:rFonts w:ascii="Arial" w:cs="Arial" w:eastAsia="Arial" w:hAnsi="Arial"/>
          <w:sz w:val="22"/>
          <w:szCs w:val="22"/>
          <w:color w:val="auto"/>
        </w:rPr>
      </w:pPr>
      <w:r>
        <w:rPr>
          <w:rFonts w:ascii="Arial" w:cs="Arial" w:eastAsia="Arial" w:hAnsi="Arial"/>
          <w:sz w:val="18"/>
          <w:szCs w:val="18"/>
          <w:color w:val="auto"/>
        </w:rPr>
        <w:t>fail to obtain marketing approval at all;</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5"/>
        </w:numPr>
        <w:rPr>
          <w:rFonts w:ascii="Arial" w:cs="Arial" w:eastAsia="Arial" w:hAnsi="Arial"/>
          <w:sz w:val="22"/>
          <w:szCs w:val="22"/>
          <w:color w:val="auto"/>
        </w:rPr>
      </w:pPr>
      <w:r>
        <w:rPr>
          <w:rFonts w:ascii="Arial" w:cs="Arial" w:eastAsia="Arial" w:hAnsi="Arial"/>
          <w:sz w:val="18"/>
          <w:szCs w:val="18"/>
          <w:color w:val="auto"/>
        </w:rPr>
        <w:t>obtain marketing approval for indications or patient populations that are not as broad as we originally intended or desired;</w:t>
      </w:r>
    </w:p>
    <w:p>
      <w:pPr>
        <w:spacing w:after="0" w:line="134" w:lineRule="exact"/>
        <w:rPr>
          <w:rFonts w:ascii="Arial" w:cs="Arial" w:eastAsia="Arial" w:hAnsi="Arial"/>
          <w:sz w:val="22"/>
          <w:szCs w:val="22"/>
          <w:color w:val="auto"/>
        </w:rPr>
      </w:pPr>
    </w:p>
    <w:p>
      <w:pPr>
        <w:ind w:left="1180" w:right="220" w:hanging="436"/>
        <w:spacing w:after="0" w:line="232" w:lineRule="auto"/>
        <w:tabs>
          <w:tab w:leader="none" w:pos="1180" w:val="left"/>
        </w:tabs>
        <w:numPr>
          <w:ilvl w:val="0"/>
          <w:numId w:val="25"/>
        </w:numPr>
        <w:rPr>
          <w:rFonts w:ascii="Arial" w:cs="Arial" w:eastAsia="Arial" w:hAnsi="Arial"/>
          <w:sz w:val="22"/>
          <w:szCs w:val="22"/>
          <w:color w:val="auto"/>
        </w:rPr>
      </w:pPr>
      <w:r>
        <w:rPr>
          <w:rFonts w:ascii="Arial" w:cs="Arial" w:eastAsia="Arial" w:hAnsi="Arial"/>
          <w:sz w:val="18"/>
          <w:szCs w:val="18"/>
          <w:color w:val="auto"/>
        </w:rPr>
        <w:t>obtain marketing approval with labeling that includes significant use or distribution restrictions or significant safety warnings, including boxed warnings;</w:t>
      </w:r>
    </w:p>
    <w:p>
      <w:pPr>
        <w:spacing w:after="0" w:line="86" w:lineRule="exact"/>
        <w:rPr>
          <w:rFonts w:ascii="Arial" w:cs="Arial" w:eastAsia="Arial" w:hAnsi="Arial"/>
          <w:sz w:val="22"/>
          <w:szCs w:val="22"/>
          <w:color w:val="auto"/>
        </w:rPr>
      </w:pPr>
    </w:p>
    <w:p>
      <w:pPr>
        <w:ind w:left="1180" w:hanging="436"/>
        <w:spacing w:after="0"/>
        <w:tabs>
          <w:tab w:leader="none" w:pos="1180" w:val="left"/>
        </w:tabs>
        <w:numPr>
          <w:ilvl w:val="0"/>
          <w:numId w:val="25"/>
        </w:numPr>
        <w:rPr>
          <w:rFonts w:ascii="Arial" w:cs="Arial" w:eastAsia="Arial" w:hAnsi="Arial"/>
          <w:sz w:val="22"/>
          <w:szCs w:val="22"/>
          <w:color w:val="auto"/>
        </w:rPr>
      </w:pPr>
      <w:r>
        <w:rPr>
          <w:rFonts w:ascii="Arial" w:cs="Arial" w:eastAsia="Arial" w:hAnsi="Arial"/>
          <w:sz w:val="18"/>
          <w:szCs w:val="18"/>
          <w:color w:val="auto"/>
        </w:rPr>
        <w:t>be subject to additional post-marketing testing or other requirements; or</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5"/>
        </w:numPr>
        <w:rPr>
          <w:rFonts w:ascii="Arial" w:cs="Arial" w:eastAsia="Arial" w:hAnsi="Arial"/>
          <w:sz w:val="22"/>
          <w:szCs w:val="22"/>
          <w:color w:val="auto"/>
        </w:rPr>
      </w:pPr>
      <w:r>
        <w:rPr>
          <w:rFonts w:ascii="Arial" w:cs="Arial" w:eastAsia="Arial" w:hAnsi="Arial"/>
          <w:sz w:val="18"/>
          <w:szCs w:val="18"/>
          <w:color w:val="auto"/>
        </w:rPr>
        <w:t>be required to remove the product from the market after obtaining marketing approval.</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551"/>
        <w:spacing w:after="0" w:line="259" w:lineRule="auto"/>
        <w:rPr>
          <w:sz w:val="20"/>
          <w:szCs w:val="20"/>
          <w:color w:val="auto"/>
        </w:rPr>
      </w:pPr>
      <w:r>
        <w:rPr>
          <w:rFonts w:ascii="Arial" w:cs="Arial" w:eastAsia="Arial" w:hAnsi="Arial"/>
          <w:sz w:val="18"/>
          <w:szCs w:val="18"/>
          <w:color w:val="auto"/>
        </w:rPr>
        <w:t>Our failure to successfully and timely complete clinical trials of nalbuphine ER for the treatment of pruritus associated with prurigo nodularis or for any other serious neurologically mediated condition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29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nalbuphine ER or any future product candidates, which would likely prevent or delay regulatory approval and commercialization.</w:t>
      </w:r>
    </w:p>
    <w:p>
      <w:pPr>
        <w:spacing w:after="0" w:line="62" w:lineRule="exact"/>
        <w:rPr>
          <w:sz w:val="20"/>
          <w:szCs w:val="20"/>
          <w:color w:val="auto"/>
        </w:rPr>
      </w:pPr>
    </w:p>
    <w:p>
      <w:pPr>
        <w:ind w:left="200" w:right="40" w:firstLine="551"/>
        <w:spacing w:after="0" w:line="268" w:lineRule="auto"/>
        <w:rPr>
          <w:sz w:val="20"/>
          <w:szCs w:val="20"/>
          <w:color w:val="auto"/>
        </w:rPr>
      </w:pPr>
      <w:r>
        <w:rPr>
          <w:rFonts w:ascii="Arial" w:cs="Arial" w:eastAsia="Arial" w:hAnsi="Arial"/>
          <w:sz w:val="17"/>
          <w:szCs w:val="17"/>
          <w:color w:val="auto"/>
        </w:rPr>
        <w:t>Before obtaining regulatory approvals for the commercial sale of nalbuphine ER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nalbuphine ER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nalbuphine ER for the treatment of pruritus associated with prurigo nodularis failed to meet its primary endpoint, and the number of patients who discontinued treatment prior to the end of the trial had a substantial impact on the results. Conversely, as a result of the same factors, our clinical trials may indicate an apparent positive effect of nalbuphine ER or any future product candidate that is greater than the actual positive effect, if any. Similarly, in our clinical trials we may fail to detect toxicity of, or intolerability caused by, nalbuphine ER or any future product candidate, or mistakenly believe that nalbuphine ER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nalbuphine ER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185" w:lineRule="exact"/>
        <w:rPr>
          <w:sz w:val="20"/>
          <w:szCs w:val="20"/>
          <w:color w:val="auto"/>
        </w:rPr>
      </w:pPr>
    </w:p>
    <w:p>
      <w:pPr>
        <w:ind w:left="200" w:right="80" w:firstLine="551"/>
        <w:spacing w:after="0" w:line="286" w:lineRule="auto"/>
        <w:rPr>
          <w:sz w:val="20"/>
          <w:szCs w:val="20"/>
          <w:color w:val="auto"/>
        </w:rPr>
      </w:pPr>
      <w:r>
        <w:rPr>
          <w:rFonts w:ascii="Arial" w:cs="Arial" w:eastAsia="Arial" w:hAnsi="Arial"/>
          <w:sz w:val="16"/>
          <w:szCs w:val="16"/>
          <w:color w:val="auto"/>
        </w:rPr>
        <w:t>In addition, even if the clinical trials we plan are successfully completed and nalbuphine ER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nalbuphine ER for the treatment of pruritus associated with prurigo nodularis, the FDA raised the need to adequately isolate a patient population with pruritus associated with prurigo nodularis for our planned Phase 3 clinical trials. While the inclusion criteria in our PRISM trial require that enrolled patients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nalbuphine ER does not achieve the primary endpoint in our PRISM trial, or the FDA does not otherwise believe that the results of the trial are sufficiently supportive of an application for marketing approval, the FDA may require us to conduct another Phase 3 clinical trial in addition to the PRISM trial and the additional Phase 3 clinical trial we plan to conduct, which would cause us to incur substantial additional costs and significantly delay our development of nalbuphine ER for the treatment of pruritus associated with prurigo nodularis.</w:t>
      </w:r>
    </w:p>
    <w:p>
      <w:pPr>
        <w:spacing w:after="0" w:line="27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Use of patient-reported outcome assessments, or PROs, in our clinical trials and high placebo response rates may delay or impair the development of nalbuphine ER or adversely impact our clinical trials.</w:t>
      </w:r>
    </w:p>
    <w:p>
      <w:pPr>
        <w:spacing w:after="0" w:line="62" w:lineRule="exact"/>
        <w:rPr>
          <w:sz w:val="20"/>
          <w:szCs w:val="20"/>
          <w:color w:val="auto"/>
        </w:rPr>
      </w:pPr>
    </w:p>
    <w:p>
      <w:pPr>
        <w:ind w:left="200" w:right="40" w:firstLine="551"/>
        <w:spacing w:after="0" w:line="270" w:lineRule="auto"/>
        <w:rPr>
          <w:sz w:val="20"/>
          <w:szCs w:val="20"/>
          <w:color w:val="auto"/>
        </w:rPr>
      </w:pPr>
      <w:r>
        <w:rPr>
          <w:rFonts w:ascii="Arial" w:cs="Arial" w:eastAsia="Arial" w:hAnsi="Arial"/>
          <w:sz w:val="17"/>
          <w:szCs w:val="17"/>
          <w:color w:val="auto"/>
        </w:rPr>
        <w:t>Due to the difficulty of objectively measuring pruritus, the assessment of pruritus in clinical trials typically involves the use of PROs. Our clinical trials evaluating the efficacy of nalbuphine ER in pruritus indications have used PROs as primary endpoints. For example, the primary endpoint of our Phase 2 clinical trial of nalbuphine ER for the treatment of pruritus associated with prurigo nodularis was the proportion of patients reporting at least a 30% reduction from baseline to week 10 in seven-day mean Worst Itching Numerical Rating Scale, or WI-NRS, scores, which is a patient-reported assessment on an 11-point scale from 0 to 10 of the severity of the worst itch experienced in the last 24 hours. The primary endpoint of our PRISM trial is the proportion of patients achieving at least a 4-point improvement from baseline with respect to their worst itch at week 14 as measured by WI-NRS, which is also a PRO.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551"/>
        <w:spacing w:after="0" w:line="271" w:lineRule="auto"/>
        <w:rPr>
          <w:sz w:val="20"/>
          <w:szCs w:val="20"/>
          <w:color w:val="auto"/>
        </w:rPr>
      </w:pPr>
      <w:r>
        <w:rPr>
          <w:rFonts w:ascii="Arial" w:cs="Arial" w:eastAsia="Arial" w:hAnsi="Arial"/>
          <w:sz w:val="17"/>
          <w:szCs w:val="17"/>
          <w:color w:val="auto"/>
        </w:rPr>
        <w:t>In addition, PROs for the assessment of pruritus have historically been observed to have high placebo group response rates. We observed this in some of our clinical trials of nalbuphine ER. For example, in our Phase 2 clinical trial of nalbuphine ER for the treatment of pruritus associated with prurigo nodularis, we observed a mean reduction from baseline in WI-NRS score for the trial’s modified intention-to-treat population of 1.75 points for placebo as compared to 2.14 points for nalbuphine ER dosed twice-daily at 81 mg and 2.51 points for nalbuphine ER dosed twice-daily at 162 mg. In discussions, the FDA has also indicated to us that changes in WI-NRS alone may not translate to clinically meaningfully differences and therefore may not be acceptable for labeling purposes.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179" w:lineRule="exact"/>
        <w:rPr>
          <w:sz w:val="20"/>
          <w:szCs w:val="20"/>
          <w:color w:val="auto"/>
        </w:rPr>
      </w:pPr>
    </w:p>
    <w:p>
      <w:pPr>
        <w:ind w:left="200" w:right="80" w:firstLine="551"/>
        <w:spacing w:after="0" w:line="259" w:lineRule="auto"/>
        <w:rPr>
          <w:sz w:val="20"/>
          <w:szCs w:val="20"/>
          <w:color w:val="auto"/>
        </w:rPr>
      </w:pPr>
      <w:r>
        <w:rPr>
          <w:rFonts w:ascii="Arial" w:cs="Arial" w:eastAsia="Arial" w:hAnsi="Arial"/>
          <w:sz w:val="18"/>
          <w:szCs w:val="18"/>
          <w:color w:val="auto"/>
        </w:rPr>
        <w:t>The variability of PRO measures and related high placebo response rates have adversely impacted clinical results of other therapies being tested for pruritus and could adversely impact our clinical development of nalbuphine ER. The FDA could also require changes in the PROs we are currently using or indicate that the PROs we are using are insufficient for demonstrating efficacy in pruritus, potentially delaying clinical development of nalbuphine ER, increasing our costs and making additional clinical trials necessary.</w:t>
      </w:r>
    </w:p>
    <w:p>
      <w:pPr>
        <w:spacing w:after="0" w:line="295" w:lineRule="exact"/>
        <w:rPr>
          <w:sz w:val="20"/>
          <w:szCs w:val="20"/>
          <w:color w:val="auto"/>
        </w:rPr>
      </w:pPr>
    </w:p>
    <w:p>
      <w:pPr>
        <w:ind w:left="200"/>
        <w:spacing w:after="0" w:line="375" w:lineRule="auto"/>
        <w:rPr>
          <w:sz w:val="20"/>
          <w:szCs w:val="20"/>
          <w:color w:val="auto"/>
        </w:rPr>
      </w:pPr>
      <w:r>
        <w:rPr>
          <w:rFonts w:ascii="Arial" w:cs="Arial" w:eastAsia="Arial" w:hAnsi="Arial"/>
          <w:sz w:val="15"/>
          <w:szCs w:val="15"/>
          <w:b w:val="1"/>
          <w:bCs w:val="1"/>
          <w:i w:val="1"/>
          <w:iCs w:val="1"/>
          <w:color w:val="auto"/>
        </w:rPr>
        <w:t>Adverse events or undesirable side effects caused by, or other unexpected properties of, nalbuphine ER or any future product candidate may be identified during development and could delay or prevent the marketing approval or limit the use of nalbuphine ER or any future product candidate.</w:t>
      </w:r>
    </w:p>
    <w:p>
      <w:pPr>
        <w:spacing w:after="0" w:line="1" w:lineRule="exact"/>
        <w:rPr>
          <w:sz w:val="20"/>
          <w:szCs w:val="20"/>
          <w:color w:val="auto"/>
        </w:rPr>
      </w:pPr>
    </w:p>
    <w:p>
      <w:pPr>
        <w:ind w:left="200" w:right="160" w:firstLine="551"/>
        <w:spacing w:after="0" w:line="297" w:lineRule="auto"/>
        <w:rPr>
          <w:sz w:val="20"/>
          <w:szCs w:val="20"/>
          <w:color w:val="auto"/>
        </w:rPr>
      </w:pPr>
      <w:r>
        <w:rPr>
          <w:rFonts w:ascii="Arial" w:cs="Arial" w:eastAsia="Arial" w:hAnsi="Arial"/>
          <w:sz w:val="16"/>
          <w:szCs w:val="16"/>
          <w:color w:val="auto"/>
        </w:rPr>
        <w:t>Adverse events or undesirable side effects caused by, or other unexpected properties of, nalbuphine ER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158" w:lineRule="exact"/>
        <w:rPr>
          <w:sz w:val="20"/>
          <w:szCs w:val="20"/>
          <w:color w:val="auto"/>
        </w:rPr>
      </w:pPr>
    </w:p>
    <w:p>
      <w:pPr>
        <w:ind w:left="200" w:right="60" w:firstLine="551"/>
        <w:spacing w:after="0" w:line="268" w:lineRule="auto"/>
        <w:rPr>
          <w:sz w:val="20"/>
          <w:szCs w:val="20"/>
          <w:color w:val="auto"/>
        </w:rPr>
      </w:pPr>
      <w:r>
        <w:rPr>
          <w:rFonts w:ascii="Arial" w:cs="Arial" w:eastAsia="Arial" w:hAnsi="Arial"/>
          <w:sz w:val="17"/>
          <w:szCs w:val="17"/>
          <w:color w:val="auto"/>
        </w:rPr>
        <w:t>In addition, nalbuphine ER, as a mixed k-opioid receptor agonist and µ-opioid receptor antagonist, may be susceptible to side effects associated with drugs having either of those mechanisms of action. k-opioid receptor agonists have been associated with poorly tolerated psychiatric side effects, such as feelings of emotional and mental discomfort, or dysphoria, and hallucinations, at high doses. While we believe that the dual k-opioid receptor agonist and µ-opioid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nalbuphine ER to date. µ-opioid receptor antagonists have the potential to precipitate withdrawal effects in patients, including drug addicts, and are associated with respiratory depression and potential cardiac risk. The drug label for nalbuphine, the active ingredient in nalbuphine ER, carries a warning for serious, life-threatening or fatal respiratory depression, and nalbuphine ER, if approved for marketing in any indication, will likely carry a similar label. To support our planned submission of an NDA to the FDA for nalbuphine ER, we will be required to conduct a clinical trial of nalbuphine ER to assess cardiac risk and, due to the association of opioids with endocrine dysfunction, a clinical trial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spacing w:after="0" w:line="185" w:lineRule="exact"/>
        <w:rPr>
          <w:sz w:val="20"/>
          <w:szCs w:val="20"/>
          <w:color w:val="auto"/>
        </w:rPr>
      </w:pPr>
    </w:p>
    <w:p>
      <w:pPr>
        <w:ind w:left="200" w:right="360" w:firstLine="551"/>
        <w:spacing w:after="0" w:line="302" w:lineRule="auto"/>
        <w:rPr>
          <w:sz w:val="20"/>
          <w:szCs w:val="20"/>
          <w:color w:val="auto"/>
        </w:rPr>
      </w:pPr>
      <w:r>
        <w:rPr>
          <w:rFonts w:ascii="Arial" w:cs="Arial" w:eastAsia="Arial" w:hAnsi="Arial"/>
          <w:sz w:val="16"/>
          <w:szCs w:val="16"/>
          <w:color w:val="auto"/>
        </w:rPr>
        <w:t>In our Phase 2 clinical trial of nalbuphine ER for the treatment of pruritus associated with prurigo nodularis, the most frequently reported adverse events associated with nalbuphine ER were nausea, dizziness and headache. In the open label extension of the trial, nausea, dizziness and fatigue were reported. Across both the Phase 2 clinical trial of nalbuphine ER for the treatment of pruritus associated with prurigo nodularis and the open label extension, a total of four patients reported SAEs, but none of these events was attributed to nalbuphine ER.</w:t>
      </w:r>
    </w:p>
    <w:p>
      <w:pPr>
        <w:spacing w:after="0" w:line="154" w:lineRule="exact"/>
        <w:rPr>
          <w:sz w:val="20"/>
          <w:szCs w:val="20"/>
          <w:color w:val="auto"/>
        </w:rPr>
      </w:pPr>
    </w:p>
    <w:p>
      <w:pPr>
        <w:ind w:left="200" w:right="220" w:firstLine="551"/>
        <w:spacing w:after="0" w:line="264" w:lineRule="auto"/>
        <w:rPr>
          <w:sz w:val="20"/>
          <w:szCs w:val="20"/>
          <w:color w:val="auto"/>
        </w:rPr>
      </w:pPr>
      <w:r>
        <w:rPr>
          <w:rFonts w:ascii="Arial" w:cs="Arial" w:eastAsia="Arial" w:hAnsi="Arial"/>
          <w:sz w:val="18"/>
          <w:szCs w:val="18"/>
          <w:color w:val="auto"/>
        </w:rPr>
        <w:t>In our Phase 2b/3 trial of nalbuphine ER in patients with uremic pruritus, the most frequently reported adverse events attributed to nalbuphine ER were nausea, vomiting, somnolence and dizziness. In patients with uremic pruritus, SAEs were frequent but were primarily related to associated underlying diseases or to procedural complications related to hemodialysis.</w:t>
      </w:r>
    </w:p>
    <w:p>
      <w:pPr>
        <w:spacing w:after="0" w:line="181" w:lineRule="exact"/>
        <w:rPr>
          <w:sz w:val="20"/>
          <w:szCs w:val="20"/>
          <w:color w:val="auto"/>
        </w:rPr>
      </w:pPr>
    </w:p>
    <w:p>
      <w:pPr>
        <w:ind w:left="200" w:right="100" w:firstLine="551"/>
        <w:spacing w:after="0" w:line="276" w:lineRule="auto"/>
        <w:rPr>
          <w:sz w:val="20"/>
          <w:szCs w:val="20"/>
          <w:color w:val="auto"/>
        </w:rPr>
      </w:pPr>
      <w:r>
        <w:rPr>
          <w:rFonts w:ascii="Arial" w:cs="Arial" w:eastAsia="Arial" w:hAnsi="Arial"/>
          <w:sz w:val="17"/>
          <w:szCs w:val="17"/>
          <w:color w:val="auto"/>
        </w:rPr>
        <w:t>If nalbuphine ER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Many currently approved µ-opioid products are subject to restrictive marketing and distribution regulations which, if applied to nalbuphine ER, could potentially restrict its use and harm our ability to generate profits.</w:t>
      </w:r>
    </w:p>
    <w:p>
      <w:pPr>
        <w:spacing w:after="0" w:line="62" w:lineRule="exact"/>
        <w:rPr>
          <w:sz w:val="20"/>
          <w:szCs w:val="20"/>
          <w:color w:val="auto"/>
        </w:rPr>
      </w:pPr>
    </w:p>
    <w:p>
      <w:pPr>
        <w:ind w:left="200" w:firstLine="551"/>
        <w:spacing w:after="0" w:line="287" w:lineRule="auto"/>
        <w:rPr>
          <w:sz w:val="20"/>
          <w:szCs w:val="20"/>
          <w:color w:val="auto"/>
        </w:rPr>
      </w:pPr>
      <w:r>
        <w:rPr>
          <w:rFonts w:ascii="Arial" w:cs="Arial" w:eastAsia="Arial" w:hAnsi="Arial"/>
          <w:sz w:val="16"/>
          <w:szCs w:val="16"/>
          <w:color w:val="auto"/>
        </w:rPr>
        <w:t>Many currently approved µ-opioid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nalbuphine ER has a µ-antagonist mechanism of action and has been well-tolerated in clinical trials to date, we have observed a few cases of mild euphoria, somnolence and feeling relaxed or feeling “high,” which are characteristics that have led to misuse, abuse and addiction of µ-opioids. We plan to conduct a HAL study to further characterize the abuse potential of oral nalbuphine. If the results of the HAL study suggest that nalbuphine ER may carry risks of misuse, abuse or addiction, or even if the trial indicates that nalbuphine ER does not carry such risks, the FDA may require us to implement a REMS program in connection with any commercialization of nalbuphine ER. We cannot predict whether a REMS program would be required as part of FDA approval of nalbuphine ER and, if required, what requirements it might entail. Any limitations on approval or marketing could restrict the commercial promotion, distribution, prescription or dispensation of nalbuphine ER, if approved. If a REMS program is required, depending on the extent of the REMS requirements, the program might significantly increase our costs to commercialize nalbuphine ER. Furthermore, risks of nalbuphine ER that are not adequately addressed through proposed a REMS program for nalbuphine ER may also prevent or delay any approval for commercialization.</w:t>
      </w:r>
    </w:p>
    <w:p>
      <w:pPr>
        <w:spacing w:after="0" w:line="169" w:lineRule="exact"/>
        <w:rPr>
          <w:sz w:val="20"/>
          <w:szCs w:val="20"/>
          <w:color w:val="auto"/>
        </w:rPr>
      </w:pPr>
    </w:p>
    <w:p>
      <w:pPr>
        <w:ind w:left="200" w:right="80" w:firstLine="551"/>
        <w:spacing w:after="0" w:line="269" w:lineRule="auto"/>
        <w:rPr>
          <w:sz w:val="20"/>
          <w:szCs w:val="20"/>
          <w:color w:val="auto"/>
        </w:rPr>
      </w:pPr>
      <w:r>
        <w:rPr>
          <w:rFonts w:ascii="Arial" w:cs="Arial" w:eastAsia="Arial" w:hAnsi="Arial"/>
          <w:sz w:val="17"/>
          <w:szCs w:val="17"/>
          <w:color w:val="auto"/>
        </w:rPr>
        <w:t>In addition, while nalbuphine is currently not classified as a controlled substance under the federal Controlled Substances Act of 1970, or the CSA, or the regulations of the U.S. Drug Enforcement Agency, or the DEA, it is the only opioid analgesic that is approved for marketing in the United States that is not classified as a controlled substance. It is possible that, based on the results of our HAL study, adverse events in our clinical trials or for other reasons, the DEA could determine that nalbuphine ER should be classified as a controlled substance.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nalbuphine ER as a controlled substance under different, but potentially no less burdensome, regulations.</w:t>
      </w:r>
    </w:p>
    <w:p>
      <w:pPr>
        <w:spacing w:after="0" w:line="180" w:lineRule="exact"/>
        <w:rPr>
          <w:sz w:val="20"/>
          <w:szCs w:val="20"/>
          <w:color w:val="auto"/>
        </w:rPr>
      </w:pPr>
    </w:p>
    <w:p>
      <w:pPr>
        <w:ind w:left="200" w:right="120" w:firstLine="551"/>
        <w:spacing w:after="0" w:line="273" w:lineRule="auto"/>
        <w:rPr>
          <w:sz w:val="20"/>
          <w:szCs w:val="20"/>
          <w:color w:val="auto"/>
        </w:rPr>
      </w:pPr>
      <w:r>
        <w:rPr>
          <w:rFonts w:ascii="Arial" w:cs="Arial" w:eastAsia="Arial" w:hAnsi="Arial"/>
          <w:sz w:val="17"/>
          <w:szCs w:val="17"/>
          <w:color w:val="auto"/>
        </w:rPr>
        <w:t>If nalbuphine ER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nalbuphine ER is classified as a controlled substance, there is a risk that such regulations could limit its supply for use in clinical trials and, in the future, limit our ability to produce and distribute nalbuphine ER in the volume needed to meet potential commercial demand.</w:t>
      </w:r>
    </w:p>
    <w:p>
      <w:pPr>
        <w:spacing w:after="0" w:line="178" w:lineRule="exact"/>
        <w:rPr>
          <w:sz w:val="20"/>
          <w:szCs w:val="20"/>
          <w:color w:val="auto"/>
        </w:rPr>
      </w:pPr>
    </w:p>
    <w:p>
      <w:pPr>
        <w:ind w:left="200" w:right="100" w:firstLine="551"/>
        <w:spacing w:after="0" w:line="290" w:lineRule="auto"/>
        <w:rPr>
          <w:sz w:val="20"/>
          <w:szCs w:val="20"/>
          <w:color w:val="auto"/>
        </w:rPr>
      </w:pPr>
      <w:r>
        <w:rPr>
          <w:rFonts w:ascii="Arial" w:cs="Arial" w:eastAsia="Arial" w:hAnsi="Arial"/>
          <w:sz w:val="16"/>
          <w:szCs w:val="16"/>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nalbuphine ER is classified as a controlled substance, failure to obtain and maintain required registrations or comply with any applicable regulations could delay or preclude us from developing and commercializing nalbuphine ER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nalbuphine ER is classified as a controlled substance, depending on how it is scheduled, its commercial prospects could be limited.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Results of preclinical studies and clinical trials may not be predictive of results of later clinical trials.</w:t>
      </w:r>
    </w:p>
    <w:p>
      <w:pPr>
        <w:spacing w:after="0" w:line="117" w:lineRule="exact"/>
        <w:rPr>
          <w:sz w:val="20"/>
          <w:szCs w:val="20"/>
          <w:color w:val="auto"/>
        </w:rPr>
      </w:pPr>
    </w:p>
    <w:p>
      <w:pPr>
        <w:ind w:left="200" w:right="60" w:firstLine="551"/>
        <w:spacing w:after="0" w:line="255" w:lineRule="auto"/>
        <w:rPr>
          <w:sz w:val="20"/>
          <w:szCs w:val="20"/>
          <w:color w:val="auto"/>
        </w:rPr>
      </w:pPr>
      <w:r>
        <w:rPr>
          <w:rFonts w:ascii="Arial" w:cs="Arial" w:eastAsia="Arial" w:hAnsi="Arial"/>
          <w:sz w:val="18"/>
          <w:szCs w:val="18"/>
          <w:color w:val="auto"/>
        </w:rPr>
        <w:t>The outcome of preclinical studies and clinical trials may not be predictive of the success of later clinical trials, and preliminary or interim results of clinical trials do not necessarily predict final results. For instance, nalbuphine ER or any future product candidate may fail to show the desired safety and efficacy in clinical development despite demonstrating positive results in preclinical studies or successfully advancing through Phase 1 and Phase 2 clinical trials.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551"/>
        <w:spacing w:after="0" w:line="273" w:lineRule="auto"/>
        <w:rPr>
          <w:sz w:val="20"/>
          <w:szCs w:val="20"/>
          <w:color w:val="auto"/>
        </w:rPr>
      </w:pPr>
      <w:r>
        <w:rPr>
          <w:rFonts w:ascii="Arial" w:cs="Arial" w:eastAsia="Arial" w:hAnsi="Arial"/>
          <w:sz w:val="17"/>
          <w:szCs w:val="17"/>
          <w:color w:val="auto"/>
        </w:rPr>
        <w:t>At a meeting with the FDA following the completion of our Phase 2 clinical trial of nalbuphine ER for the treatment of pruritus associated with prurigo nodularis, the FDA advised us that the findings of the Phase 2 clinical trial may not be reliable and recommended that we conduct an additional Phase 2 dose ranging trial to identify the optimal dose and obtain reliable estimates of treatment effect for the recommended primary efficacy endpoint so as to better design and power our planned Phase 3 clinical trials. In providing such advice, the FDA noted the small number of patients in each arm of the Phase 2 clinical trial and the large differential discontinuation rate among the three treatment arms, as well as our plan to increase the fixed-dose treatment duration from eight weeks in the Phase 2 clinical trial to 12 weeks in our PRISM trial.</w:t>
      </w:r>
    </w:p>
    <w:p>
      <w:pPr>
        <w:spacing w:after="0" w:line="178" w:lineRule="exact"/>
        <w:rPr>
          <w:sz w:val="20"/>
          <w:szCs w:val="20"/>
          <w:color w:val="auto"/>
        </w:rPr>
      </w:pPr>
    </w:p>
    <w:p>
      <w:pPr>
        <w:ind w:left="200" w:firstLine="551"/>
        <w:spacing w:after="0" w:line="287" w:lineRule="auto"/>
        <w:rPr>
          <w:sz w:val="20"/>
          <w:szCs w:val="20"/>
          <w:color w:val="auto"/>
        </w:rPr>
      </w:pPr>
      <w:r>
        <w:rPr>
          <w:rFonts w:ascii="Arial" w:cs="Arial" w:eastAsia="Arial" w:hAnsi="Arial"/>
          <w:sz w:val="16"/>
          <w:szCs w:val="16"/>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For example, we have designed our PRISM trial based on an assumed discontinuation rate that takes into account observed discontinuation rates in our Phase 2 clinical trial of nalbuphine ER for the treatment of pruritus associated with prurigo nodularis. If enrolled patients withdraw from our PRISM trial at a rate that is higher than expected, as occurred in our Phase 2 clinical trial of nalbuphine ER for the treatment of pruritus associated with prurigo nodularis, or at rates that are inconsistent across clinical sites and treatment arms, we may not achieve the primary endpoint of the trial, the validity or statistical significance of the trial could be impaired and regulatory authorities may not view the trial as supportive of an application for marketing approval.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nalbuphine ER or any future product candidate warrant marketing approval, the FDA or comparable foreign regulatory authorities may disagree and may not grant marketing approval of the product candidate.</w:t>
      </w:r>
    </w:p>
    <w:p>
      <w:pPr>
        <w:spacing w:after="0" w:line="173" w:lineRule="exact"/>
        <w:rPr>
          <w:sz w:val="20"/>
          <w:szCs w:val="20"/>
          <w:color w:val="auto"/>
        </w:rPr>
      </w:pPr>
    </w:p>
    <w:p>
      <w:pPr>
        <w:ind w:left="200" w:right="40" w:firstLine="551"/>
        <w:spacing w:after="0" w:line="259" w:lineRule="auto"/>
        <w:rPr>
          <w:sz w:val="20"/>
          <w:szCs w:val="20"/>
          <w:color w:val="auto"/>
        </w:rPr>
      </w:pPr>
      <w:r>
        <w:rPr>
          <w:rFonts w:ascii="Arial" w:cs="Arial" w:eastAsia="Arial" w:hAnsi="Arial"/>
          <w:sz w:val="18"/>
          <w:szCs w:val="18"/>
          <w:color w:val="auto"/>
        </w:rPr>
        <w:t xml:space="preserve">In addition, some of our data for nalbuphine ER for the treatment of pruritus is drawn from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of data subsets from our Phase 2 clinical trials of nalbuphine ER in patients with prurigo nodularis and uremic pruritus. While we believe these data may be useful in informing the design of our PRISM trial and other future Phase 3 clinical trials for nalbuphine ER,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performed after unmasking trial results can result in the introduction of bias and may not be predictive of success in Phase 3 clinical trials.</w:t>
      </w:r>
    </w:p>
    <w:p>
      <w:pPr>
        <w:spacing w:after="0" w:line="187" w:lineRule="exact"/>
        <w:rPr>
          <w:sz w:val="20"/>
          <w:szCs w:val="20"/>
          <w:color w:val="auto"/>
        </w:rPr>
      </w:pPr>
    </w:p>
    <w:p>
      <w:pPr>
        <w:ind w:left="200" w:right="140" w:firstLine="551"/>
        <w:spacing w:after="0" w:line="297"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nalbuphine ER or any future product candidate, the development timeline and regulatory approval and commercialization prospects for those product candidates and, correspondingly, our business and financial prospects would be negatively impacted.</w:t>
      </w:r>
    </w:p>
    <w:p>
      <w:pPr>
        <w:spacing w:after="0" w:line="26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left="200" w:right="20" w:firstLine="551"/>
        <w:spacing w:after="0" w:line="264" w:lineRule="auto"/>
        <w:rPr>
          <w:sz w:val="20"/>
          <w:szCs w:val="20"/>
          <w:color w:val="auto"/>
        </w:rPr>
      </w:pPr>
      <w:r>
        <w:rPr>
          <w:rFonts w:ascii="Arial" w:cs="Arial" w:eastAsia="Arial" w:hAnsi="Arial"/>
          <w:sz w:val="18"/>
          <w:szCs w:val="18"/>
          <w:color w:val="auto"/>
        </w:rPr>
        <w:t>We may not be able to initiate or continue clinical trials for nalbuphine ER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spacing w:after="0" w:line="64"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the size and nature of the eligible patient population;</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the severity of the disease under investigation;</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the proximity of eligible patients to clinical sites;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6"/>
        </w:numPr>
        <w:rPr>
          <w:rFonts w:ascii="Arial" w:cs="Arial" w:eastAsia="Arial" w:hAnsi="Arial"/>
          <w:sz w:val="22"/>
          <w:szCs w:val="22"/>
          <w:color w:val="auto"/>
        </w:rPr>
      </w:pPr>
      <w:r>
        <w:rPr>
          <w:rFonts w:ascii="Arial" w:cs="Arial" w:eastAsia="Arial" w:hAnsi="Arial"/>
          <w:sz w:val="18"/>
          <w:szCs w:val="18"/>
          <w:color w:val="auto"/>
        </w:rPr>
        <w:t>patient referral practices of physicians;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the eligibility criteria for the clinical trial;</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the design of the clinical trial;</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6"/>
        </w:numPr>
        <w:rPr>
          <w:rFonts w:ascii="Arial" w:cs="Arial" w:eastAsia="Arial" w:hAnsi="Arial"/>
          <w:sz w:val="22"/>
          <w:szCs w:val="22"/>
          <w:color w:val="auto"/>
        </w:rPr>
      </w:pPr>
      <w:r>
        <w:rPr>
          <w:rFonts w:ascii="Arial" w:cs="Arial" w:eastAsia="Arial" w:hAnsi="Arial"/>
          <w:sz w:val="18"/>
          <w:szCs w:val="18"/>
          <w:color w:val="auto"/>
        </w:rPr>
        <w:t>efforts to facilitate timely enrollment;</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6"/>
        </w:numPr>
        <w:rPr>
          <w:rFonts w:ascii="Arial" w:cs="Arial" w:eastAsia="Arial" w:hAnsi="Arial"/>
          <w:sz w:val="22"/>
          <w:szCs w:val="22"/>
          <w:color w:val="auto"/>
        </w:rPr>
      </w:pPr>
      <w:r>
        <w:rPr>
          <w:rFonts w:ascii="Arial" w:cs="Arial" w:eastAsia="Arial" w:hAnsi="Arial"/>
          <w:sz w:val="18"/>
          <w:szCs w:val="18"/>
          <w:color w:val="auto"/>
        </w:rPr>
        <w:t>competing clinical trials; and</w:t>
      </w:r>
    </w:p>
    <w:p>
      <w:pPr>
        <w:spacing w:after="0" w:line="134" w:lineRule="exact"/>
        <w:rPr>
          <w:rFonts w:ascii="Arial" w:cs="Arial" w:eastAsia="Arial" w:hAnsi="Arial"/>
          <w:sz w:val="22"/>
          <w:szCs w:val="22"/>
          <w:color w:val="auto"/>
        </w:rPr>
      </w:pPr>
    </w:p>
    <w:p>
      <w:pPr>
        <w:ind w:left="1180" w:right="400" w:hanging="436"/>
        <w:spacing w:after="0" w:line="251" w:lineRule="auto"/>
        <w:tabs>
          <w:tab w:leader="none" w:pos="1180" w:val="left"/>
        </w:tabs>
        <w:numPr>
          <w:ilvl w:val="0"/>
          <w:numId w:val="26"/>
        </w:numPr>
        <w:rPr>
          <w:rFonts w:ascii="Arial" w:cs="Arial" w:eastAsia="Arial" w:hAnsi="Arial"/>
          <w:sz w:val="21"/>
          <w:szCs w:val="21"/>
          <w:color w:val="auto"/>
        </w:rPr>
      </w:pPr>
      <w:r>
        <w:rPr>
          <w:rFonts w:ascii="Arial" w:cs="Arial" w:eastAsia="Arial" w:hAnsi="Arial"/>
          <w:sz w:val="17"/>
          <w:szCs w:val="17"/>
          <w:color w:val="auto"/>
        </w:rPr>
        <w:t>clinicians’ and patients’ perceptions as to the potential advantages and risks of the product candidate being studied in relation to other available therapies, including any new drugs that may be approved for the indications under investigation.</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551"/>
        <w:spacing w:after="0" w:line="253" w:lineRule="auto"/>
        <w:rPr>
          <w:sz w:val="20"/>
          <w:szCs w:val="20"/>
          <w:color w:val="auto"/>
        </w:rPr>
      </w:pPr>
      <w:r>
        <w:rPr>
          <w:rFonts w:ascii="Arial" w:cs="Arial" w:eastAsia="Arial" w:hAnsi="Arial"/>
          <w:sz w:val="18"/>
          <w:szCs w:val="18"/>
          <w:color w:val="auto"/>
        </w:rPr>
        <w:t>In particular, the successful completion of our clinical development program for nalbuphine ER for the treatment of pruritus associated with prurigo nodularis is dependent upon our ability to enroll a sufficient number of patients with this severe condition. We have experienced delays and difficulties in the enrollment of patients in our clinical trials, including our PRISM trial. We have taken actions to increase enrollment, including increasing the number of clinical sites and closing underperforming sites. However, these actions may not be successful. Other companies are conducting clinical trials or have announced plans for future clinical trials that are seeking, or are likely to seek, to enroll patients with prurigo nodularis, and patients are generally only able to enroll in a single trial at a time. In addition, although there are no drugs approved in the United States or Europe for the treatment of pruritus associated with prurigo nodularis, many patients use various treatments off-label, such as antihistamines or gabapentin, and these patients and their physicians may be reluctant to forgo, discontinue or otherwise alter their use of such off-label therapeutic approaches to participate in our clinical trials.</w:t>
      </w:r>
    </w:p>
    <w:p>
      <w:pPr>
        <w:spacing w:after="0" w:line="197" w:lineRule="exact"/>
        <w:rPr>
          <w:sz w:val="20"/>
          <w:szCs w:val="20"/>
          <w:color w:val="auto"/>
        </w:rPr>
      </w:pPr>
    </w:p>
    <w:p>
      <w:pPr>
        <w:ind w:left="200" w:firstLine="551"/>
        <w:spacing w:after="0" w:line="257" w:lineRule="auto"/>
        <w:rPr>
          <w:sz w:val="20"/>
          <w:szCs w:val="20"/>
          <w:color w:val="auto"/>
        </w:rPr>
      </w:pPr>
      <w:r>
        <w:rPr>
          <w:rFonts w:ascii="Arial" w:cs="Arial" w:eastAsia="Arial" w:hAnsi="Arial"/>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nalbuphine ER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296" w:lineRule="exact"/>
        <w:rPr>
          <w:sz w:val="20"/>
          <w:szCs w:val="20"/>
          <w:color w:val="auto"/>
        </w:rPr>
      </w:pPr>
    </w:p>
    <w:p>
      <w:pPr>
        <w:jc w:val="both"/>
        <w:ind w:left="200" w:right="60" w:firstLine="551"/>
        <w:spacing w:after="0" w:line="264" w:lineRule="auto"/>
        <w:rPr>
          <w:sz w:val="20"/>
          <w:szCs w:val="20"/>
          <w:color w:val="auto"/>
        </w:rPr>
      </w:pPr>
      <w:r>
        <w:rPr>
          <w:rFonts w:ascii="Arial" w:cs="Arial" w:eastAsia="Arial" w:hAnsi="Arial"/>
          <w:sz w:val="18"/>
          <w:szCs w:val="18"/>
          <w:b w:val="1"/>
          <w:bCs w:val="1"/>
          <w:i w:val="1"/>
          <w:iCs w:val="1"/>
          <w:color w:val="auto"/>
        </w:rPr>
        <w:t>Even if nalbuphine ER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73" w:lineRule="exact"/>
        <w:rPr>
          <w:sz w:val="20"/>
          <w:szCs w:val="20"/>
          <w:color w:val="auto"/>
        </w:rPr>
      </w:pPr>
    </w:p>
    <w:p>
      <w:pPr>
        <w:jc w:val="both"/>
        <w:ind w:left="200" w:right="60" w:firstLine="551"/>
        <w:spacing w:after="0" w:line="302" w:lineRule="auto"/>
        <w:rPr>
          <w:sz w:val="20"/>
          <w:szCs w:val="20"/>
          <w:color w:val="auto"/>
        </w:rPr>
      </w:pPr>
      <w:r>
        <w:rPr>
          <w:rFonts w:ascii="Arial" w:cs="Arial" w:eastAsia="Arial" w:hAnsi="Arial"/>
          <w:sz w:val="16"/>
          <w:szCs w:val="16"/>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37" w:lineRule="exact"/>
        <w:rPr>
          <w:sz w:val="20"/>
          <w:szCs w:val="20"/>
          <w:color w:val="auto"/>
        </w:rPr>
      </w:pPr>
    </w:p>
    <w:p>
      <w:pPr>
        <w:ind w:left="1180" w:hanging="436"/>
        <w:spacing w:after="0"/>
        <w:tabs>
          <w:tab w:leader="none" w:pos="1180" w:val="left"/>
        </w:tabs>
        <w:numPr>
          <w:ilvl w:val="0"/>
          <w:numId w:val="27"/>
        </w:numPr>
        <w:rPr>
          <w:rFonts w:ascii="Arial" w:cs="Arial" w:eastAsia="Arial" w:hAnsi="Arial"/>
          <w:sz w:val="22"/>
          <w:szCs w:val="22"/>
          <w:color w:val="auto"/>
        </w:rPr>
      </w:pPr>
      <w:r>
        <w:rPr>
          <w:rFonts w:ascii="Arial" w:cs="Arial" w:eastAsia="Arial" w:hAnsi="Arial"/>
          <w:sz w:val="18"/>
          <w:szCs w:val="18"/>
          <w:color w:val="auto"/>
        </w:rPr>
        <w:t>regulatory authorities may withdraw their approval of the product or seize the product;</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7"/>
        </w:numPr>
        <w:rPr>
          <w:rFonts w:ascii="Arial" w:cs="Arial" w:eastAsia="Arial" w:hAnsi="Arial"/>
          <w:sz w:val="22"/>
          <w:szCs w:val="22"/>
          <w:color w:val="auto"/>
        </w:rPr>
      </w:pPr>
      <w:r>
        <w:rPr>
          <w:rFonts w:ascii="Arial" w:cs="Arial" w:eastAsia="Arial" w:hAnsi="Arial"/>
          <w:sz w:val="18"/>
          <w:szCs w:val="18"/>
          <w:color w:val="auto"/>
        </w:rPr>
        <w:t>we may be required to recall the product, change the way the product is administered or conduct additional clinical trials;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7"/>
        </w:numPr>
        <w:rPr>
          <w:rFonts w:ascii="Arial" w:cs="Arial" w:eastAsia="Arial" w:hAnsi="Arial"/>
          <w:sz w:val="22"/>
          <w:szCs w:val="22"/>
          <w:color w:val="auto"/>
        </w:rPr>
      </w:pPr>
      <w:r>
        <w:rPr>
          <w:rFonts w:ascii="Arial" w:cs="Arial" w:eastAsia="Arial" w:hAnsi="Arial"/>
          <w:sz w:val="18"/>
          <w:szCs w:val="18"/>
          <w:color w:val="auto"/>
        </w:rPr>
        <w:t>additional restrictions may be imposed on the marketing of, or the manufacturing processes for, the product;</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7"/>
        </w:numPr>
        <w:rPr>
          <w:rFonts w:ascii="Arial" w:cs="Arial" w:eastAsia="Arial" w:hAnsi="Arial"/>
          <w:sz w:val="22"/>
          <w:szCs w:val="22"/>
          <w:color w:val="auto"/>
        </w:rPr>
      </w:pPr>
      <w:r>
        <w:rPr>
          <w:rFonts w:ascii="Arial" w:cs="Arial" w:eastAsia="Arial" w:hAnsi="Arial"/>
          <w:sz w:val="18"/>
          <w:szCs w:val="18"/>
          <w:color w:val="auto"/>
        </w:rPr>
        <w:t>we may be subject to fines, injunctions or the imposition of civil or criminal penalties;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7"/>
        </w:numPr>
        <w:rPr>
          <w:rFonts w:ascii="Arial" w:cs="Arial" w:eastAsia="Arial" w:hAnsi="Arial"/>
          <w:sz w:val="22"/>
          <w:szCs w:val="22"/>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34" w:lineRule="exact"/>
        <w:rPr>
          <w:rFonts w:ascii="Arial" w:cs="Arial" w:eastAsia="Arial" w:hAnsi="Arial"/>
          <w:sz w:val="22"/>
          <w:szCs w:val="22"/>
          <w:color w:val="auto"/>
        </w:rPr>
      </w:pPr>
    </w:p>
    <w:p>
      <w:pPr>
        <w:ind w:left="1180" w:hanging="436"/>
        <w:spacing w:after="0"/>
        <w:tabs>
          <w:tab w:leader="none" w:pos="1180" w:val="left"/>
        </w:tabs>
        <w:numPr>
          <w:ilvl w:val="0"/>
          <w:numId w:val="27"/>
        </w:numPr>
        <w:rPr>
          <w:rFonts w:ascii="Arial" w:cs="Arial" w:eastAsia="Arial" w:hAnsi="Arial"/>
          <w:sz w:val="19"/>
          <w:szCs w:val="19"/>
          <w:color w:val="auto"/>
        </w:rPr>
      </w:pPr>
      <w:r>
        <w:rPr>
          <w:rFonts w:ascii="Arial" w:cs="Arial" w:eastAsia="Arial" w:hAnsi="Arial"/>
          <w:sz w:val="16"/>
          <w:szCs w:val="16"/>
          <w:color w:val="auto"/>
        </w:rPr>
        <w:t>we may be required to create a Medication Guide outlining the risks of the previously unidentified side effects for distribution to patients;</w:t>
      </w:r>
    </w:p>
    <w:p>
      <w:pPr>
        <w:spacing w:after="0" w:line="123" w:lineRule="exact"/>
        <w:rPr>
          <w:rFonts w:ascii="Arial" w:cs="Arial" w:eastAsia="Arial" w:hAnsi="Arial"/>
          <w:sz w:val="19"/>
          <w:szCs w:val="19"/>
          <w:color w:val="auto"/>
        </w:rPr>
      </w:pPr>
    </w:p>
    <w:p>
      <w:pPr>
        <w:ind w:left="1180" w:hanging="436"/>
        <w:spacing w:after="0"/>
        <w:tabs>
          <w:tab w:leader="none" w:pos="1180" w:val="left"/>
        </w:tabs>
        <w:numPr>
          <w:ilvl w:val="0"/>
          <w:numId w:val="27"/>
        </w:numPr>
        <w:rPr>
          <w:rFonts w:ascii="Arial" w:cs="Arial" w:eastAsia="Arial" w:hAnsi="Arial"/>
          <w:sz w:val="22"/>
          <w:szCs w:val="22"/>
          <w:color w:val="auto"/>
        </w:rPr>
      </w:pPr>
      <w:r>
        <w:rPr>
          <w:rFonts w:ascii="Arial" w:cs="Arial" w:eastAsia="Arial" w:hAnsi="Arial"/>
          <w:sz w:val="18"/>
          <w:szCs w:val="18"/>
          <w:color w:val="auto"/>
        </w:rPr>
        <w:t>we could be sued and held liable for harm caused to patients;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7"/>
        </w:numPr>
        <w:rPr>
          <w:rFonts w:ascii="Arial" w:cs="Arial" w:eastAsia="Arial" w:hAnsi="Arial"/>
          <w:sz w:val="22"/>
          <w:szCs w:val="22"/>
          <w:color w:val="auto"/>
        </w:rPr>
      </w:pPr>
      <w:r>
        <w:rPr>
          <w:rFonts w:ascii="Arial" w:cs="Arial" w:eastAsia="Arial" w:hAnsi="Arial"/>
          <w:sz w:val="18"/>
          <w:szCs w:val="18"/>
          <w:color w:val="auto"/>
        </w:rPr>
        <w:t>the product may become less competitive; and</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7"/>
        </w:numPr>
        <w:rPr>
          <w:rFonts w:ascii="Arial" w:cs="Arial" w:eastAsia="Arial" w:hAnsi="Arial"/>
          <w:sz w:val="22"/>
          <w:szCs w:val="22"/>
          <w:color w:val="auto"/>
        </w:rPr>
      </w:pPr>
      <w:r>
        <w:rPr>
          <w:rFonts w:ascii="Arial" w:cs="Arial" w:eastAsia="Arial" w:hAnsi="Arial"/>
          <w:sz w:val="18"/>
          <w:szCs w:val="18"/>
          <w:color w:val="auto"/>
        </w:rPr>
        <w:t>our reputation may suffer.</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Any of these events could harm our business and operations and could negatively impact our stock price.</w:t>
      </w:r>
    </w:p>
    <w:p>
      <w:pPr>
        <w:spacing w:after="0" w:line="333" w:lineRule="exact"/>
        <w:rPr>
          <w:sz w:val="20"/>
          <w:szCs w:val="20"/>
          <w:color w:val="auto"/>
        </w:rPr>
      </w:pPr>
    </w:p>
    <w:p>
      <w:pPr>
        <w:ind w:left="200" w:right="460"/>
        <w:spacing w:after="0" w:line="340" w:lineRule="auto"/>
        <w:rPr>
          <w:sz w:val="20"/>
          <w:szCs w:val="20"/>
          <w:color w:val="auto"/>
        </w:rPr>
      </w:pPr>
      <w:r>
        <w:rPr>
          <w:rFonts w:ascii="Arial" w:cs="Arial" w:eastAsia="Arial" w:hAnsi="Arial"/>
          <w:sz w:val="15"/>
          <w:szCs w:val="15"/>
          <w:b w:val="1"/>
          <w:bCs w:val="1"/>
          <w:i w:val="1"/>
          <w:iCs w:val="1"/>
          <w:color w:val="auto"/>
        </w:rPr>
        <w:t>Even if nalbuphine ER or any future product candidate receives marketing approval, it may fail to achieve the degree of market acceptance by physicians, patients, third-party payors and others in the medical community necessary for commercial success, in which case the market opportunity for nalbuphine ER may be smaller than we estimate and we may not generate significant revenues or become profitable.</w:t>
      </w:r>
    </w:p>
    <w:p>
      <w:pPr>
        <w:spacing w:after="0" w:line="23" w:lineRule="exact"/>
        <w:rPr>
          <w:sz w:val="20"/>
          <w:szCs w:val="20"/>
          <w:color w:val="auto"/>
        </w:rPr>
      </w:pPr>
    </w:p>
    <w:p>
      <w:pPr>
        <w:jc w:val="both"/>
        <w:ind w:left="200" w:right="140" w:firstLine="551"/>
        <w:spacing w:after="0" w:line="273" w:lineRule="auto"/>
        <w:rPr>
          <w:sz w:val="20"/>
          <w:szCs w:val="20"/>
          <w:color w:val="auto"/>
        </w:rPr>
      </w:pPr>
      <w:r>
        <w:rPr>
          <w:rFonts w:ascii="Arial" w:cs="Arial" w:eastAsia="Arial" w:hAnsi="Arial"/>
          <w:sz w:val="17"/>
          <w:szCs w:val="17"/>
          <w:color w:val="auto"/>
        </w:rPr>
        <w:t>We have never commercialized a product, and even if nalbuphine ER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firstLine="551"/>
        <w:spacing w:after="0" w:line="279" w:lineRule="auto"/>
        <w:rPr>
          <w:sz w:val="20"/>
          <w:szCs w:val="20"/>
          <w:color w:val="auto"/>
        </w:rPr>
      </w:pPr>
      <w:r>
        <w:rPr>
          <w:rFonts w:ascii="Arial" w:cs="Arial" w:eastAsia="Arial" w:hAnsi="Arial"/>
          <w:sz w:val="17"/>
          <w:szCs w:val="17"/>
          <w:color w:val="auto"/>
        </w:rPr>
        <w:t>Efforts to educate the medical community and third-party payors on the benefits of nalbuphine ER or any future product candidate may require significant resources and may not be successful. If nalbuphine ER or any future product candidate is approved but does not achieve an adequate level of market acceptance, we may not generate significant revenues and we may not become profitable. The degree of market acceptance of nalbuphine ER or any future product candidate, if approved for commercial sale, will depend on a number of factors, including:</w:t>
      </w:r>
    </w:p>
    <w:p>
      <w:pPr>
        <w:spacing w:after="0" w:line="54"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efficacy and safety of the product;</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potential and perceived advantages of the product compared to other therapies;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prevalence and severity of any side effects;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potential that the DEA could determine that nalbuphine ER should be classified as a controlled substance;</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clinical indications for which the product is approved;</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our ability to offer the product for sale at competitive prices;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product’s convenience and ease of administration;</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willingness of the target patient population to try, and of physicians to prescribe, the product;</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strength of sales, marketing and distribution support for the product;</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approval of other new products for the same indications;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timing of market introduction of the product as well as competitive products;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adverse publicity about the product or favorable publicity about competitive products;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potential product liability claims;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changes in the standard of care for the targeted indications for the product; and</w:t>
      </w:r>
    </w:p>
    <w:p>
      <w:pPr>
        <w:spacing w:after="0" w:line="123" w:lineRule="exact"/>
        <w:rPr>
          <w:rFonts w:ascii="Arial" w:cs="Arial" w:eastAsia="Arial" w:hAnsi="Arial"/>
          <w:sz w:val="22"/>
          <w:szCs w:val="22"/>
          <w:color w:val="auto"/>
        </w:rPr>
      </w:pPr>
    </w:p>
    <w:p>
      <w:pPr>
        <w:ind w:left="1180" w:hanging="436"/>
        <w:spacing w:after="0"/>
        <w:tabs>
          <w:tab w:leader="none" w:pos="1180" w:val="left"/>
        </w:tabs>
        <w:numPr>
          <w:ilvl w:val="0"/>
          <w:numId w:val="28"/>
        </w:numPr>
        <w:rPr>
          <w:rFonts w:ascii="Arial" w:cs="Arial" w:eastAsia="Arial" w:hAnsi="Arial"/>
          <w:sz w:val="21"/>
          <w:szCs w:val="21"/>
          <w:color w:val="auto"/>
        </w:rPr>
      </w:pPr>
      <w:r>
        <w:rPr>
          <w:rFonts w:ascii="Arial" w:cs="Arial" w:eastAsia="Arial" w:hAnsi="Arial"/>
          <w:sz w:val="17"/>
          <w:szCs w:val="17"/>
          <w:color w:val="auto"/>
        </w:rPr>
        <w:t>availability and amount of coverage and reimbursement from government payors, managed care plans and other third-party payors.</w:t>
      </w:r>
    </w:p>
    <w:p>
      <w:pPr>
        <w:spacing w:after="0" w:line="337"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left="200" w:firstLine="551"/>
        <w:spacing w:after="0" w:line="273"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nalbuphine ER for the treatment of pruritus associated with prurigo nodularis. However, the development of nalbuphine ER for this indication may ultimately prove to be unsuccessful or less successful than another product candidate or other indications that we might have chosen to pursue with our limited resources.</w:t>
      </w:r>
    </w:p>
    <w:p>
      <w:pPr>
        <w:spacing w:after="0" w:line="178" w:lineRule="exact"/>
        <w:rPr>
          <w:sz w:val="20"/>
          <w:szCs w:val="20"/>
          <w:color w:val="auto"/>
        </w:rPr>
      </w:pPr>
    </w:p>
    <w:p>
      <w:pPr>
        <w:ind w:left="200" w:right="100" w:firstLine="551"/>
        <w:spacing w:after="0" w:line="276" w:lineRule="auto"/>
        <w:rPr>
          <w:sz w:val="20"/>
          <w:szCs w:val="20"/>
          <w:color w:val="auto"/>
        </w:rPr>
      </w:pPr>
      <w:r>
        <w:rPr>
          <w:rFonts w:ascii="Arial" w:cs="Arial" w:eastAsia="Arial" w:hAnsi="Arial"/>
          <w:sz w:val="17"/>
          <w:szCs w:val="17"/>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or enter into sales, marketing and distribution arrangements with third parties, we may not be successful in commercializing nalbuphine ER or any future product candidates if and when they are approved.</w:t>
      </w:r>
    </w:p>
    <w:p>
      <w:pPr>
        <w:spacing w:after="0" w:line="16" w:lineRule="exact"/>
        <w:rPr>
          <w:sz w:val="20"/>
          <w:szCs w:val="20"/>
          <w:color w:val="auto"/>
        </w:rPr>
      </w:pPr>
    </w:p>
    <w:p>
      <w:pPr>
        <w:ind w:left="200" w:right="220" w:firstLine="551"/>
        <w:spacing w:after="0" w:line="273" w:lineRule="auto"/>
        <w:rPr>
          <w:sz w:val="20"/>
          <w:szCs w:val="20"/>
          <w:color w:val="auto"/>
        </w:rPr>
      </w:pPr>
      <w:r>
        <w:rPr>
          <w:rFonts w:ascii="Arial" w:cs="Arial" w:eastAsia="Arial" w:hAnsi="Arial"/>
          <w:sz w:val="17"/>
          <w:szCs w:val="17"/>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nalbuphine ER receives marketing approval from the FDA in any of our target indications, we believe we will have the opportunity to commercialize it in the United States directly through our own focused, specialty sales organization. If nalbuphine ER receives marketing approval outside the United States, we may develop a variety of collaboration, distribution and other marketing arrangements with one or more third parties to commercialize the product in those markets.</w:t>
      </w:r>
    </w:p>
    <w:p>
      <w:pPr>
        <w:spacing w:after="0" w:line="178" w:lineRule="exact"/>
        <w:rPr>
          <w:sz w:val="20"/>
          <w:szCs w:val="20"/>
          <w:color w:val="auto"/>
        </w:rPr>
      </w:pPr>
    </w:p>
    <w:p>
      <w:pPr>
        <w:ind w:left="200" w:right="60" w:firstLine="551"/>
        <w:spacing w:after="0" w:line="288" w:lineRule="auto"/>
        <w:rPr>
          <w:sz w:val="20"/>
          <w:szCs w:val="20"/>
          <w:color w:val="auto"/>
        </w:rPr>
      </w:pPr>
      <w:r>
        <w:rPr>
          <w:rFonts w:ascii="Arial" w:cs="Arial" w:eastAsia="Arial" w:hAnsi="Arial"/>
          <w:sz w:val="16"/>
          <w:szCs w:val="16"/>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69" w:lineRule="exact"/>
        <w:rPr>
          <w:sz w:val="20"/>
          <w:szCs w:val="20"/>
          <w:color w:val="auto"/>
        </w:rPr>
      </w:pPr>
    </w:p>
    <w:p>
      <w:pPr>
        <w:ind w:left="200" w:right="20" w:firstLine="551"/>
        <w:spacing w:after="0" w:line="271" w:lineRule="auto"/>
        <w:rPr>
          <w:sz w:val="20"/>
          <w:szCs w:val="20"/>
          <w:color w:val="auto"/>
        </w:rPr>
      </w:pPr>
      <w:r>
        <w:rPr>
          <w:rFonts w:ascii="Arial" w:cs="Arial" w:eastAsia="Arial" w:hAnsi="Arial"/>
          <w:sz w:val="17"/>
          <w:szCs w:val="17"/>
          <w:color w:val="auto"/>
        </w:rPr>
        <w:t>In certain indications and markets, we may seek to enter into collaborations that we believe may contribute to our ability to advance development and ultimately commercialize nalbuphine ER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79" w:lineRule="exact"/>
        <w:rPr>
          <w:sz w:val="20"/>
          <w:szCs w:val="20"/>
          <w:color w:val="auto"/>
        </w:rPr>
      </w:pPr>
    </w:p>
    <w:p>
      <w:pPr>
        <w:ind w:left="200" w:right="520" w:firstLine="551"/>
        <w:spacing w:after="0" w:line="277" w:lineRule="auto"/>
        <w:rPr>
          <w:sz w:val="20"/>
          <w:szCs w:val="20"/>
          <w:color w:val="auto"/>
        </w:rPr>
      </w:pPr>
      <w:r>
        <w:rPr>
          <w:rFonts w:ascii="Arial" w:cs="Arial" w:eastAsia="Arial" w:hAnsi="Arial"/>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140" w:lineRule="exact"/>
        <w:rPr>
          <w:sz w:val="20"/>
          <w:szCs w:val="20"/>
          <w:color w:val="auto"/>
        </w:rPr>
      </w:pPr>
    </w:p>
    <w:p>
      <w:pPr>
        <w:ind w:left="200" w:firstLine="551"/>
        <w:spacing w:after="0" w:line="272" w:lineRule="auto"/>
        <w:rPr>
          <w:sz w:val="20"/>
          <w:szCs w:val="20"/>
          <w:color w:val="auto"/>
        </w:rPr>
      </w:pPr>
      <w:r>
        <w:rPr>
          <w:rFonts w:ascii="Arial" w:cs="Arial" w:eastAsia="Arial" w:hAnsi="Arial"/>
          <w:sz w:val="17"/>
          <w:szCs w:val="17"/>
          <w:color w:val="auto"/>
        </w:rPr>
        <w:t>The development and commercialization of new products is highly competitive. We expect that we will face significant competition from major pharmaceutical companies, specialty pharmaceutical companies and biotechnology companies worldwide with respect to nalbuphine ER or any future product candidate that we may seek to develop or commercialize. Our competitors may succeed in developing, acquiring or licensing technologies and products that are more effective, have fewer or more tolerable side effects or are more convenient or less costly than nalbuphine ER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178" w:lineRule="exact"/>
        <w:rPr>
          <w:sz w:val="20"/>
          <w:szCs w:val="20"/>
          <w:color w:val="auto"/>
        </w:rPr>
      </w:pPr>
    </w:p>
    <w:p>
      <w:pPr>
        <w:ind w:left="200" w:right="40" w:firstLine="551"/>
        <w:spacing w:after="0" w:line="287" w:lineRule="auto"/>
        <w:rPr>
          <w:sz w:val="20"/>
          <w:szCs w:val="20"/>
          <w:color w:val="auto"/>
        </w:rPr>
      </w:pPr>
      <w:r>
        <w:rPr>
          <w:rFonts w:ascii="Arial" w:cs="Arial" w:eastAsia="Arial" w:hAnsi="Arial"/>
          <w:sz w:val="16"/>
          <w:szCs w:val="16"/>
          <w:color w:val="auto"/>
        </w:rPr>
        <w:t>If nalbuphine ER is approved for the treatment of pruritus associated with prurigo nodularis, we expect that it would compete with a number of therapeutics that are used off-label to treat prurigo nodularis, including anti-itch creams and emollients, oral or injectable antihistamines, gabapentin and Lyrica (pregabalin), which are prescription medicines approved for the treatment of seizures and neuropathic pain, naltrexone and UVB light therapy. We also expect that nalbuphine ER might compete with product candidates currently in clinical development in this indication, including serlopitant, an oral neurokinin-1 receptor antagonist being developed by Menlo Therapeutics that is in Phase 3 clinical trials; nemolizumab, an anti-interleukin-31 receptor A humanized monoclonal antibody being developed by Galderma; and KPL-716, a monoclonal antibody targeting oncostatin M receptor beta being developed by Kiniksa Pharmaceuticals. In addition, a number of other product candidates are currently in clinical development to treat other pruritic conditions and nalbuphine ER, if approved for the treatment of pruritus associated with prurigo nodularis or for any other serious neurologically mediated condition, could face competition from these product candidates. These product candidates include KORSUVA, a k-opioid receptor agonist being developed by Cara Therapeutics that is in Phase 3 clinical trials for administration by injection for uremic pruritus and earlier-stage clinical trials for oral administration for uremic pruritus and pruritus associated with chronic liver disease, and tradipitant, an oral neurokinin-1 receptor antagonist being developed by Vanda Pharmaceuticals that is in Phase 3 clinical trials for chronic pruritus in patients with atopic dermatitis.</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551"/>
        <w:spacing w:after="0" w:line="253" w:lineRule="auto"/>
        <w:rPr>
          <w:sz w:val="20"/>
          <w:szCs w:val="20"/>
          <w:color w:val="auto"/>
        </w:rPr>
      </w:pPr>
      <w:r>
        <w:rPr>
          <w:rFonts w:ascii="Arial" w:cs="Arial" w:eastAsia="Arial" w:hAnsi="Arial"/>
          <w:sz w:val="18"/>
          <w:szCs w:val="18"/>
          <w:color w:val="auto"/>
        </w:rPr>
        <w:t>If nalbuphine ER is approved for the treatment of pruritus associated with chronic liver disease, we expect that it would compete with a number of therapeutics that are used off-label to treat pruritus associated with chronic liver disease, which may include bile acid sequestrants, such as cholestyramine, which are used off-label and generally as first-line therapy, although they typically provide only modest relief. Cholestyramine is marketed as Questran in the United States and as Colestyr, Efensol, Ipocol, Kolestran, Lipocol, Olestyr, Prevalite or Quantalan in various other countries. Treatment of pruritus associated with chronic liver disease may also include second-line therapies such as the antibiotic rifampicin, naltrexone, the anti-depressant sertraline, as well as phototherapy and drugs such as gabapentin and Lyrica (pregabalin), which are prescription medicines approved for the treatment of seizures and neuropathic pain. In addition, it is possible that therapies to reduce chronic liver disease, such as ursodeoxycholic acid, which is approved for the treatment of primary biliary cholangitis, could reduce the need for therapies to treat pruritus associated with chronic liver disease.</w:t>
      </w:r>
    </w:p>
    <w:p>
      <w:pPr>
        <w:spacing w:after="0" w:line="197" w:lineRule="exact"/>
        <w:rPr>
          <w:sz w:val="20"/>
          <w:szCs w:val="20"/>
          <w:color w:val="auto"/>
        </w:rPr>
      </w:pPr>
    </w:p>
    <w:p>
      <w:pPr>
        <w:ind w:left="200" w:right="20" w:firstLine="551"/>
        <w:spacing w:after="0" w:line="297" w:lineRule="auto"/>
        <w:rPr>
          <w:sz w:val="20"/>
          <w:szCs w:val="20"/>
          <w:color w:val="auto"/>
        </w:rPr>
      </w:pPr>
      <w:r>
        <w:rPr>
          <w:rFonts w:ascii="Arial" w:cs="Arial" w:eastAsia="Arial" w:hAnsi="Arial"/>
          <w:sz w:val="16"/>
          <w:szCs w:val="16"/>
          <w:color w:val="auto"/>
        </w:rPr>
        <w:t>If nalbuphine ER is approved for the treatment of chronic cough associated with idiopathic pulmonary fibrosis, or IPF, we expect that it would compete with product candidates currently in development for the treatment of chronic cough, such as RVT-1601, a formulation of cromolyn sodium being developed by Respivant Sciences, and expect that it might also compete with other product candidates currently in development for the treatment of chronic cough by companies including Merck, Shinogi, Bellus Therapeutics and Nerre Therapeutics. In addition, it is possible that product candidates currently in development for the treatment of IPF could, if approved, reduce the need for therapies to treat chronic cough associated with IPF.</w:t>
      </w:r>
    </w:p>
    <w:p>
      <w:pPr>
        <w:spacing w:after="0" w:line="158" w:lineRule="exact"/>
        <w:rPr>
          <w:sz w:val="20"/>
          <w:szCs w:val="20"/>
          <w:color w:val="auto"/>
        </w:rPr>
      </w:pPr>
    </w:p>
    <w:p>
      <w:pPr>
        <w:ind w:left="200" w:right="180" w:firstLine="551"/>
        <w:spacing w:after="0" w:line="276" w:lineRule="auto"/>
        <w:rPr>
          <w:sz w:val="20"/>
          <w:szCs w:val="20"/>
          <w:color w:val="auto"/>
        </w:rPr>
      </w:pPr>
      <w:r>
        <w:rPr>
          <w:rFonts w:ascii="Arial" w:cs="Arial" w:eastAsia="Arial" w:hAnsi="Arial"/>
          <w:sz w:val="17"/>
          <w:szCs w:val="17"/>
          <w:color w:val="auto"/>
        </w:rPr>
        <w:t>If nalbuphine ER is approved for the treatment of levodopa-induced dyskinesia, or LID, in patients with Parkinson’s disease, we expect that it would compete with Gocovri, an extended release capsule formulation of amantadine marketed by Adamas Pharmaceuticals, and expect that it might also compete with other product candidates currently in development for the treatment of LID by companies including Lundbeck, Addex Therapeutics and IRLAB Therapeutics. In addition, it is possible that product candidates currently in development for the treatment of Parkinson’s disease by companies could, if approved, reduce the need for therapies to treat LID.</w:t>
      </w:r>
    </w:p>
    <w:p>
      <w:pPr>
        <w:spacing w:after="0" w:line="173" w:lineRule="exact"/>
        <w:rPr>
          <w:sz w:val="20"/>
          <w:szCs w:val="20"/>
          <w:color w:val="auto"/>
        </w:rPr>
      </w:pPr>
    </w:p>
    <w:p>
      <w:pPr>
        <w:ind w:left="200" w:right="40" w:firstLine="551"/>
        <w:spacing w:after="0" w:line="273" w:lineRule="auto"/>
        <w:rPr>
          <w:sz w:val="20"/>
          <w:szCs w:val="20"/>
          <w:color w:val="auto"/>
        </w:rPr>
      </w:pPr>
      <w:r>
        <w:rPr>
          <w:rFonts w:ascii="Arial" w:cs="Arial" w:eastAsia="Arial" w:hAnsi="Arial"/>
          <w:sz w:val="17"/>
          <w:szCs w:val="17"/>
          <w:color w:val="auto"/>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28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73" w:lineRule="exact"/>
        <w:rPr>
          <w:sz w:val="20"/>
          <w:szCs w:val="20"/>
          <w:color w:val="auto"/>
        </w:rPr>
      </w:pPr>
    </w:p>
    <w:p>
      <w:pPr>
        <w:ind w:left="200" w:right="20" w:firstLine="551"/>
        <w:spacing w:after="0" w:line="290" w:lineRule="auto"/>
        <w:rPr>
          <w:sz w:val="20"/>
          <w:szCs w:val="20"/>
          <w:color w:val="auto"/>
        </w:rPr>
      </w:pPr>
      <w:r>
        <w:rPr>
          <w:rFonts w:ascii="Arial" w:cs="Arial" w:eastAsia="Arial" w:hAnsi="Arial"/>
          <w:sz w:val="16"/>
          <w:szCs w:val="16"/>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66" w:lineRule="exact"/>
        <w:rPr>
          <w:sz w:val="20"/>
          <w:szCs w:val="20"/>
          <w:color w:val="auto"/>
        </w:rPr>
      </w:pPr>
    </w:p>
    <w:p>
      <w:pPr>
        <w:ind w:left="200" w:firstLine="551"/>
        <w:spacing w:after="0" w:line="270" w:lineRule="auto"/>
        <w:rPr>
          <w:sz w:val="20"/>
          <w:szCs w:val="20"/>
          <w:color w:val="auto"/>
        </w:rPr>
      </w:pPr>
      <w:r>
        <w:rPr>
          <w:rFonts w:ascii="Arial" w:cs="Arial" w:eastAsia="Arial" w:hAnsi="Arial"/>
          <w:sz w:val="17"/>
          <w:szCs w:val="17"/>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551"/>
        <w:spacing w:after="0" w:line="277" w:lineRule="auto"/>
        <w:rPr>
          <w:sz w:val="20"/>
          <w:szCs w:val="20"/>
          <w:color w:val="auto"/>
        </w:rPr>
      </w:pPr>
      <w:r>
        <w:rPr>
          <w:rFonts w:ascii="Arial" w:cs="Arial" w:eastAsia="Arial" w:hAnsi="Arial"/>
          <w:sz w:val="18"/>
          <w:szCs w:val="18"/>
          <w:color w:val="auto"/>
        </w:rPr>
        <w:t>Competition from generic versions of any products we develop could negatively impact our future revenue, profitability and cash flows and substantially limit our ability to obtain a return on our investments in those products.</w:t>
      </w:r>
    </w:p>
    <w:p>
      <w:pPr>
        <w:spacing w:after="0" w:line="279" w:lineRule="exact"/>
        <w:rPr>
          <w:sz w:val="20"/>
          <w:szCs w:val="20"/>
          <w:color w:val="auto"/>
        </w:rPr>
      </w:pPr>
    </w:p>
    <w:p>
      <w:pPr>
        <w:ind w:left="200" w:right="380"/>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38" w:lineRule="exact"/>
        <w:rPr>
          <w:sz w:val="20"/>
          <w:szCs w:val="20"/>
          <w:color w:val="auto"/>
        </w:rPr>
      </w:pPr>
    </w:p>
    <w:p>
      <w:pPr>
        <w:ind w:left="200" w:right="40" w:firstLine="551"/>
        <w:spacing w:after="0" w:line="253" w:lineRule="auto"/>
        <w:rPr>
          <w:sz w:val="20"/>
          <w:szCs w:val="20"/>
          <w:color w:val="auto"/>
        </w:rPr>
      </w:pPr>
      <w:r>
        <w:rPr>
          <w:rFonts w:ascii="Arial" w:cs="Arial" w:eastAsia="Arial" w:hAnsi="Arial"/>
          <w:sz w:val="18"/>
          <w:szCs w:val="18"/>
          <w:color w:val="auto"/>
        </w:rPr>
        <w:t>The commercial success of any product we develop will depend substantially, both in the United States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197" w:lineRule="exact"/>
        <w:rPr>
          <w:sz w:val="20"/>
          <w:szCs w:val="20"/>
          <w:color w:val="auto"/>
        </w:rPr>
      </w:pPr>
    </w:p>
    <w:p>
      <w:pPr>
        <w:ind w:left="200" w:right="40" w:firstLine="551"/>
        <w:spacing w:after="0" w:line="254"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192" w:lineRule="exact"/>
        <w:rPr>
          <w:sz w:val="20"/>
          <w:szCs w:val="20"/>
          <w:color w:val="auto"/>
        </w:rPr>
      </w:pPr>
    </w:p>
    <w:p>
      <w:pPr>
        <w:ind w:left="200" w:right="160" w:firstLine="551"/>
        <w:spacing w:after="0" w:line="270" w:lineRule="auto"/>
        <w:rPr>
          <w:sz w:val="20"/>
          <w:szCs w:val="20"/>
          <w:color w:val="auto"/>
        </w:rPr>
      </w:pPr>
      <w:r>
        <w:rPr>
          <w:rFonts w:ascii="Arial" w:cs="Arial" w:eastAsia="Arial" w:hAnsi="Arial"/>
          <w:sz w:val="17"/>
          <w:szCs w:val="17"/>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78" w:lineRule="exact"/>
        <w:rPr>
          <w:sz w:val="20"/>
          <w:szCs w:val="20"/>
          <w:color w:val="auto"/>
        </w:rPr>
      </w:pPr>
    </w:p>
    <w:p>
      <w:pPr>
        <w:ind w:left="200" w:right="100" w:firstLine="551"/>
        <w:spacing w:after="0" w:line="257" w:lineRule="auto"/>
        <w:rPr>
          <w:sz w:val="20"/>
          <w:szCs w:val="20"/>
          <w:color w:val="auto"/>
        </w:rPr>
      </w:pPr>
      <w:r>
        <w:rPr>
          <w:rFonts w:ascii="Arial" w:cs="Arial" w:eastAsia="Arial" w:hAnsi="Arial"/>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188" w:lineRule="exact"/>
        <w:rPr>
          <w:sz w:val="20"/>
          <w:szCs w:val="20"/>
          <w:color w:val="auto"/>
        </w:rPr>
      </w:pPr>
    </w:p>
    <w:p>
      <w:pPr>
        <w:ind w:left="200" w:right="100" w:firstLine="551"/>
        <w:spacing w:after="0" w:line="297"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58" w:lineRule="exact"/>
        <w:rPr>
          <w:sz w:val="20"/>
          <w:szCs w:val="20"/>
          <w:color w:val="auto"/>
        </w:rPr>
      </w:pPr>
    </w:p>
    <w:p>
      <w:pPr>
        <w:ind w:left="200" w:firstLine="551"/>
        <w:spacing w:after="0" w:line="255"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62" w:lineRule="exact"/>
        <w:rPr>
          <w:sz w:val="20"/>
          <w:szCs w:val="20"/>
          <w:color w:val="auto"/>
        </w:rPr>
      </w:pPr>
    </w:p>
    <w:p>
      <w:pPr>
        <w:ind w:left="200" w:firstLine="551"/>
        <w:spacing w:after="0" w:line="272" w:lineRule="auto"/>
        <w:rPr>
          <w:sz w:val="20"/>
          <w:szCs w:val="20"/>
          <w:color w:val="auto"/>
        </w:rPr>
      </w:pPr>
      <w:r>
        <w:rPr>
          <w:rFonts w:ascii="Arial" w:cs="Arial" w:eastAsia="Arial" w:hAnsi="Arial"/>
          <w:sz w:val="17"/>
          <w:szCs w:val="17"/>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61" w:lineRule="exact"/>
        <w:rPr>
          <w:sz w:val="20"/>
          <w:szCs w:val="20"/>
          <w:color w:val="auto"/>
        </w:rPr>
      </w:pPr>
    </w:p>
    <w:p>
      <w:pPr>
        <w:ind w:left="1180" w:hanging="436"/>
        <w:spacing w:after="0"/>
        <w:tabs>
          <w:tab w:leader="none" w:pos="11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decreased demand for any products that we may develop or in-license;</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injury to our reputation and significant negative media attention;</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withdrawal of clinical trial participants;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significant costs to defend resulting litigation;</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substantial monetary awards to trial participants or patients;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loss of revenue;</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reduced resources of our management to pursue our business strategy; and</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inability to commercialize any products that we may develop.</w:t>
      </w:r>
    </w:p>
    <w:p>
      <w:pPr>
        <w:spacing w:after="0" w:line="229" w:lineRule="exact"/>
        <w:rPr>
          <w:sz w:val="20"/>
          <w:szCs w:val="20"/>
          <w:color w:val="auto"/>
        </w:rPr>
      </w:pPr>
    </w:p>
    <w:p>
      <w:pPr>
        <w:ind w:left="200" w:right="60" w:firstLine="551"/>
        <w:spacing w:after="0" w:line="273" w:lineRule="auto"/>
        <w:rPr>
          <w:sz w:val="20"/>
          <w:szCs w:val="20"/>
          <w:color w:val="auto"/>
        </w:rPr>
      </w:pPr>
      <w:r>
        <w:rPr>
          <w:rFonts w:ascii="Arial" w:cs="Arial" w:eastAsia="Arial" w:hAnsi="Arial"/>
          <w:sz w:val="17"/>
          <w:szCs w:val="17"/>
          <w:color w:val="auto"/>
        </w:rPr>
        <w:t>Although we maintain product and clinical trial liability insurance of up to $5.0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nalbuphine ER or any future product candidate could be prevented or inhibited, which could harm our business, financial condition, results of operations and prospects.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rely on third parties to conduct our clinical trials. If they do not perform satisfactorily, our business could be harmed.</w:t>
      </w:r>
    </w:p>
    <w:p>
      <w:pPr>
        <w:spacing w:after="0" w:line="117" w:lineRule="exact"/>
        <w:rPr>
          <w:sz w:val="20"/>
          <w:szCs w:val="20"/>
          <w:color w:val="auto"/>
        </w:rPr>
      </w:pPr>
    </w:p>
    <w:p>
      <w:pPr>
        <w:ind w:left="200" w:right="40" w:firstLine="551"/>
        <w:spacing w:after="0" w:line="273" w:lineRule="auto"/>
        <w:rPr>
          <w:sz w:val="20"/>
          <w:szCs w:val="20"/>
          <w:color w:val="auto"/>
        </w:rPr>
      </w:pPr>
      <w:r>
        <w:rPr>
          <w:rFonts w:ascii="Arial" w:cs="Arial" w:eastAsia="Arial" w:hAnsi="Arial"/>
          <w:sz w:val="17"/>
          <w:szCs w:val="17"/>
          <w:color w:val="auto"/>
        </w:rPr>
        <w:t>We do not independently conduct clinical trials of our product candidate. We rely, and expect to continue to rely, on third parties, such as clinical research organizations, or CROs, clinical data management organizations, medical institutions and clinical investigators, to conduct our clinical trials of nalbuphine ER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178" w:lineRule="exact"/>
        <w:rPr>
          <w:sz w:val="20"/>
          <w:szCs w:val="20"/>
          <w:color w:val="auto"/>
        </w:rPr>
      </w:pPr>
    </w:p>
    <w:p>
      <w:pPr>
        <w:ind w:left="200" w:firstLine="551"/>
        <w:spacing w:after="0" w:line="269" w:lineRule="auto"/>
        <w:rPr>
          <w:sz w:val="20"/>
          <w:szCs w:val="20"/>
          <w:color w:val="auto"/>
        </w:rPr>
      </w:pPr>
      <w:r>
        <w:rPr>
          <w:rFonts w:ascii="Arial" w:cs="Arial" w:eastAsia="Arial" w:hAnsi="Arial"/>
          <w:sz w:val="17"/>
          <w:szCs w:val="17"/>
          <w:color w:val="auto"/>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551"/>
        <w:spacing w:after="0" w:line="270"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nalbuphine ER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286"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b w:val="1"/>
          <w:bCs w:val="1"/>
          <w:i w:val="1"/>
          <w:iCs w:val="1"/>
          <w:color w:val="auto"/>
        </w:rPr>
        <w:t>We contract with third parties for the manufacture, storage, packaging and distribution of nalbuphine ER for clinical trials, including a single supplier for the active ingredient, and expect to continue to rely on third parties for these services in connection with our future development and commercialization efforts for nalbuphine ER and any future product candidates.</w:t>
      </w:r>
    </w:p>
    <w:p>
      <w:pPr>
        <w:spacing w:after="0" w:line="73" w:lineRule="exact"/>
        <w:rPr>
          <w:sz w:val="20"/>
          <w:szCs w:val="20"/>
          <w:color w:val="auto"/>
        </w:rPr>
      </w:pPr>
    </w:p>
    <w:p>
      <w:pPr>
        <w:ind w:left="200" w:firstLine="551"/>
        <w:spacing w:after="0" w:line="255" w:lineRule="auto"/>
        <w:rPr>
          <w:sz w:val="20"/>
          <w:szCs w:val="20"/>
          <w:color w:val="auto"/>
        </w:rPr>
      </w:pPr>
      <w:r>
        <w:rPr>
          <w:rFonts w:ascii="Arial" w:cs="Arial" w:eastAsia="Arial" w:hAnsi="Arial"/>
          <w:sz w:val="18"/>
          <w:szCs w:val="18"/>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95" w:lineRule="exact"/>
        <w:rPr>
          <w:sz w:val="20"/>
          <w:szCs w:val="20"/>
          <w:color w:val="auto"/>
        </w:rPr>
      </w:pPr>
    </w:p>
    <w:p>
      <w:pPr>
        <w:ind w:left="1180" w:right="260" w:hanging="436"/>
        <w:spacing w:after="0" w:line="238" w:lineRule="auto"/>
        <w:tabs>
          <w:tab w:leader="none" w:pos="1180" w:val="left"/>
        </w:tabs>
        <w:numPr>
          <w:ilvl w:val="0"/>
          <w:numId w:val="30"/>
        </w:numPr>
        <w:rPr>
          <w:rFonts w:ascii="Arial" w:cs="Arial" w:eastAsia="Arial" w:hAnsi="Arial"/>
          <w:sz w:val="22"/>
          <w:szCs w:val="22"/>
          <w:color w:val="auto"/>
        </w:rPr>
      </w:pPr>
      <w:r>
        <w:rPr>
          <w:rFonts w:ascii="Arial" w:cs="Arial" w:eastAsia="Arial" w:hAnsi="Arial"/>
          <w:sz w:val="18"/>
          <w:szCs w:val="18"/>
          <w:color w:val="auto"/>
        </w:rPr>
        <w:t>manufacturing delays if our third-party contractors prioritize the supply of other companies’ products over nalbuphine ER or any future product candidates or otherwise fail to satisfactorily perform according to the terms of the agreements between us and them, or if unforeseen events in the manufacturing process arise;</w:t>
      </w:r>
    </w:p>
    <w:p>
      <w:pPr>
        <w:spacing w:after="0" w:line="97" w:lineRule="exact"/>
        <w:rPr>
          <w:rFonts w:ascii="Arial" w:cs="Arial" w:eastAsia="Arial" w:hAnsi="Arial"/>
          <w:sz w:val="22"/>
          <w:szCs w:val="22"/>
          <w:color w:val="auto"/>
        </w:rPr>
      </w:pPr>
    </w:p>
    <w:p>
      <w:pPr>
        <w:ind w:left="1180" w:hanging="436"/>
        <w:spacing w:after="0"/>
        <w:tabs>
          <w:tab w:leader="none" w:pos="1180"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possible termination or nonrenewal of agreements by our third-party contractors at a time that is costly or inconvenient for us;</w:t>
      </w:r>
    </w:p>
    <w:p>
      <w:pPr>
        <w:spacing w:after="0" w:line="111" w:lineRule="exact"/>
        <w:rPr>
          <w:rFonts w:ascii="Arial" w:cs="Arial" w:eastAsia="Arial" w:hAnsi="Arial"/>
          <w:sz w:val="21"/>
          <w:szCs w:val="21"/>
          <w:color w:val="auto"/>
        </w:rPr>
      </w:pPr>
    </w:p>
    <w:p>
      <w:pPr>
        <w:ind w:left="1180" w:hanging="436"/>
        <w:spacing w:after="0"/>
        <w:tabs>
          <w:tab w:leader="none" w:pos="118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possible breach by third-party contractors of our agreements with them;</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failure of third-party contractors to comply with applicable regulatory requirements;</w:t>
      </w:r>
    </w:p>
    <w:p>
      <w:pPr>
        <w:spacing w:after="0" w:line="134" w:lineRule="exact"/>
        <w:rPr>
          <w:rFonts w:ascii="Arial" w:cs="Arial" w:eastAsia="Arial" w:hAnsi="Arial"/>
          <w:sz w:val="22"/>
          <w:szCs w:val="22"/>
          <w:color w:val="auto"/>
        </w:rPr>
      </w:pPr>
    </w:p>
    <w:p>
      <w:pPr>
        <w:ind w:left="1180" w:right="140" w:hanging="436"/>
        <w:spacing w:after="0" w:line="232" w:lineRule="auto"/>
        <w:tabs>
          <w:tab w:leader="none" w:pos="118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09" w:lineRule="exact"/>
        <w:rPr>
          <w:rFonts w:ascii="Arial" w:cs="Arial" w:eastAsia="Arial" w:hAnsi="Arial"/>
          <w:sz w:val="22"/>
          <w:szCs w:val="22"/>
          <w:color w:val="auto"/>
        </w:rPr>
      </w:pPr>
    </w:p>
    <w:p>
      <w:pPr>
        <w:ind w:left="1180" w:right="60" w:hanging="436"/>
        <w:spacing w:after="0" w:line="232" w:lineRule="auto"/>
        <w:tabs>
          <w:tab w:leader="none" w:pos="118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86" w:lineRule="exact"/>
        <w:rPr>
          <w:rFonts w:ascii="Arial" w:cs="Arial" w:eastAsia="Arial" w:hAnsi="Arial"/>
          <w:sz w:val="22"/>
          <w:szCs w:val="22"/>
          <w:color w:val="auto"/>
        </w:rPr>
      </w:pPr>
    </w:p>
    <w:p>
      <w:pPr>
        <w:ind w:left="1180" w:hanging="436"/>
        <w:spacing w:after="0"/>
        <w:tabs>
          <w:tab w:leader="none" w:pos="118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possible misappropriation of our proprietary information, including our trade secrets and know-how.</w:t>
      </w:r>
    </w:p>
    <w:p>
      <w:pPr>
        <w:spacing w:after="0" w:line="229" w:lineRule="exact"/>
        <w:rPr>
          <w:sz w:val="20"/>
          <w:szCs w:val="20"/>
          <w:color w:val="auto"/>
        </w:rPr>
      </w:pPr>
    </w:p>
    <w:p>
      <w:pPr>
        <w:ind w:left="200" w:firstLine="551"/>
        <w:spacing w:after="0" w:line="276" w:lineRule="auto"/>
        <w:rPr>
          <w:sz w:val="20"/>
          <w:szCs w:val="20"/>
          <w:color w:val="auto"/>
        </w:rPr>
      </w:pPr>
      <w:r>
        <w:rPr>
          <w:rFonts w:ascii="Arial" w:cs="Arial" w:eastAsia="Arial" w:hAnsi="Arial"/>
          <w:sz w:val="17"/>
          <w:szCs w:val="17"/>
          <w:color w:val="auto"/>
        </w:rPr>
        <w:t>We do not have long-term supply agreements with any of our contract manufacturers. If any of our existing manufacturers should become unavailable to us for any reason, we may incur delays in identifying or qualifying replacements. Any performance failure on the part of our contract manufacturers or the other third-party contractors that we use to store and distribute drug substance and drug product could be disruptive to our operations and delay clinical development or marketing approval of nalbuphine ER or any future product candidates of ours or commercialization of any resulting products, producing additional losses and depriving us of potential product revenue.</w:t>
      </w:r>
    </w:p>
    <w:p>
      <w:pPr>
        <w:spacing w:after="0" w:line="173" w:lineRule="exact"/>
        <w:rPr>
          <w:sz w:val="20"/>
          <w:szCs w:val="20"/>
          <w:color w:val="auto"/>
        </w:rPr>
      </w:pPr>
    </w:p>
    <w:p>
      <w:pPr>
        <w:ind w:left="200" w:right="40" w:firstLine="551"/>
        <w:spacing w:after="0" w:line="293" w:lineRule="auto"/>
        <w:rPr>
          <w:sz w:val="20"/>
          <w:szCs w:val="20"/>
          <w:color w:val="auto"/>
        </w:rPr>
      </w:pPr>
      <w:r>
        <w:rPr>
          <w:rFonts w:ascii="Arial" w:cs="Arial" w:eastAsia="Arial" w:hAnsi="Arial"/>
          <w:sz w:val="16"/>
          <w:szCs w:val="16"/>
          <w:color w:val="auto"/>
        </w:rPr>
        <w:t>We also rely, and plan to continue to rely, on a single supplier, Mallinckrodt, for nalbuphine drug substance. We do not have agreements in place with Mallinckrodt that guarantee supply quantities or pricing. Any significant delay in acquisition, increase in cost or decrease in availability of nalbuphine drug substance could considerably delay the manufacture of nalbuphine ER, which could adversely impact the timing of our current and planned clinical trials and potential regulatory approval and commercialization of nalbuphine ER. Although we believe there are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165" w:lineRule="exact"/>
        <w:rPr>
          <w:sz w:val="20"/>
          <w:szCs w:val="20"/>
          <w:color w:val="auto"/>
        </w:rPr>
      </w:pPr>
    </w:p>
    <w:p>
      <w:pPr>
        <w:ind w:left="200" w:firstLine="551"/>
        <w:spacing w:after="0" w:line="257" w:lineRule="auto"/>
        <w:rPr>
          <w:sz w:val="20"/>
          <w:szCs w:val="20"/>
          <w:color w:val="auto"/>
        </w:rPr>
      </w:pPr>
      <w:r>
        <w:rPr>
          <w:rFonts w:ascii="Arial" w:cs="Arial" w:eastAsia="Arial" w:hAnsi="Arial"/>
          <w:sz w:val="18"/>
          <w:szCs w:val="18"/>
          <w:color w:val="auto"/>
        </w:rPr>
        <w:t>If nalbuphine ER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manufacture any such product. Consequently, we may not be able to reach agreement with third-party manufacturers on satisfactory terms, in a timely manner or at all, which could delay our commercialization efforts.</w:t>
      </w:r>
    </w:p>
    <w:p>
      <w:pPr>
        <w:sectPr>
          <w:pgSz w:w="11900" w:h="16838" w:orient="portrait"/>
          <w:cols w:equalWidth="0" w:num="1">
            <w:col w:w="11200"/>
          </w:cols>
          <w:pgMar w:left="240" w:top="459" w:right="459" w:bottom="1440" w:gutter="0" w:footer="0" w:header="0"/>
        </w:sectPr>
      </w:pP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00"/>
          </w:cols>
          <w:pgMar w:left="240" w:top="459" w:right="45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551"/>
        <w:spacing w:after="0" w:line="253" w:lineRule="auto"/>
        <w:rPr>
          <w:sz w:val="20"/>
          <w:szCs w:val="20"/>
          <w:color w:val="auto"/>
        </w:rPr>
      </w:pPr>
      <w:r>
        <w:rPr>
          <w:rFonts w:ascii="Arial" w:cs="Arial" w:eastAsia="Arial" w:hAnsi="Arial"/>
          <w:sz w:val="18"/>
          <w:szCs w:val="18"/>
          <w:color w:val="auto"/>
        </w:rPr>
        <w:t>Third-party manufacturers are required to comply with cGMPs and similar regulatory requirements outside the United States,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nalbuphine ER. We expect that we would be similarly dependent on third-party manufacturers of nalbuphine ER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195" w:lineRule="exact"/>
        <w:rPr>
          <w:sz w:val="20"/>
          <w:szCs w:val="20"/>
          <w:color w:val="auto"/>
        </w:rPr>
      </w:pPr>
    </w:p>
    <w:p>
      <w:pPr>
        <w:ind w:left="200" w:firstLine="551"/>
        <w:spacing w:after="0" w:line="293" w:lineRule="auto"/>
        <w:rPr>
          <w:sz w:val="20"/>
          <w:szCs w:val="20"/>
          <w:color w:val="auto"/>
        </w:rPr>
      </w:pPr>
      <w:r>
        <w:rPr>
          <w:rFonts w:ascii="Arial" w:cs="Arial" w:eastAsia="Arial" w:hAnsi="Arial"/>
          <w:sz w:val="16"/>
          <w:szCs w:val="16"/>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nalbuphine ER or any future product candidate and harm our business, financial condition and results of operations.</w:t>
      </w:r>
    </w:p>
    <w:p>
      <w:pPr>
        <w:spacing w:after="0" w:line="165" w:lineRule="exact"/>
        <w:rPr>
          <w:sz w:val="20"/>
          <w:szCs w:val="20"/>
          <w:color w:val="auto"/>
        </w:rPr>
      </w:pPr>
    </w:p>
    <w:p>
      <w:pPr>
        <w:ind w:left="200" w:right="100" w:firstLine="551"/>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nalbuphine ER or any future product candidate may harm our future profit margins and our ability to commercialize any products that receive marketing approval on a timely and competitive basis.</w:t>
      </w:r>
    </w:p>
    <w:p>
      <w:pPr>
        <w:spacing w:after="0" w:line="255"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left="200" w:right="40" w:firstLine="551"/>
        <w:spacing w:after="0" w:line="276" w:lineRule="auto"/>
        <w:rPr>
          <w:sz w:val="20"/>
          <w:szCs w:val="20"/>
          <w:color w:val="auto"/>
        </w:rPr>
      </w:pPr>
      <w:r>
        <w:rPr>
          <w:rFonts w:ascii="Arial" w:cs="Arial" w:eastAsia="Arial" w:hAnsi="Arial"/>
          <w:sz w:val="17"/>
          <w:szCs w:val="17"/>
          <w:color w:val="auto"/>
        </w:rPr>
        <w:t>While we have not entered into any collaborations to date, we may seek to establish one or more collaborations for the development and commercialization of nalbuphine ER or any future product candidate. Potential collaborators may include large and mid-size pharmaceutical companies, regional and national pharmaceutical companies, biotechnology companies and academic research institutions. In addition, if we are able to obtain marketing approval for any product candidates from foreign regulatory authorities, we intend to enter into strategic relationships with international biotechnology or pharmaceutical companies for the commercialization of those product candidates outside of the United States.</w:t>
      </w:r>
    </w:p>
    <w:p>
      <w:pPr>
        <w:spacing w:after="0" w:line="173" w:lineRule="exact"/>
        <w:rPr>
          <w:sz w:val="20"/>
          <w:szCs w:val="20"/>
          <w:color w:val="auto"/>
        </w:rPr>
      </w:pPr>
    </w:p>
    <w:p>
      <w:pPr>
        <w:ind w:left="200" w:firstLine="551"/>
        <w:spacing w:after="0" w:line="285" w:lineRule="auto"/>
        <w:rPr>
          <w:sz w:val="20"/>
          <w:szCs w:val="20"/>
          <w:color w:val="auto"/>
        </w:rPr>
      </w:pPr>
      <w:r>
        <w:rPr>
          <w:rFonts w:ascii="Arial" w:cs="Arial" w:eastAsia="Arial" w:hAnsi="Arial"/>
          <w:sz w:val="16"/>
          <w:szCs w:val="16"/>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8" w:lineRule="exact"/>
        <w:rPr>
          <w:sz w:val="20"/>
          <w:szCs w:val="20"/>
          <w:color w:val="auto"/>
        </w:rPr>
      </w:pPr>
    </w:p>
    <w:p>
      <w:pPr>
        <w:ind w:left="200" w:right="40" w:firstLine="551"/>
        <w:spacing w:after="0" w:line="277"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in this Quarterly Report on Form 10-Q would also apply to the activities of any such future collaborators.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b w:val="1"/>
          <w:bCs w:val="1"/>
          <w:i w:val="1"/>
          <w:iCs w:val="1"/>
          <w:color w:val="auto"/>
        </w:rPr>
        <w:t>If we enter into collaborations with third parties for the development or commercialization of nalbuphine ER or any future product candidate, our prospects with respect to those product candidates will depend in significant part on the success of those collaborations.</w:t>
      </w:r>
    </w:p>
    <w:p>
      <w:pPr>
        <w:spacing w:after="0" w:line="16" w:lineRule="exact"/>
        <w:rPr>
          <w:sz w:val="20"/>
          <w:szCs w:val="20"/>
          <w:color w:val="auto"/>
        </w:rPr>
      </w:pPr>
    </w:p>
    <w:p>
      <w:pPr>
        <w:ind w:left="200" w:right="20" w:firstLine="551"/>
        <w:spacing w:after="0" w:line="255" w:lineRule="auto"/>
        <w:rPr>
          <w:sz w:val="20"/>
          <w:szCs w:val="20"/>
          <w:color w:val="auto"/>
        </w:rPr>
      </w:pPr>
      <w:r>
        <w:rPr>
          <w:rFonts w:ascii="Arial" w:cs="Arial" w:eastAsia="Arial" w:hAnsi="Arial"/>
          <w:sz w:val="18"/>
          <w:szCs w:val="18"/>
          <w:color w:val="auto"/>
        </w:rPr>
        <w:t>We may seek to enter into collaborations with third parties for the development or commercialization of nalbuphine ER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Collaborations involving a product candidate would pose a number of risks, including the following:</w:t>
      </w:r>
    </w:p>
    <w:p>
      <w:pPr>
        <w:spacing w:after="0" w:line="108" w:lineRule="exact"/>
        <w:rPr>
          <w:sz w:val="20"/>
          <w:szCs w:val="20"/>
          <w:color w:val="auto"/>
        </w:rPr>
      </w:pPr>
    </w:p>
    <w:p>
      <w:pPr>
        <w:ind w:left="1180" w:hanging="436"/>
        <w:spacing w:after="0"/>
        <w:tabs>
          <w:tab w:leader="none" w:pos="11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collaborators may not perform their obligations as expected;</w:t>
      </w:r>
    </w:p>
    <w:p>
      <w:pPr>
        <w:spacing w:after="0" w:line="134" w:lineRule="exact"/>
        <w:rPr>
          <w:rFonts w:ascii="Arial" w:cs="Arial" w:eastAsia="Arial" w:hAnsi="Arial"/>
          <w:sz w:val="22"/>
          <w:szCs w:val="22"/>
          <w:color w:val="auto"/>
        </w:rPr>
      </w:pPr>
    </w:p>
    <w:p>
      <w:pPr>
        <w:ind w:left="1180" w:hanging="436"/>
        <w:spacing w:after="0" w:line="285" w:lineRule="auto"/>
        <w:tabs>
          <w:tab w:leader="none" w:pos="1180" w:val="left"/>
        </w:tabs>
        <w:numPr>
          <w:ilvl w:val="0"/>
          <w:numId w:val="31"/>
        </w:numPr>
        <w:rPr>
          <w:rFonts w:ascii="Arial" w:cs="Arial" w:eastAsia="Arial" w:hAnsi="Arial"/>
          <w:sz w:val="19"/>
          <w:szCs w:val="19"/>
          <w:color w:val="auto"/>
        </w:rPr>
      </w:pPr>
      <w:r>
        <w:rPr>
          <w:rFonts w:ascii="Arial" w:cs="Arial" w:eastAsia="Arial" w:hAnsi="Arial"/>
          <w:sz w:val="16"/>
          <w:szCs w:val="16"/>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73" w:lineRule="exact"/>
        <w:rPr>
          <w:rFonts w:ascii="Arial" w:cs="Arial" w:eastAsia="Arial" w:hAnsi="Arial"/>
          <w:sz w:val="19"/>
          <w:szCs w:val="19"/>
          <w:color w:val="auto"/>
        </w:rPr>
      </w:pPr>
    </w:p>
    <w:p>
      <w:pPr>
        <w:ind w:left="1180" w:right="900" w:hanging="436"/>
        <w:spacing w:after="0" w:line="232" w:lineRule="auto"/>
        <w:tabs>
          <w:tab w:leader="none" w:pos="11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collaborators may be involved in a business combination, and could decide to delay, diminish or terminate the development or commercialization of any product candidate licensed by us;</w:t>
      </w:r>
    </w:p>
    <w:p>
      <w:pPr>
        <w:spacing w:after="0" w:line="109" w:lineRule="exact"/>
        <w:rPr>
          <w:rFonts w:ascii="Arial" w:cs="Arial" w:eastAsia="Arial" w:hAnsi="Arial"/>
          <w:sz w:val="22"/>
          <w:szCs w:val="22"/>
          <w:color w:val="auto"/>
        </w:rPr>
      </w:pPr>
    </w:p>
    <w:p>
      <w:pPr>
        <w:ind w:left="1180" w:right="240" w:hanging="436"/>
        <w:spacing w:after="0" w:line="251" w:lineRule="auto"/>
        <w:tabs>
          <w:tab w:leader="none" w:pos="1180" w:val="left"/>
        </w:tabs>
        <w:numPr>
          <w:ilvl w:val="0"/>
          <w:numId w:val="31"/>
        </w:numPr>
        <w:rPr>
          <w:rFonts w:ascii="Arial" w:cs="Arial" w:eastAsia="Arial" w:hAnsi="Arial"/>
          <w:sz w:val="21"/>
          <w:szCs w:val="21"/>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96" w:lineRule="exact"/>
        <w:rPr>
          <w:rFonts w:ascii="Arial" w:cs="Arial" w:eastAsia="Arial" w:hAnsi="Arial"/>
          <w:sz w:val="21"/>
          <w:szCs w:val="21"/>
          <w:color w:val="auto"/>
        </w:rPr>
      </w:pPr>
    </w:p>
    <w:p>
      <w:pPr>
        <w:ind w:left="1180" w:right="360" w:hanging="436"/>
        <w:spacing w:after="0" w:line="232" w:lineRule="auto"/>
        <w:tabs>
          <w:tab w:leader="none" w:pos="11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collaborators could independently develop, or develop with third parties, products that compete directly or indirectly with the product candidates under the collaboration;</w:t>
      </w:r>
    </w:p>
    <w:p>
      <w:pPr>
        <w:spacing w:after="0" w:line="109" w:lineRule="exact"/>
        <w:rPr>
          <w:rFonts w:ascii="Arial" w:cs="Arial" w:eastAsia="Arial" w:hAnsi="Arial"/>
          <w:sz w:val="22"/>
          <w:szCs w:val="22"/>
          <w:color w:val="auto"/>
        </w:rPr>
      </w:pPr>
    </w:p>
    <w:p>
      <w:pPr>
        <w:ind w:left="1180" w:right="300" w:hanging="436"/>
        <w:spacing w:after="0" w:line="232" w:lineRule="auto"/>
        <w:tabs>
          <w:tab w:leader="none" w:pos="11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109" w:lineRule="exact"/>
        <w:rPr>
          <w:rFonts w:ascii="Arial" w:cs="Arial" w:eastAsia="Arial" w:hAnsi="Arial"/>
          <w:sz w:val="22"/>
          <w:szCs w:val="22"/>
          <w:color w:val="auto"/>
        </w:rPr>
      </w:pPr>
    </w:p>
    <w:p>
      <w:pPr>
        <w:ind w:left="1180" w:right="20" w:hanging="436"/>
        <w:spacing w:after="0" w:line="241" w:lineRule="auto"/>
        <w:tabs>
          <w:tab w:leader="none" w:pos="11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08" w:lineRule="exact"/>
        <w:rPr>
          <w:rFonts w:ascii="Arial" w:cs="Arial" w:eastAsia="Arial" w:hAnsi="Arial"/>
          <w:sz w:val="22"/>
          <w:szCs w:val="22"/>
          <w:color w:val="auto"/>
        </w:rPr>
      </w:pPr>
    </w:p>
    <w:p>
      <w:pPr>
        <w:ind w:left="1180" w:right="40" w:hanging="436"/>
        <w:spacing w:after="0" w:line="238" w:lineRule="auto"/>
        <w:tabs>
          <w:tab w:leader="none" w:pos="11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08" w:lineRule="exact"/>
        <w:rPr>
          <w:rFonts w:ascii="Arial" w:cs="Arial" w:eastAsia="Arial" w:hAnsi="Arial"/>
          <w:sz w:val="22"/>
          <w:szCs w:val="22"/>
          <w:color w:val="auto"/>
        </w:rPr>
      </w:pPr>
    </w:p>
    <w:p>
      <w:pPr>
        <w:ind w:left="1180" w:right="420" w:hanging="436"/>
        <w:spacing w:after="0" w:line="232" w:lineRule="auto"/>
        <w:tabs>
          <w:tab w:leader="none" w:pos="11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109" w:lineRule="exact"/>
        <w:rPr>
          <w:rFonts w:ascii="Arial" w:cs="Arial" w:eastAsia="Arial" w:hAnsi="Arial"/>
          <w:sz w:val="22"/>
          <w:szCs w:val="22"/>
          <w:color w:val="auto"/>
        </w:rPr>
      </w:pPr>
    </w:p>
    <w:p>
      <w:pPr>
        <w:ind w:left="1180" w:right="920" w:hanging="436"/>
        <w:spacing w:after="0" w:line="232" w:lineRule="auto"/>
        <w:tabs>
          <w:tab w:leader="none" w:pos="11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collaborators may engage in misconduct or other improper activities, including non-compliance with regulatory standards and requirements;</w:t>
      </w:r>
    </w:p>
    <w:p>
      <w:pPr>
        <w:spacing w:after="0" w:line="109" w:lineRule="exact"/>
        <w:rPr>
          <w:rFonts w:ascii="Arial" w:cs="Arial" w:eastAsia="Arial" w:hAnsi="Arial"/>
          <w:sz w:val="22"/>
          <w:szCs w:val="22"/>
          <w:color w:val="auto"/>
        </w:rPr>
      </w:pPr>
    </w:p>
    <w:p>
      <w:pPr>
        <w:ind w:left="1180" w:right="320" w:hanging="436"/>
        <w:spacing w:after="0" w:line="232" w:lineRule="auto"/>
        <w:tabs>
          <w:tab w:leader="none" w:pos="11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disputes may arise between the collaborators and us regarding ownership of or other rights in the intellectual property generated in the course of the collaborations; and</w:t>
      </w:r>
    </w:p>
    <w:p>
      <w:pPr>
        <w:spacing w:after="0" w:line="109" w:lineRule="exact"/>
        <w:rPr>
          <w:rFonts w:ascii="Arial" w:cs="Arial" w:eastAsia="Arial" w:hAnsi="Arial"/>
          <w:sz w:val="22"/>
          <w:szCs w:val="22"/>
          <w:color w:val="auto"/>
        </w:rPr>
      </w:pPr>
    </w:p>
    <w:p>
      <w:pPr>
        <w:ind w:left="1180" w:right="760" w:hanging="436"/>
        <w:spacing w:after="0" w:line="232" w:lineRule="auto"/>
        <w:tabs>
          <w:tab w:leader="none" w:pos="1180" w:val="left"/>
        </w:tabs>
        <w:numPr>
          <w:ilvl w:val="0"/>
          <w:numId w:val="31"/>
        </w:numPr>
        <w:rPr>
          <w:rFonts w:ascii="Arial" w:cs="Arial" w:eastAsia="Arial" w:hAnsi="Arial"/>
          <w:sz w:val="22"/>
          <w:szCs w:val="22"/>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204" w:lineRule="exact"/>
        <w:rPr>
          <w:sz w:val="20"/>
          <w:szCs w:val="20"/>
          <w:color w:val="auto"/>
        </w:rPr>
      </w:pPr>
    </w:p>
    <w:p>
      <w:pPr>
        <w:jc w:val="center"/>
        <w:ind w:left="460" w:right="540"/>
        <w:spacing w:after="0" w:line="449"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48</w:t>
      </w:r>
    </w:p>
    <w:p>
      <w:pPr>
        <w:sectPr>
          <w:pgSz w:w="11900" w:h="16838" w:orient="portrait"/>
          <w:cols w:equalWidth="0" w:num="1">
            <w:col w:w="11160"/>
          </w:cols>
          <w:pgMar w:left="24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62" w:lineRule="exact"/>
        <w:rPr>
          <w:sz w:val="20"/>
          <w:szCs w:val="20"/>
          <w:color w:val="auto"/>
        </w:rPr>
      </w:pPr>
    </w:p>
    <w:p>
      <w:pPr>
        <w:ind w:left="200" w:right="20" w:firstLine="551"/>
        <w:spacing w:after="0" w:line="291" w:lineRule="auto"/>
        <w:rPr>
          <w:sz w:val="20"/>
          <w:szCs w:val="20"/>
          <w:color w:val="auto"/>
        </w:rPr>
      </w:pPr>
      <w:r>
        <w:rPr>
          <w:rFonts w:ascii="Arial" w:cs="Arial" w:eastAsia="Arial" w:hAnsi="Arial"/>
          <w:sz w:val="16"/>
          <w:szCs w:val="16"/>
          <w:color w:val="auto"/>
        </w:rPr>
        <w:t>We are party to an exclusive license agreement with Endo Pharmaceuticals Inc. under which we have licensed certain patent rights and know-how to develop and commercialize products incorporating nalbuphine hydrochloride in any formulation, including an extended release formulation such as nalbuphine ER. We are also party to an exclusive license agreement with Rutgers University under which we have licensed certain patent rights and know-how to develop and commercialize products incorporating nalbuphine for any human or animal use.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167" w:lineRule="exact"/>
        <w:rPr>
          <w:sz w:val="20"/>
          <w:szCs w:val="20"/>
          <w:color w:val="auto"/>
        </w:rPr>
      </w:pPr>
    </w:p>
    <w:p>
      <w:pPr>
        <w:ind w:left="200" w:firstLine="551"/>
        <w:spacing w:after="0" w:line="276" w:lineRule="auto"/>
        <w:rPr>
          <w:sz w:val="20"/>
          <w:szCs w:val="20"/>
          <w:color w:val="auto"/>
        </w:rPr>
      </w:pPr>
      <w:r>
        <w:rPr>
          <w:rFonts w:ascii="Arial" w:cs="Arial" w:eastAsia="Arial" w:hAnsi="Arial"/>
          <w:sz w:val="17"/>
          <w:szCs w:val="17"/>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such event could have a material adverse impact on our business.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Disputes may also arise regarding intellectual property subject to a license agreement, including:</w:t>
      </w:r>
    </w:p>
    <w:p>
      <w:pPr>
        <w:spacing w:after="0" w:line="108" w:lineRule="exact"/>
        <w:rPr>
          <w:sz w:val="20"/>
          <w:szCs w:val="20"/>
          <w:color w:val="auto"/>
        </w:rPr>
      </w:pPr>
    </w:p>
    <w:p>
      <w:pPr>
        <w:ind w:left="1180" w:hanging="436"/>
        <w:spacing w:after="0"/>
        <w:tabs>
          <w:tab w:leader="none" w:pos="1180" w:val="left"/>
        </w:tabs>
        <w:numPr>
          <w:ilvl w:val="0"/>
          <w:numId w:val="32"/>
        </w:numPr>
        <w:rPr>
          <w:rFonts w:ascii="Arial" w:cs="Arial" w:eastAsia="Arial" w:hAnsi="Arial"/>
          <w:sz w:val="22"/>
          <w:szCs w:val="22"/>
          <w:color w:val="auto"/>
        </w:rPr>
      </w:pPr>
      <w:r>
        <w:rPr>
          <w:rFonts w:ascii="Arial" w:cs="Arial" w:eastAsia="Arial" w:hAnsi="Arial"/>
          <w:sz w:val="18"/>
          <w:szCs w:val="18"/>
          <w:color w:val="auto"/>
        </w:rPr>
        <w:t>the scope of rights granted under the license agreement and other interpretation-related issues;</w:t>
      </w:r>
    </w:p>
    <w:p>
      <w:pPr>
        <w:spacing w:after="0" w:line="134" w:lineRule="exact"/>
        <w:rPr>
          <w:rFonts w:ascii="Arial" w:cs="Arial" w:eastAsia="Arial" w:hAnsi="Arial"/>
          <w:sz w:val="22"/>
          <w:szCs w:val="22"/>
          <w:color w:val="auto"/>
        </w:rPr>
      </w:pPr>
    </w:p>
    <w:p>
      <w:pPr>
        <w:ind w:left="1180" w:right="520" w:hanging="436"/>
        <w:spacing w:after="0" w:line="232" w:lineRule="auto"/>
        <w:tabs>
          <w:tab w:leader="none" w:pos="1180" w:val="left"/>
        </w:tabs>
        <w:numPr>
          <w:ilvl w:val="0"/>
          <w:numId w:val="32"/>
        </w:numPr>
        <w:rPr>
          <w:rFonts w:ascii="Arial" w:cs="Arial" w:eastAsia="Arial" w:hAnsi="Arial"/>
          <w:sz w:val="22"/>
          <w:szCs w:val="22"/>
          <w:color w:val="auto"/>
        </w:rPr>
      </w:pPr>
      <w:r>
        <w:rPr>
          <w:rFonts w:ascii="Arial" w:cs="Arial" w:eastAsia="Arial" w:hAnsi="Arial"/>
          <w:sz w:val="18"/>
          <w:szCs w:val="18"/>
          <w:color w:val="auto"/>
        </w:rPr>
        <w:t>the extent to which our activities or product candidates may infringe the intellectual property of the licensor that is not subject to the licensing agreement;</w:t>
      </w:r>
    </w:p>
    <w:p>
      <w:pPr>
        <w:spacing w:after="0" w:line="86" w:lineRule="exact"/>
        <w:rPr>
          <w:rFonts w:ascii="Arial" w:cs="Arial" w:eastAsia="Arial" w:hAnsi="Arial"/>
          <w:sz w:val="22"/>
          <w:szCs w:val="22"/>
          <w:color w:val="auto"/>
        </w:rPr>
      </w:pPr>
    </w:p>
    <w:p>
      <w:pPr>
        <w:ind w:left="1180" w:hanging="436"/>
        <w:spacing w:after="0"/>
        <w:tabs>
          <w:tab w:leader="none" w:pos="1180" w:val="left"/>
        </w:tabs>
        <w:numPr>
          <w:ilvl w:val="0"/>
          <w:numId w:val="32"/>
        </w:numPr>
        <w:rPr>
          <w:rFonts w:ascii="Arial" w:cs="Arial" w:eastAsia="Arial" w:hAnsi="Arial"/>
          <w:sz w:val="22"/>
          <w:szCs w:val="22"/>
          <w:color w:val="auto"/>
        </w:rPr>
      </w:pPr>
      <w:r>
        <w:rPr>
          <w:rFonts w:ascii="Arial" w:cs="Arial" w:eastAsia="Arial" w:hAnsi="Arial"/>
          <w:sz w:val="18"/>
          <w:szCs w:val="18"/>
          <w:color w:val="auto"/>
        </w:rPr>
        <w:t>the sublicensing of patent and other rights under any collaborative development relationships;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2"/>
        </w:numPr>
        <w:rPr>
          <w:rFonts w:ascii="Arial" w:cs="Arial" w:eastAsia="Arial" w:hAnsi="Arial"/>
          <w:sz w:val="22"/>
          <w:szCs w:val="22"/>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4" w:lineRule="exact"/>
        <w:rPr>
          <w:rFonts w:ascii="Arial" w:cs="Arial" w:eastAsia="Arial" w:hAnsi="Arial"/>
          <w:sz w:val="22"/>
          <w:szCs w:val="22"/>
          <w:color w:val="auto"/>
        </w:rPr>
      </w:pPr>
    </w:p>
    <w:p>
      <w:pPr>
        <w:ind w:left="1180" w:right="60" w:hanging="436"/>
        <w:spacing w:after="0" w:line="232" w:lineRule="auto"/>
        <w:tabs>
          <w:tab w:leader="none" w:pos="1180" w:val="left"/>
        </w:tabs>
        <w:numPr>
          <w:ilvl w:val="0"/>
          <w:numId w:val="32"/>
        </w:numPr>
        <w:rPr>
          <w:rFonts w:ascii="Arial" w:cs="Arial" w:eastAsia="Arial" w:hAnsi="Arial"/>
          <w:sz w:val="22"/>
          <w:szCs w:val="22"/>
          <w:color w:val="auto"/>
        </w:rPr>
      </w:pPr>
      <w:r>
        <w:rPr>
          <w:rFonts w:ascii="Arial" w:cs="Arial" w:eastAsia="Arial" w:hAnsi="Arial"/>
          <w:sz w:val="18"/>
          <w:szCs w:val="18"/>
          <w:color w:val="auto"/>
        </w:rPr>
        <w:t>the inventorship or ownership of inventions and know-how resulting from joint creation or use of intellectual property by licensors and us; and</w:t>
      </w:r>
    </w:p>
    <w:p>
      <w:pPr>
        <w:spacing w:after="0" w:line="86" w:lineRule="exact"/>
        <w:rPr>
          <w:rFonts w:ascii="Arial" w:cs="Arial" w:eastAsia="Arial" w:hAnsi="Arial"/>
          <w:sz w:val="22"/>
          <w:szCs w:val="22"/>
          <w:color w:val="auto"/>
        </w:rPr>
      </w:pPr>
    </w:p>
    <w:p>
      <w:pPr>
        <w:ind w:left="1180" w:hanging="436"/>
        <w:spacing w:after="0"/>
        <w:tabs>
          <w:tab w:leader="none" w:pos="1180" w:val="left"/>
        </w:tabs>
        <w:numPr>
          <w:ilvl w:val="0"/>
          <w:numId w:val="32"/>
        </w:numPr>
        <w:rPr>
          <w:rFonts w:ascii="Arial" w:cs="Arial" w:eastAsia="Arial" w:hAnsi="Arial"/>
          <w:sz w:val="22"/>
          <w:szCs w:val="22"/>
          <w:color w:val="auto"/>
        </w:rPr>
      </w:pPr>
      <w:r>
        <w:rPr>
          <w:rFonts w:ascii="Arial" w:cs="Arial" w:eastAsia="Arial" w:hAnsi="Arial"/>
          <w:sz w:val="18"/>
          <w:szCs w:val="18"/>
          <w:color w:val="auto"/>
        </w:rPr>
        <w:t>the priority of invention of any patented technology.</w:t>
      </w:r>
    </w:p>
    <w:p>
      <w:pPr>
        <w:spacing w:after="0" w:line="229" w:lineRule="exact"/>
        <w:rPr>
          <w:sz w:val="20"/>
          <w:szCs w:val="20"/>
          <w:color w:val="auto"/>
        </w:rPr>
      </w:pPr>
    </w:p>
    <w:p>
      <w:pPr>
        <w:ind w:left="200" w:right="140" w:firstLine="551"/>
        <w:spacing w:after="0" w:line="277" w:lineRule="auto"/>
        <w:rPr>
          <w:sz w:val="20"/>
          <w:szCs w:val="20"/>
          <w:color w:val="auto"/>
        </w:rPr>
      </w:pPr>
      <w:r>
        <w:rPr>
          <w:rFonts w:ascii="Arial" w:cs="Arial" w:eastAsia="Arial" w:hAnsi="Arial"/>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279"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b w:val="1"/>
          <w:bCs w:val="1"/>
          <w:i w:val="1"/>
          <w:iCs w:val="1"/>
          <w:color w:val="auto"/>
        </w:rPr>
        <w:t>If we are unable to obtain and maintain sufficient patent protection for nalbuphine ER or any future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57" w:lineRule="exact"/>
        <w:rPr>
          <w:sz w:val="20"/>
          <w:szCs w:val="20"/>
          <w:color w:val="auto"/>
        </w:rPr>
      </w:pPr>
    </w:p>
    <w:p>
      <w:pPr>
        <w:ind w:left="200" w:right="120" w:firstLine="551"/>
        <w:spacing w:after="0" w:line="293"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nalbuphine ER and any future product candidates.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United States and other countries related to methods of use and formulations of nalbuphine ER. The patent application and approval process is expensive and time-consuming. We may not be able to file and prosecute all necessary or desirable patent applications at a reasonable cost, in a timely manner or at all.</w:t>
      </w:r>
    </w:p>
    <w:p>
      <w:pPr>
        <w:spacing w:after="0" w:line="165" w:lineRule="exact"/>
        <w:rPr>
          <w:sz w:val="20"/>
          <w:szCs w:val="20"/>
          <w:color w:val="auto"/>
        </w:rPr>
      </w:pPr>
    </w:p>
    <w:p>
      <w:pPr>
        <w:ind w:left="200" w:right="60" w:firstLine="551"/>
        <w:spacing w:after="0" w:line="270" w:lineRule="auto"/>
        <w:rPr>
          <w:sz w:val="20"/>
          <w:szCs w:val="20"/>
          <w:color w:val="auto"/>
        </w:rPr>
      </w:pPr>
      <w:r>
        <w:rPr>
          <w:rFonts w:ascii="Arial" w:cs="Arial" w:eastAsia="Arial" w:hAnsi="Arial"/>
          <w:sz w:val="17"/>
          <w:szCs w:val="17"/>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57" w:lineRule="auto"/>
        <w:rPr>
          <w:sz w:val="20"/>
          <w:szCs w:val="20"/>
          <w:color w:val="auto"/>
        </w:rPr>
      </w:pPr>
      <w:r>
        <w:rPr>
          <w:rFonts w:ascii="Arial" w:cs="Arial" w:eastAsia="Arial" w:hAnsi="Arial"/>
          <w:sz w:val="18"/>
          <w:szCs w:val="18"/>
          <w:color w:val="auto"/>
        </w:rPr>
        <w:t>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188" w:lineRule="exact"/>
        <w:rPr>
          <w:sz w:val="20"/>
          <w:szCs w:val="20"/>
          <w:color w:val="auto"/>
        </w:rPr>
      </w:pPr>
    </w:p>
    <w:p>
      <w:pPr>
        <w:ind w:left="200" w:right="20" w:firstLine="551"/>
        <w:spacing w:after="0" w:line="257" w:lineRule="auto"/>
        <w:rPr>
          <w:sz w:val="20"/>
          <w:szCs w:val="20"/>
          <w:color w:val="auto"/>
        </w:rPr>
      </w:pPr>
      <w:r>
        <w:rPr>
          <w:rFonts w:ascii="Arial" w:cs="Arial" w:eastAsia="Arial" w:hAnsi="Arial"/>
          <w:sz w:val="18"/>
          <w:szCs w:val="18"/>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188" w:lineRule="exact"/>
        <w:rPr>
          <w:sz w:val="20"/>
          <w:szCs w:val="20"/>
          <w:color w:val="auto"/>
        </w:rPr>
      </w:pPr>
    </w:p>
    <w:p>
      <w:pPr>
        <w:ind w:left="200" w:right="60" w:firstLine="551"/>
        <w:spacing w:after="0" w:line="287" w:lineRule="auto"/>
        <w:rPr>
          <w:sz w:val="20"/>
          <w:szCs w:val="20"/>
          <w:color w:val="auto"/>
        </w:rPr>
      </w:pPr>
      <w:r>
        <w:rPr>
          <w:rFonts w:ascii="Arial" w:cs="Arial" w:eastAsia="Arial" w:hAnsi="Arial"/>
          <w:sz w:val="16"/>
          <w:szCs w:val="16"/>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73" w:lineRule="exact"/>
        <w:rPr>
          <w:sz w:val="20"/>
          <w:szCs w:val="20"/>
          <w:color w:val="auto"/>
        </w:rPr>
      </w:pPr>
    </w:p>
    <w:p>
      <w:pPr>
        <w:ind w:left="200" w:firstLine="551"/>
        <w:spacing w:after="0" w:line="286" w:lineRule="auto"/>
        <w:rPr>
          <w:sz w:val="20"/>
          <w:szCs w:val="20"/>
          <w:color w:val="auto"/>
        </w:rPr>
      </w:pPr>
      <w:r>
        <w:rPr>
          <w:rFonts w:ascii="Arial" w:cs="Arial" w:eastAsia="Arial" w:hAnsi="Arial"/>
          <w:sz w:val="16"/>
          <w:szCs w:val="16"/>
          <w:color w:val="auto"/>
        </w:rPr>
        <w:t>Moreover, because the issuance of a patent is not conclusive as to its inventorship, scope, validity or enforceability, our patents or pending patent applications may be challenged in the courts or patent offices in the United States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United States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nalbuphine ER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69" w:lineRule="exact"/>
        <w:rPr>
          <w:sz w:val="20"/>
          <w:szCs w:val="20"/>
          <w:color w:val="auto"/>
        </w:rPr>
      </w:pPr>
    </w:p>
    <w:p>
      <w:pPr>
        <w:ind w:left="200" w:right="340" w:firstLine="551"/>
        <w:spacing w:after="0" w:line="279"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w:t>
      </w:r>
    </w:p>
    <w:p>
      <w:pPr>
        <w:spacing w:after="0" w:line="171" w:lineRule="exact"/>
        <w:rPr>
          <w:sz w:val="20"/>
          <w:szCs w:val="20"/>
          <w:color w:val="auto"/>
        </w:rPr>
      </w:pPr>
    </w:p>
    <w:p>
      <w:pPr>
        <w:ind w:left="200" w:firstLine="551"/>
        <w:spacing w:after="0" w:line="270" w:lineRule="auto"/>
        <w:rPr>
          <w:sz w:val="20"/>
          <w:szCs w:val="20"/>
          <w:color w:val="auto"/>
        </w:rPr>
      </w:pPr>
      <w:r>
        <w:rPr>
          <w:rFonts w:ascii="Arial" w:cs="Arial" w:eastAsia="Arial" w:hAnsi="Arial"/>
          <w:sz w:val="17"/>
          <w:szCs w:val="17"/>
          <w:color w:val="auto"/>
        </w:rPr>
        <w:t>Issued patents that we have or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551"/>
        <w:spacing w:after="0" w:line="255" w:lineRule="auto"/>
        <w:rPr>
          <w:sz w:val="20"/>
          <w:szCs w:val="20"/>
          <w:color w:val="auto"/>
        </w:rPr>
      </w:pPr>
      <w:r>
        <w:rPr>
          <w:rFonts w:ascii="Arial" w:cs="Arial" w:eastAsia="Arial" w:hAnsi="Arial"/>
          <w:sz w:val="18"/>
          <w:szCs w:val="18"/>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30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62" w:lineRule="exact"/>
        <w:rPr>
          <w:sz w:val="20"/>
          <w:szCs w:val="20"/>
          <w:color w:val="auto"/>
        </w:rPr>
      </w:pPr>
    </w:p>
    <w:p>
      <w:pPr>
        <w:ind w:left="200" w:firstLine="551"/>
        <w:spacing w:after="0" w:line="269" w:lineRule="auto"/>
        <w:rPr>
          <w:sz w:val="20"/>
          <w:szCs w:val="20"/>
          <w:color w:val="auto"/>
        </w:rPr>
      </w:pPr>
      <w:r>
        <w:rPr>
          <w:rFonts w:ascii="Arial" w:cs="Arial" w:eastAsia="Arial" w:hAnsi="Arial"/>
          <w:sz w:val="17"/>
          <w:szCs w:val="17"/>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29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left="200" w:firstLine="551"/>
        <w:spacing w:after="0" w:line="269" w:lineRule="auto"/>
        <w:rPr>
          <w:sz w:val="20"/>
          <w:szCs w:val="20"/>
          <w:color w:val="auto"/>
        </w:rPr>
      </w:pPr>
      <w:r>
        <w:rPr>
          <w:rFonts w:ascii="Arial" w:cs="Arial" w:eastAsia="Arial" w:hAnsi="Arial"/>
          <w:sz w:val="17"/>
          <w:szCs w:val="17"/>
          <w:color w:val="auto"/>
        </w:rPr>
        <w:t>Our 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0" w:lineRule="exact"/>
        <w:rPr>
          <w:sz w:val="20"/>
          <w:szCs w:val="20"/>
          <w:color w:val="auto"/>
        </w:rPr>
      </w:pPr>
    </w:p>
    <w:p>
      <w:pPr>
        <w:ind w:left="200" w:right="20" w:firstLine="551"/>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287"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such litigation could be costly and time consuming, its outcome would be uncertain and it could prevent or delay us from developing or commercializing nalbuphine ER or any future product candidate.</w:t>
      </w:r>
    </w:p>
    <w:p>
      <w:pPr>
        <w:spacing w:after="0" w:line="16" w:lineRule="exact"/>
        <w:rPr>
          <w:sz w:val="20"/>
          <w:szCs w:val="20"/>
          <w:color w:val="auto"/>
        </w:rPr>
      </w:pPr>
    </w:p>
    <w:p>
      <w:pPr>
        <w:ind w:left="200" w:firstLine="551"/>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nalbuphine ER or any future product candidate. If any third-party patents or patent applications are found to cover nalbuphine ER or any future product candidate or their methods of use, we may not be free to manufacture or market the product candidates as planned without obtaining a license, which may not be available on commercially reasonable terms, or at all.</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551"/>
        <w:spacing w:after="0" w:line="268" w:lineRule="auto"/>
        <w:rPr>
          <w:sz w:val="20"/>
          <w:szCs w:val="20"/>
          <w:color w:val="auto"/>
        </w:rPr>
      </w:pPr>
      <w:r>
        <w:rPr>
          <w:rFonts w:ascii="Arial" w:cs="Arial" w:eastAsia="Arial" w:hAnsi="Arial"/>
          <w:sz w:val="17"/>
          <w:szCs w:val="17"/>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nalbuphine ER or any future product candidates, including interference proceedings before the USPTO. There may be third-party patents or patent applications with claims to materials, formulations, methods of manufacture or methods for treatment related to nalbuphine ER or any future product candidate. Because patent applications can take many years to issue, there may be currently pending patent applications which may later result in issued patents that nalbuphine ER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83" w:lineRule="exact"/>
        <w:rPr>
          <w:sz w:val="20"/>
          <w:szCs w:val="20"/>
          <w:color w:val="auto"/>
        </w:rPr>
      </w:pPr>
    </w:p>
    <w:p>
      <w:pPr>
        <w:ind w:left="200" w:right="120" w:firstLine="551"/>
        <w:spacing w:after="0" w:line="253" w:lineRule="auto"/>
        <w:rPr>
          <w:sz w:val="20"/>
          <w:szCs w:val="20"/>
          <w:color w:val="auto"/>
        </w:rPr>
      </w:pPr>
      <w:r>
        <w:rPr>
          <w:rFonts w:ascii="Arial" w:cs="Arial" w:eastAsia="Arial" w:hAnsi="Arial"/>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nalbuphine ER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30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62" w:lineRule="exact"/>
        <w:rPr>
          <w:sz w:val="20"/>
          <w:szCs w:val="20"/>
          <w:color w:val="auto"/>
        </w:rPr>
      </w:pPr>
    </w:p>
    <w:p>
      <w:pPr>
        <w:ind w:left="200" w:right="20" w:firstLine="551"/>
        <w:spacing w:after="0" w:line="25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United States patent law in part by changing the U.S. patent system from a “first to invent” system to a “first inventor to file” system, expanding the definition of prior art, and developing a post-grant review system. This legislation changes United States patent law in a way that may weaken our ability to obtain patent protection in the United States for those applications filed after March 16, 2013.</w:t>
      </w:r>
    </w:p>
    <w:p>
      <w:pPr>
        <w:spacing w:after="0" w:line="192" w:lineRule="exact"/>
        <w:rPr>
          <w:sz w:val="20"/>
          <w:szCs w:val="20"/>
          <w:color w:val="auto"/>
        </w:rPr>
      </w:pPr>
    </w:p>
    <w:p>
      <w:pPr>
        <w:ind w:left="200" w:right="20" w:firstLine="551"/>
        <w:spacing w:after="0" w:line="287" w:lineRule="auto"/>
        <w:rPr>
          <w:sz w:val="20"/>
          <w:szCs w:val="20"/>
          <w:color w:val="auto"/>
        </w:rPr>
      </w:pPr>
      <w:r>
        <w:rPr>
          <w:rFonts w:ascii="Arial" w:cs="Arial" w:eastAsia="Arial" w:hAnsi="Arial"/>
          <w:sz w:val="16"/>
          <w:szCs w:val="16"/>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551"/>
        <w:spacing w:after="0" w:line="272"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left="200" w:right="20" w:firstLine="551"/>
        <w:spacing w:after="0" w:line="255"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United States, and our issued or licensed patents and any future patent claims or other intellectual property rights may not be effective or sufficient to prevent them from so competing.</w:t>
      </w:r>
    </w:p>
    <w:p>
      <w:pPr>
        <w:spacing w:after="0" w:line="189" w:lineRule="exact"/>
        <w:rPr>
          <w:sz w:val="20"/>
          <w:szCs w:val="20"/>
          <w:color w:val="auto"/>
        </w:rPr>
      </w:pPr>
    </w:p>
    <w:p>
      <w:pPr>
        <w:ind w:left="200" w:right="100" w:firstLine="551"/>
        <w:spacing w:after="0" w:line="271" w:lineRule="auto"/>
        <w:rPr>
          <w:sz w:val="20"/>
          <w:szCs w:val="20"/>
          <w:color w:val="auto"/>
        </w:rPr>
      </w:pPr>
      <w:r>
        <w:rPr>
          <w:rFonts w:ascii="Arial" w:cs="Arial" w:eastAsia="Arial" w:hAnsi="Arial"/>
          <w:sz w:val="17"/>
          <w:szCs w:val="17"/>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79" w:lineRule="exact"/>
        <w:rPr>
          <w:sz w:val="20"/>
          <w:szCs w:val="20"/>
          <w:color w:val="auto"/>
        </w:rPr>
      </w:pPr>
    </w:p>
    <w:p>
      <w:pPr>
        <w:jc w:val="both"/>
        <w:ind w:left="200" w:right="120" w:firstLine="551"/>
        <w:spacing w:after="0" w:line="264" w:lineRule="auto"/>
        <w:rPr>
          <w:sz w:val="20"/>
          <w:szCs w:val="20"/>
          <w:color w:val="auto"/>
        </w:rPr>
      </w:pPr>
      <w:r>
        <w:rPr>
          <w:rFonts w:ascii="Arial" w:cs="Arial" w:eastAsia="Arial" w:hAnsi="Arial"/>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181" w:lineRule="exact"/>
        <w:rPr>
          <w:sz w:val="20"/>
          <w:szCs w:val="20"/>
          <w:color w:val="auto"/>
        </w:rPr>
      </w:pPr>
    </w:p>
    <w:p>
      <w:pPr>
        <w:ind w:left="200" w:right="80" w:firstLine="551"/>
        <w:spacing w:after="0" w:line="255"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297"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left="200" w:right="80" w:firstLine="551"/>
        <w:spacing w:after="0" w:line="288" w:lineRule="auto"/>
        <w:rPr>
          <w:sz w:val="20"/>
          <w:szCs w:val="20"/>
          <w:color w:val="auto"/>
        </w:rPr>
      </w:pPr>
      <w:r>
        <w:rPr>
          <w:rFonts w:ascii="Arial" w:cs="Arial" w:eastAsia="Arial" w:hAnsi="Arial"/>
          <w:sz w:val="16"/>
          <w:szCs w:val="16"/>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nalbuphine ER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551"/>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301"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left="200" w:firstLine="551"/>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nalbuphine ER or any future product candidate, our competitive position would be adversely affected.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our business could be harmed.</w:t>
      </w:r>
    </w:p>
    <w:p>
      <w:pPr>
        <w:spacing w:after="0" w:line="117" w:lineRule="exact"/>
        <w:rPr>
          <w:sz w:val="20"/>
          <w:szCs w:val="20"/>
          <w:color w:val="auto"/>
        </w:rPr>
      </w:pPr>
    </w:p>
    <w:p>
      <w:pPr>
        <w:ind w:left="200" w:firstLine="551"/>
        <w:spacing w:after="0" w:line="272"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nalbuphine ER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b w:val="1"/>
          <w:bCs w:val="1"/>
          <w:i w:val="1"/>
          <w:iCs w:val="1"/>
          <w:color w:val="auto"/>
        </w:rPr>
        <w:t>If the FDA does not conclude that nalbuphine ER for the treatment of pruritus associated with prurigo nodularis or any other development program satisfies the requirements under Section 505(b)(2) of the FDCA, or Section 505(b)(2),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63" w:lineRule="exact"/>
        <w:rPr>
          <w:sz w:val="20"/>
          <w:szCs w:val="20"/>
          <w:color w:val="auto"/>
        </w:rPr>
      </w:pPr>
    </w:p>
    <w:p>
      <w:pPr>
        <w:ind w:left="200" w:right="20" w:firstLine="551"/>
        <w:spacing w:after="0" w:line="270" w:lineRule="auto"/>
        <w:rPr>
          <w:sz w:val="20"/>
          <w:szCs w:val="20"/>
          <w:color w:val="auto"/>
        </w:rPr>
      </w:pPr>
      <w:r>
        <w:rPr>
          <w:rFonts w:ascii="Arial" w:cs="Arial" w:eastAsia="Arial" w:hAnsi="Arial"/>
          <w:sz w:val="17"/>
          <w:szCs w:val="17"/>
          <w:color w:val="auto"/>
        </w:rPr>
        <w:t>We commenced our Phase 2b/3 PRISM trial of nalbuphine ER for the treatment of pruritus associated with prurigo nodularis and expect to conduct an additional Phase 3 clinical trial of nalbuphine ER for the treatment of pruritus associated with prurigo nodularis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applicant, and for which the applicant has not received a right of reference, which could expedite the development program for nalbuphine ER for the treatment of pruritus associated with prurigo nodularis and any future product candidates by potentially decreasing the amount of preclinical and clinical data that we would need to generate in order to obtain FDA approval. However, while we believe that nalbuphine ER is a reformulation of an existing drug or biologic and, therefore, will not be treated as a new chemical entity, or NCE, the submission of an NDA under the Section 505(b)(2) or similar regulatory pathway does not preclude the FDA from determining that nalbuphine ER is an NCE and therefore not eligible for review under such regulatory pathway.</w:t>
      </w:r>
    </w:p>
    <w:p>
      <w:pPr>
        <w:spacing w:after="0" w:line="178" w:lineRule="exact"/>
        <w:rPr>
          <w:sz w:val="20"/>
          <w:szCs w:val="20"/>
          <w:color w:val="auto"/>
        </w:rPr>
      </w:pPr>
    </w:p>
    <w:p>
      <w:pPr>
        <w:ind w:left="200" w:right="80" w:firstLine="551"/>
        <w:spacing w:after="0" w:line="291" w:lineRule="auto"/>
        <w:rPr>
          <w:sz w:val="20"/>
          <w:szCs w:val="20"/>
          <w:color w:val="auto"/>
        </w:rPr>
      </w:pPr>
      <w:r>
        <w:rPr>
          <w:rFonts w:ascii="Arial" w:cs="Arial" w:eastAsia="Arial" w:hAnsi="Arial"/>
          <w:sz w:val="16"/>
          <w:szCs w:val="16"/>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nalbuphine ER for the treatment of pruritus associated with prurigo nodularis and any future product candidates, and complications and risks associated with these product candidates, would likely increase significantly. Moreover, inability to pursue the Section 505(b)(2) or similar regulatory pathway could result in new competitive products reaching the market more quickly than our product candidates, which would likely harm our competitive position and prospects. Even if we are allowed to pursue the Section 505(b)(2) or similar regulatory pathway, our product candidates may not receive the requisite approvals for commercialization.</w:t>
      </w:r>
    </w:p>
    <w:p>
      <w:pPr>
        <w:spacing w:after="0" w:line="1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551"/>
        <w:spacing w:after="0" w:line="287" w:lineRule="auto"/>
        <w:rPr>
          <w:sz w:val="20"/>
          <w:szCs w:val="20"/>
          <w:color w:val="auto"/>
        </w:rPr>
      </w:pPr>
      <w:r>
        <w:rPr>
          <w:rFonts w:ascii="Arial" w:cs="Arial" w:eastAsia="Arial" w:hAnsi="Arial"/>
          <w:sz w:val="16"/>
          <w:szCs w:val="16"/>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173" w:lineRule="exact"/>
        <w:rPr>
          <w:sz w:val="20"/>
          <w:szCs w:val="20"/>
          <w:color w:val="auto"/>
        </w:rPr>
      </w:pPr>
    </w:p>
    <w:p>
      <w:pPr>
        <w:ind w:left="200" w:right="40" w:firstLine="551"/>
        <w:spacing w:after="0" w:line="264" w:lineRule="auto"/>
        <w:rPr>
          <w:sz w:val="20"/>
          <w:szCs w:val="20"/>
          <w:color w:val="auto"/>
        </w:rPr>
      </w:pPr>
      <w:r>
        <w:rPr>
          <w:rFonts w:ascii="Arial" w:cs="Arial" w:eastAsia="Arial" w:hAnsi="Arial"/>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289"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nalbuphine ER or any future product candidate. As a result, we cannot predict when or if, and in which territories, we will obtain marketing approval to commercialize a product candidate.</w:t>
      </w:r>
    </w:p>
    <w:p>
      <w:pPr>
        <w:spacing w:after="0" w:line="39" w:lineRule="exact"/>
        <w:rPr>
          <w:sz w:val="20"/>
          <w:szCs w:val="20"/>
          <w:color w:val="auto"/>
        </w:rPr>
      </w:pPr>
    </w:p>
    <w:p>
      <w:pPr>
        <w:ind w:left="200" w:right="160" w:firstLine="551"/>
        <w:spacing w:after="0" w:line="255" w:lineRule="auto"/>
        <w:rPr>
          <w:sz w:val="20"/>
          <w:szCs w:val="20"/>
          <w:color w:val="auto"/>
        </w:rPr>
      </w:pPr>
      <w:r>
        <w:rPr>
          <w:rFonts w:ascii="Arial" w:cs="Arial" w:eastAsia="Arial" w:hAnsi="Arial"/>
          <w:sz w:val="18"/>
          <w:szCs w:val="18"/>
          <w:color w:val="auto"/>
        </w:rPr>
        <w:t>The research, testing, manufacturing, labeling, approval, selling, marketing, promotion and distribution of products are subject to extensive regulation by the FDA and comparable foreign regulatory authorities. We are not permitted to market nalbuphine ER or any other product candidate in the United States until we receive approval of an NDA from the FDA or in other countries until we receive marketing approval from the applicable regulatory authorities outside the United States. We have not submitted an application for or received marketing approval for any product candidate in the United States or in any other jurisdiction. We have limited experience in conducting and managing the clinical trials necessary to obtain marketing approvals, including FDA approval of an NDA.</w:t>
      </w:r>
    </w:p>
    <w:p>
      <w:pPr>
        <w:spacing w:after="0" w:line="193" w:lineRule="exact"/>
        <w:rPr>
          <w:sz w:val="20"/>
          <w:szCs w:val="20"/>
          <w:color w:val="auto"/>
        </w:rPr>
      </w:pPr>
    </w:p>
    <w:p>
      <w:pPr>
        <w:ind w:left="200" w:right="40" w:firstLine="551"/>
        <w:spacing w:after="0" w:line="270" w:lineRule="auto"/>
        <w:rPr>
          <w:sz w:val="20"/>
          <w:szCs w:val="20"/>
          <w:color w:val="auto"/>
        </w:rPr>
      </w:pPr>
      <w:r>
        <w:rPr>
          <w:rFonts w:ascii="Arial" w:cs="Arial" w:eastAsia="Arial" w:hAnsi="Arial"/>
          <w:sz w:val="17"/>
          <w:szCs w:val="17"/>
          <w:color w:val="auto"/>
        </w:rPr>
        <w:t>The process of obtaining marketing approvals, both in the United States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nalbuphine ER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82" w:lineRule="exact"/>
        <w:rPr>
          <w:sz w:val="20"/>
          <w:szCs w:val="20"/>
          <w:color w:val="auto"/>
        </w:rPr>
      </w:pPr>
    </w:p>
    <w:p>
      <w:pPr>
        <w:ind w:left="200" w:firstLine="551"/>
        <w:spacing w:after="0" w:line="293" w:lineRule="auto"/>
        <w:rPr>
          <w:sz w:val="20"/>
          <w:szCs w:val="20"/>
          <w:color w:val="auto"/>
        </w:rPr>
      </w:pPr>
      <w:r>
        <w:rPr>
          <w:rFonts w:ascii="Arial" w:cs="Arial" w:eastAsia="Arial" w:hAnsi="Arial"/>
          <w:sz w:val="16"/>
          <w:szCs w:val="16"/>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65" w:lineRule="exact"/>
        <w:rPr>
          <w:sz w:val="20"/>
          <w:szCs w:val="20"/>
          <w:color w:val="auto"/>
        </w:rPr>
      </w:pPr>
    </w:p>
    <w:p>
      <w:pPr>
        <w:ind w:left="200" w:right="260" w:firstLine="551"/>
        <w:spacing w:after="0" w:line="308" w:lineRule="auto"/>
        <w:rPr>
          <w:sz w:val="20"/>
          <w:szCs w:val="20"/>
          <w:color w:val="auto"/>
        </w:rPr>
      </w:pPr>
      <w:r>
        <w:rPr>
          <w:rFonts w:ascii="Arial" w:cs="Arial" w:eastAsia="Arial" w:hAnsi="Arial"/>
          <w:sz w:val="17"/>
          <w:szCs w:val="17"/>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86" w:lineRule="auto"/>
        <w:rPr>
          <w:sz w:val="20"/>
          <w:szCs w:val="20"/>
          <w:color w:val="auto"/>
        </w:rPr>
      </w:pPr>
      <w:r>
        <w:rPr>
          <w:rFonts w:ascii="Arial" w:cs="Arial" w:eastAsia="Arial" w:hAnsi="Arial"/>
          <w:sz w:val="17"/>
          <w:szCs w:val="17"/>
          <w:b w:val="1"/>
          <w:bCs w:val="1"/>
          <w:i w:val="1"/>
          <w:iCs w:val="1"/>
          <w:color w:val="auto"/>
        </w:rPr>
        <w:t>We have conducted, are conducting and intend in the future to conduct clinical trials for nalbuphine ER, and may conduct clinical trials for any future product candidates, at sites outside the United States. The FDA may not accept data from trials conducted in such locations and the conduct of trials outside the United States could subject us to additional delays and expense.</w:t>
      </w:r>
    </w:p>
    <w:p>
      <w:pPr>
        <w:spacing w:after="0" w:line="57" w:lineRule="exact"/>
        <w:rPr>
          <w:sz w:val="20"/>
          <w:szCs w:val="20"/>
          <w:color w:val="auto"/>
        </w:rPr>
      </w:pPr>
    </w:p>
    <w:p>
      <w:pPr>
        <w:ind w:left="200" w:right="160" w:firstLine="551"/>
        <w:spacing w:after="0" w:line="287" w:lineRule="auto"/>
        <w:rPr>
          <w:sz w:val="20"/>
          <w:szCs w:val="20"/>
          <w:color w:val="auto"/>
        </w:rPr>
      </w:pPr>
      <w:r>
        <w:rPr>
          <w:rFonts w:ascii="Arial" w:cs="Arial" w:eastAsia="Arial" w:hAnsi="Arial"/>
          <w:sz w:val="16"/>
          <w:szCs w:val="16"/>
          <w:color w:val="auto"/>
        </w:rPr>
        <w:t>We have conducted, are conducting and intend in the future to conduct clinical trials for nalbuphine ER, and may conduct clinical trials for any future product candidates, at trial sites that are located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United States.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delay or permanently halt our development of nalbuphine ER or the applicable future product candidate.</w:t>
      </w:r>
    </w:p>
    <w:p>
      <w:pPr>
        <w:spacing w:after="0" w:line="173" w:lineRule="exact"/>
        <w:rPr>
          <w:sz w:val="20"/>
          <w:szCs w:val="20"/>
          <w:color w:val="auto"/>
        </w:rPr>
      </w:pPr>
    </w:p>
    <w:p>
      <w:pPr>
        <w:ind w:left="200" w:right="260" w:firstLine="551"/>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adverse impact on us. Risks inherent in conducting international clinical trials include:</w:t>
      </w:r>
    </w:p>
    <w:p>
      <w:pPr>
        <w:spacing w:after="0" w:line="53" w:lineRule="exact"/>
        <w:rPr>
          <w:sz w:val="20"/>
          <w:szCs w:val="20"/>
          <w:color w:val="auto"/>
        </w:rPr>
      </w:pPr>
    </w:p>
    <w:p>
      <w:pPr>
        <w:ind w:left="1180" w:hanging="436"/>
        <w:spacing w:after="0"/>
        <w:tabs>
          <w:tab w:leader="none" w:pos="1180" w:val="left"/>
        </w:tabs>
        <w:numPr>
          <w:ilvl w:val="0"/>
          <w:numId w:val="33"/>
        </w:numPr>
        <w:rPr>
          <w:rFonts w:ascii="Arial" w:cs="Arial" w:eastAsia="Arial" w:hAnsi="Arial"/>
          <w:sz w:val="22"/>
          <w:szCs w:val="22"/>
          <w:color w:val="auto"/>
        </w:rPr>
      </w:pPr>
      <w:r>
        <w:rPr>
          <w:rFonts w:ascii="Arial" w:cs="Arial" w:eastAsia="Arial" w:hAnsi="Arial"/>
          <w:sz w:val="18"/>
          <w:szCs w:val="18"/>
          <w:color w:val="auto"/>
        </w:rPr>
        <w:t>clinical practice patterns and standards of care that vary widely among countries;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3"/>
        </w:numPr>
        <w:rPr>
          <w:rFonts w:ascii="Arial" w:cs="Arial" w:eastAsia="Arial" w:hAnsi="Arial"/>
          <w:sz w:val="22"/>
          <w:szCs w:val="22"/>
          <w:color w:val="auto"/>
        </w:rPr>
      </w:pPr>
      <w:r>
        <w:rPr>
          <w:rFonts w:ascii="Arial" w:cs="Arial" w:eastAsia="Arial" w:hAnsi="Arial"/>
          <w:sz w:val="18"/>
          <w:szCs w:val="18"/>
          <w:color w:val="auto"/>
        </w:rPr>
        <w:t>non-U.S. regulatory authority requirements that could restrict or limit our ability to conduct our clinical trials;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3"/>
        </w:numPr>
        <w:rPr>
          <w:rFonts w:ascii="Arial" w:cs="Arial" w:eastAsia="Arial" w:hAnsi="Arial"/>
          <w:sz w:val="22"/>
          <w:szCs w:val="22"/>
          <w:color w:val="auto"/>
        </w:rPr>
      </w:pPr>
      <w:r>
        <w:rPr>
          <w:rFonts w:ascii="Arial" w:cs="Arial" w:eastAsia="Arial" w:hAnsi="Arial"/>
          <w:sz w:val="18"/>
          <w:szCs w:val="18"/>
          <w:color w:val="auto"/>
        </w:rPr>
        <w:t>administrative burdens of conducting clinical trials under multiple non-U.S. regulatory authority schema;</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3"/>
        </w:numPr>
        <w:rPr>
          <w:rFonts w:ascii="Arial" w:cs="Arial" w:eastAsia="Arial" w:hAnsi="Arial"/>
          <w:sz w:val="22"/>
          <w:szCs w:val="22"/>
          <w:color w:val="auto"/>
        </w:rPr>
      </w:pPr>
      <w:r>
        <w:rPr>
          <w:rFonts w:ascii="Arial" w:cs="Arial" w:eastAsia="Arial" w:hAnsi="Arial"/>
          <w:sz w:val="18"/>
          <w:szCs w:val="18"/>
          <w:color w:val="auto"/>
        </w:rPr>
        <w:t>foreign exchange rate fluctuations; and</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3"/>
        </w:numPr>
        <w:rPr>
          <w:rFonts w:ascii="Arial" w:cs="Arial" w:eastAsia="Arial" w:hAnsi="Arial"/>
          <w:sz w:val="22"/>
          <w:szCs w:val="22"/>
          <w:color w:val="auto"/>
        </w:rPr>
      </w:pPr>
      <w:r>
        <w:rPr>
          <w:rFonts w:ascii="Arial" w:cs="Arial" w:eastAsia="Arial" w:hAnsi="Arial"/>
          <w:sz w:val="18"/>
          <w:szCs w:val="18"/>
          <w:color w:val="auto"/>
        </w:rPr>
        <w:t>diminished protection of intellectual property in some countries.</w:t>
      </w:r>
    </w:p>
    <w:p>
      <w:pPr>
        <w:spacing w:after="0" w:line="337"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nalbuphine ER or any future product candidate from being marketed in other countries. Any marketing approval we are granted in the United States would not assure marketing approval in foreign jurisdictions.</w:t>
      </w:r>
    </w:p>
    <w:p>
      <w:pPr>
        <w:spacing w:after="0" w:line="16" w:lineRule="exact"/>
        <w:rPr>
          <w:sz w:val="20"/>
          <w:szCs w:val="20"/>
          <w:color w:val="auto"/>
        </w:rPr>
      </w:pPr>
    </w:p>
    <w:p>
      <w:pPr>
        <w:ind w:left="200" w:right="40" w:firstLine="551"/>
        <w:spacing w:after="0" w:line="286" w:lineRule="auto"/>
        <w:rPr>
          <w:sz w:val="20"/>
          <w:szCs w:val="20"/>
          <w:color w:val="auto"/>
        </w:rPr>
      </w:pPr>
      <w:r>
        <w:rPr>
          <w:rFonts w:ascii="Arial" w:cs="Arial" w:eastAsia="Arial" w:hAnsi="Arial"/>
          <w:sz w:val="16"/>
          <w:szCs w:val="16"/>
          <w:color w:val="auto"/>
        </w:rPr>
        <w:t>In order to market and sell products in the European Union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United States or if we fail to comply with applicable non-U.S. regulatory requirements, our target markets will be reduced and our ability to realize the full market potential of nalbuphine ER or any future product candidate will be harmed and our business, financial condition, results of operations and prospects may be adversely affected.</w:t>
      </w:r>
    </w:p>
    <w:p>
      <w:pPr>
        <w:spacing w:after="0" w:line="175" w:lineRule="exact"/>
        <w:rPr>
          <w:sz w:val="20"/>
          <w:szCs w:val="20"/>
          <w:color w:val="auto"/>
        </w:rPr>
      </w:pPr>
    </w:p>
    <w:p>
      <w:pPr>
        <w:ind w:left="200" w:firstLine="551"/>
        <w:spacing w:after="0" w:line="269"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The United Kingdom had a period of a maximum of two years from the date of its formal notification to negotiate the terms of its withdrawal from, and future relationship with, the European Union. If no formal withdrawal agreement can be reached between the United Kingdom and the European Union, then it is expected that the United Kingdom’s membership of the European Union would automatically terminate on the deadline, which was initially March 29, 2019. That deadline has been extended to October 31, 2019 to allow the parties additional time to negotiate a withdrawal agreement, which has proven to be extremely difficult to date. Discussions between the United Kingdom and the European Union will continue to focus on withdrawal issues and transition agreements. However, limited progress to date in these negotiations and ongoing uncertainty within the government of the United Kingdom sustains the possibility of the United Kingdom leaving the European Union without a withdrawal agreement and associated transition period in place, which is likely to cause significant market and economic disruption. Since a significant proportion of the regulatory framework in the United Kingdom is derived from European Union directives and regulations,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Brexit could materially impact the regulatory regime with respect to the approval of nalbuphine ER or any future product candidate in the United Kingdom or the European Union. Any delay in obtaining, or an inability to obtain, any marketing approvals, as a result of Brexit or otherwise, would prevent us from commercializing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2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nalbuphine ER or any future product candidate.</w:t>
      </w:r>
    </w:p>
    <w:p>
      <w:pPr>
        <w:spacing w:after="0" w:line="73" w:lineRule="exact"/>
        <w:rPr>
          <w:sz w:val="20"/>
          <w:szCs w:val="20"/>
          <w:color w:val="auto"/>
        </w:rPr>
      </w:pPr>
    </w:p>
    <w:p>
      <w:pPr>
        <w:ind w:left="200" w:firstLine="551"/>
        <w:spacing w:after="0" w:line="270" w:lineRule="auto"/>
        <w:rPr>
          <w:sz w:val="20"/>
          <w:szCs w:val="20"/>
          <w:color w:val="auto"/>
        </w:rPr>
      </w:pPr>
      <w:r>
        <w:rPr>
          <w:rFonts w:ascii="Arial" w:cs="Arial" w:eastAsia="Arial" w:hAnsi="Arial"/>
          <w:sz w:val="17"/>
          <w:szCs w:val="17"/>
          <w:color w:val="auto"/>
        </w:rPr>
        <w:t>We may be eligible for fast track designation, priority review or breakthrough therapy status for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Moreover, even if we do receive such a designation, we may not experience a faster development process, review or approval compared to conventional FDA procedures and there is no assurance that the product candidate will be approved by the FDA.</w:t>
      </w:r>
    </w:p>
    <w:p>
      <w:pPr>
        <w:spacing w:after="0" w:line="286"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Even if we obtain marketing approvals for a product, the terms of approvals and ongoing regulation of such product may limit how we manufacture and market the product, which could impair our ability to generate revenue.</w:t>
      </w:r>
    </w:p>
    <w:p>
      <w:pPr>
        <w:spacing w:after="0" w:line="62" w:lineRule="exact"/>
        <w:rPr>
          <w:sz w:val="20"/>
          <w:szCs w:val="20"/>
          <w:color w:val="auto"/>
        </w:rPr>
      </w:pPr>
    </w:p>
    <w:p>
      <w:pPr>
        <w:ind w:left="200" w:right="20" w:firstLine="551"/>
        <w:spacing w:after="0" w:line="257"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8" w:lineRule="exact"/>
        <w:rPr>
          <w:sz w:val="20"/>
          <w:szCs w:val="20"/>
          <w:color w:val="auto"/>
        </w:rPr>
      </w:pPr>
    </w:p>
    <w:p>
      <w:pPr>
        <w:ind w:left="200" w:right="240" w:firstLine="551"/>
        <w:spacing w:after="0" w:line="302" w:lineRule="auto"/>
        <w:rPr>
          <w:sz w:val="20"/>
          <w:szCs w:val="20"/>
          <w:color w:val="auto"/>
        </w:rPr>
      </w:pPr>
      <w:r>
        <w:rPr>
          <w:rFonts w:ascii="Arial" w:cs="Arial" w:eastAsia="Arial" w:hAnsi="Arial"/>
          <w:sz w:val="16"/>
          <w:szCs w:val="16"/>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54" w:lineRule="exact"/>
        <w:rPr>
          <w:sz w:val="20"/>
          <w:szCs w:val="20"/>
          <w:color w:val="auto"/>
        </w:rPr>
      </w:pPr>
    </w:p>
    <w:p>
      <w:pPr>
        <w:ind w:left="200" w:right="240" w:firstLine="551"/>
        <w:spacing w:after="0" w:line="342" w:lineRule="auto"/>
        <w:rPr>
          <w:sz w:val="20"/>
          <w:szCs w:val="20"/>
          <w:color w:val="auto"/>
        </w:rPr>
      </w:pPr>
      <w:r>
        <w:rPr>
          <w:rFonts w:ascii="Arial" w:cs="Arial" w:eastAsia="Arial" w:hAnsi="Arial"/>
          <w:sz w:val="16"/>
          <w:szCs w:val="16"/>
          <w:color w:val="auto"/>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p>
    <w:p>
      <w:pPr>
        <w:spacing w:after="0" w:line="124" w:lineRule="exact"/>
        <w:rPr>
          <w:sz w:val="20"/>
          <w:szCs w:val="20"/>
          <w:color w:val="auto"/>
        </w:rPr>
      </w:pPr>
    </w:p>
    <w:p>
      <w:pPr>
        <w:ind w:left="200" w:right="60" w:firstLine="551"/>
        <w:spacing w:after="0" w:line="312" w:lineRule="auto"/>
        <w:rPr>
          <w:sz w:val="20"/>
          <w:szCs w:val="20"/>
          <w:color w:val="auto"/>
        </w:rPr>
      </w:pPr>
      <w:r>
        <w:rPr>
          <w:rFonts w:ascii="Arial" w:cs="Arial" w:eastAsia="Arial" w:hAnsi="Arial"/>
          <w:sz w:val="16"/>
          <w:szCs w:val="16"/>
          <w:color w:val="auto"/>
        </w:rPr>
        <w:t>If we are not able to comply with post-approval regulatory requirements, we could have the marketing approvals for any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255"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We expect that any regulatory approval to market nalbuphine ER in the United States will be limited by indication. If we fail to comply or are found to be in violation of FDA and other regulations restricting the promotion of nalbuphine ER for unapproved uses, we could be subject to criminal penalties, substantial fines or other sanctions and damage awards.</w:t>
      </w:r>
    </w:p>
    <w:p>
      <w:pPr>
        <w:spacing w:after="0" w:line="73" w:lineRule="exact"/>
        <w:rPr>
          <w:sz w:val="20"/>
          <w:szCs w:val="20"/>
          <w:color w:val="auto"/>
        </w:rPr>
      </w:pPr>
    </w:p>
    <w:p>
      <w:pPr>
        <w:ind w:left="200" w:right="200" w:firstLine="551"/>
        <w:spacing w:after="0" w:line="257" w:lineRule="auto"/>
        <w:rPr>
          <w:sz w:val="20"/>
          <w:szCs w:val="20"/>
          <w:color w:val="auto"/>
        </w:rPr>
      </w:pPr>
      <w:r>
        <w:rPr>
          <w:rFonts w:ascii="Arial" w:cs="Arial" w:eastAsia="Arial" w:hAnsi="Arial"/>
          <w:sz w:val="18"/>
          <w:szCs w:val="18"/>
          <w:color w:val="auto"/>
        </w:rPr>
        <w:t>If our clinical trials are successful, we intend to seek approval to market nalbuphine ER for the treatment of pruritus associated with prurigo nodularis. If we obtain regulatory approval to market nalbuphine ER with an indication statement for the treatment of pruritus associated with prurigo nodularis, we will likely be prohibited from marketing nalbuphine ER using any promotional claims relating to treatment of pruritus generally. Marketing of nalbuphine ER may also be limited by regulatory authorities based on use as a monotherapy or adjuvant, concomitant medications, severity of pruritus and other factors.</w:t>
      </w:r>
    </w:p>
    <w:p>
      <w:pPr>
        <w:spacing w:after="0" w:line="188" w:lineRule="exact"/>
        <w:rPr>
          <w:sz w:val="20"/>
          <w:szCs w:val="20"/>
          <w:color w:val="auto"/>
        </w:rPr>
      </w:pPr>
    </w:p>
    <w:p>
      <w:pPr>
        <w:ind w:left="200" w:right="380" w:firstLine="551"/>
        <w:spacing w:after="0" w:line="308"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EMA and other government agencies. While we have, and may in the future conduct, clinical trials to evaluate the use of</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nalbuphine ER to treat pruritic conditions other than pruritus associated with prurigo nodularis, nalbuphine ER cannot not be promoted for uses other than uses approved in the labeling by the FDA, EMA or other applicable regulatory authorities. Physicians may nevertheless prescribe nalbuphine ER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nalbuphine ER for unapproved uses. We also cannot be sure that our employees will comply with company policies and applicable regulations regarding the promotion of products for unapproved uses.</w:t>
      </w:r>
    </w:p>
    <w:p>
      <w:pPr>
        <w:spacing w:after="0" w:line="165" w:lineRule="exact"/>
        <w:rPr>
          <w:sz w:val="20"/>
          <w:szCs w:val="20"/>
          <w:color w:val="auto"/>
        </w:rPr>
      </w:pPr>
    </w:p>
    <w:p>
      <w:pPr>
        <w:ind w:left="200" w:right="40" w:firstLine="551"/>
        <w:spacing w:after="0" w:line="287" w:lineRule="auto"/>
        <w:rPr>
          <w:sz w:val="20"/>
          <w:szCs w:val="20"/>
          <w:color w:val="auto"/>
        </w:rPr>
      </w:pPr>
      <w:r>
        <w:rPr>
          <w:rFonts w:ascii="Arial" w:cs="Arial" w:eastAsia="Arial" w:hAnsi="Arial"/>
          <w:sz w:val="16"/>
          <w:szCs w:val="16"/>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is entitled to a share of any recovery or settlement.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suits, also commonly referred to as “whistleblower suits,” are often brought by current or former employees. In a </w:t>
      </w:r>
      <w:r>
        <w:rPr>
          <w:rFonts w:ascii="Arial" w:cs="Arial" w:eastAsia="Arial" w:hAnsi="Arial"/>
          <w:sz w:val="16"/>
          <w:szCs w:val="16"/>
          <w:i w:val="1"/>
          <w:iCs w:val="1"/>
          <w:color w:val="auto"/>
        </w:rPr>
        <w:t xml:space="preserve">qui tam </w:t>
      </w:r>
      <w:r>
        <w:rPr>
          <w:rFonts w:ascii="Arial" w:cs="Arial" w:eastAsia="Arial" w:hAnsi="Arial"/>
          <w:sz w:val="16"/>
          <w:szCs w:val="16"/>
          <w:color w:val="auto"/>
        </w:rPr>
        <w:t>suit, the government must decide whether to intervene and prosecute the case. If it declines, the individual may pursue the case alone.</w:t>
      </w:r>
    </w:p>
    <w:p>
      <w:pPr>
        <w:spacing w:after="0" w:line="173" w:lineRule="exact"/>
        <w:rPr>
          <w:sz w:val="20"/>
          <w:szCs w:val="20"/>
          <w:color w:val="auto"/>
        </w:rPr>
      </w:pPr>
    </w:p>
    <w:p>
      <w:pPr>
        <w:ind w:left="200" w:firstLine="551"/>
        <w:spacing w:after="0" w:line="276" w:lineRule="auto"/>
        <w:rPr>
          <w:sz w:val="20"/>
          <w:szCs w:val="20"/>
          <w:color w:val="auto"/>
        </w:rPr>
      </w:pPr>
      <w:r>
        <w:rPr>
          <w:rFonts w:ascii="Arial" w:cs="Arial" w:eastAsia="Arial" w:hAnsi="Arial"/>
          <w:sz w:val="17"/>
          <w:szCs w:val="17"/>
          <w:color w:val="auto"/>
        </w:rPr>
        <w:t xml:space="preserve">If the FDA or any other governmental agency initiates an enforcement action against us or if we are the subject of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81" w:lineRule="exact"/>
        <w:rPr>
          <w:sz w:val="20"/>
          <w:szCs w:val="20"/>
          <w:color w:val="auto"/>
        </w:rPr>
      </w:pPr>
    </w:p>
    <w:p>
      <w:pPr>
        <w:ind w:left="200" w:right="140" w:firstLine="551"/>
        <w:spacing w:after="0" w:line="264" w:lineRule="auto"/>
        <w:rPr>
          <w:sz w:val="20"/>
          <w:szCs w:val="20"/>
          <w:color w:val="auto"/>
        </w:rPr>
      </w:pPr>
      <w:r>
        <w:rPr>
          <w:rFonts w:ascii="Arial" w:cs="Arial" w:eastAsia="Arial" w:hAnsi="Arial"/>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73" w:lineRule="exact"/>
        <w:rPr>
          <w:sz w:val="20"/>
          <w:szCs w:val="20"/>
          <w:color w:val="auto"/>
        </w:rPr>
      </w:pPr>
    </w:p>
    <w:p>
      <w:pPr>
        <w:ind w:left="200" w:right="60" w:firstLine="551"/>
        <w:spacing w:after="0" w:line="255" w:lineRule="auto"/>
        <w:rPr>
          <w:sz w:val="20"/>
          <w:szCs w:val="20"/>
          <w:color w:val="auto"/>
        </w:rPr>
      </w:pPr>
      <w:r>
        <w:rPr>
          <w:rFonts w:ascii="Arial" w:cs="Arial" w:eastAsia="Arial" w:hAnsi="Arial"/>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189" w:lineRule="exact"/>
        <w:rPr>
          <w:sz w:val="20"/>
          <w:szCs w:val="20"/>
          <w:color w:val="auto"/>
        </w:rPr>
      </w:pPr>
    </w:p>
    <w:p>
      <w:pPr>
        <w:ind w:left="200" w:right="60" w:firstLine="551"/>
        <w:spacing w:after="0" w:line="291"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do not market any product for which we receive marketing approval for only its approved indications,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67" w:lineRule="exact"/>
        <w:rPr>
          <w:sz w:val="20"/>
          <w:szCs w:val="20"/>
          <w:color w:val="auto"/>
        </w:rPr>
      </w:pPr>
    </w:p>
    <w:p>
      <w:pPr>
        <w:ind w:left="200" w:right="400" w:firstLine="551"/>
        <w:spacing w:after="0" w:line="342" w:lineRule="auto"/>
        <w:rPr>
          <w:sz w:val="20"/>
          <w:szCs w:val="20"/>
          <w:color w:val="auto"/>
        </w:rPr>
      </w:pPr>
      <w:r>
        <w:rPr>
          <w:rFonts w:ascii="Arial" w:cs="Arial" w:eastAsia="Arial" w:hAnsi="Arial"/>
          <w:sz w:val="16"/>
          <w:szCs w:val="16"/>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7" w:lineRule="exact"/>
        <w:rPr>
          <w:sz w:val="20"/>
          <w:szCs w:val="20"/>
          <w:color w:val="auto"/>
        </w:rPr>
      </w:pPr>
    </w:p>
    <w:p>
      <w:pPr>
        <w:ind w:left="1180" w:hanging="436"/>
        <w:spacing w:after="0"/>
        <w:tabs>
          <w:tab w:leader="none" w:pos="11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restrictions on such product, manufacturers or manufacturing processes;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restrictions on the labeling or marketing of the product;</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restrictions on product distribution or use;</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180" w:hanging="436"/>
        <w:spacing w:after="0"/>
        <w:tabs>
          <w:tab w:leader="none" w:pos="11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requirements to conduct post-marketing studies or clinical trials;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warning letters or untitled letters;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withdrawal of the product from the market;</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refusal to approve pending applications or supplements to approved applications that we submit;</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recall of the product;</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restrictions on coverage by third-party payors;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fines, restitution or disgorgement of profits or revenues;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suspension or withdrawal of marketing approvals;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refusal to permit the import or export of the product;</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product seizure; or</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injunctions or the imposition of civil or criminal penalties.</w:t>
      </w:r>
    </w:p>
    <w:p>
      <w:pPr>
        <w:spacing w:after="0" w:line="33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i w:val="1"/>
          <w:iCs w:val="1"/>
          <w:color w:val="auto"/>
        </w:rPr>
        <w:t>Under the 21st Century Cures Act and regulatory reform initiatives of the current presidential administration, the FDA’s policies, regulations and guidance may be revised or revoked, which could prevent, limit or delay regulatory approval of nalbuphine ER or any future product candidate, impacting our ability to generate revenue.</w:t>
      </w:r>
    </w:p>
    <w:p>
      <w:pPr>
        <w:spacing w:after="0" w:line="73" w:lineRule="exact"/>
        <w:rPr>
          <w:sz w:val="20"/>
          <w:szCs w:val="20"/>
          <w:color w:val="auto"/>
        </w:rPr>
      </w:pPr>
    </w:p>
    <w:p>
      <w:pPr>
        <w:ind w:left="200" w:right="60" w:firstLine="551"/>
        <w:spacing w:after="0" w:line="257" w:lineRule="auto"/>
        <w:rPr>
          <w:sz w:val="20"/>
          <w:szCs w:val="20"/>
          <w:color w:val="auto"/>
        </w:rPr>
      </w:pPr>
      <w:r>
        <w:rPr>
          <w:rFonts w:ascii="Arial" w:cs="Arial" w:eastAsia="Arial" w:hAnsi="Arial"/>
          <w:sz w:val="18"/>
          <w:szCs w:val="18"/>
          <w:color w:val="auto"/>
        </w:rPr>
        <w:t>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88" w:lineRule="exact"/>
        <w:rPr>
          <w:sz w:val="20"/>
          <w:szCs w:val="20"/>
          <w:color w:val="auto"/>
        </w:rPr>
      </w:pPr>
    </w:p>
    <w:p>
      <w:pPr>
        <w:ind w:left="200" w:firstLine="551"/>
        <w:spacing w:after="0" w:line="267"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other countries.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under-resourced FDA could result in delays in the FDA’s responsiveness or in its ability to review submissions or applications, issue regulations or guidance, or implement or enforce regulatory requirements in a timely fashion or at all. In January 2017, the President issued an executive order applicable to all executive agencies, including the FDA, which required that for each notice of proposed rulemaking or final regulation to be issued in fiscal year 2017, the agency shall have identified at least two existing regulations to be repealed, unless prohibited by law. These requirements are referred to as the “two-for-one” provisions. This executive order includes a budget neutrality provision that required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the Office of Management and Budget in February 2017, the administration indicates that the “two-for-one” provisions may apply not only to agency regulations, but also to significant agency guidance documents. In addition, on February 24, 2017, the President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It is difficult to predict how these various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29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nalbuphine ER or any future product candidate and may affect the prices we may obtain.</w:t>
      </w:r>
    </w:p>
    <w:p>
      <w:pPr>
        <w:spacing w:after="0" w:line="62" w:lineRule="exact"/>
        <w:rPr>
          <w:sz w:val="20"/>
          <w:szCs w:val="20"/>
          <w:color w:val="auto"/>
        </w:rPr>
      </w:pPr>
    </w:p>
    <w:p>
      <w:pPr>
        <w:ind w:left="200" w:right="140" w:firstLine="551"/>
        <w:spacing w:after="0" w:line="259" w:lineRule="auto"/>
        <w:rPr>
          <w:sz w:val="20"/>
          <w:szCs w:val="20"/>
          <w:color w:val="auto"/>
        </w:rPr>
      </w:pPr>
      <w:r>
        <w:rPr>
          <w:rFonts w:ascii="Arial" w:cs="Arial" w:eastAsia="Arial" w:hAnsi="Arial"/>
          <w:sz w:val="18"/>
          <w:szCs w:val="18"/>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nalbuphine ER or any future product candidate, restrict or regulate post-approval activities and affect our ability to profitably sell any products for which we obtain marketing approval. We expect that current laws, as well as other healthcare reform measures that may</w:t>
      </w:r>
    </w:p>
    <w:p>
      <w:pPr>
        <w:sectPr>
          <w:pgSz w:w="11900" w:h="16838" w:orient="portrait"/>
          <w:cols w:equalWidth="0" w:num="1">
            <w:col w:w="11200"/>
          </w:cols>
          <w:pgMar w:left="240" w:top="459" w:right="459" w:bottom="1440" w:gutter="0" w:footer="0" w:header="0"/>
        </w:sectPr>
      </w:pP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00"/>
          </w:cols>
          <w:pgMar w:left="240" w:top="459" w:right="4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be adopted in the future, may result in more rigorous coverage criteria and in additional downward pressure on the price that we may receive for any approved products.</w:t>
      </w:r>
    </w:p>
    <w:p>
      <w:pPr>
        <w:spacing w:after="0" w:line="170" w:lineRule="exact"/>
        <w:rPr>
          <w:sz w:val="20"/>
          <w:szCs w:val="20"/>
          <w:color w:val="auto"/>
        </w:rPr>
      </w:pPr>
    </w:p>
    <w:p>
      <w:pPr>
        <w:ind w:left="200" w:right="180" w:firstLine="551"/>
        <w:spacing w:after="0" w:line="264" w:lineRule="auto"/>
        <w:rPr>
          <w:sz w:val="20"/>
          <w:szCs w:val="20"/>
          <w:color w:val="auto"/>
        </w:rPr>
      </w:pPr>
      <w:r>
        <w:rPr>
          <w:rFonts w:ascii="Arial" w:cs="Arial" w:eastAsia="Arial" w:hAnsi="Arial"/>
          <w:sz w:val="18"/>
          <w:szCs w:val="18"/>
          <w:color w:val="auto"/>
        </w:rPr>
        <w:t>In March 2010, then-President Obama signed into law the Patient Protection and Affordable Care Act, as amended by the Health Care and Education Reconciliation Act, or collectively, the ACA. Among the provisions of the ACA of potential importance to our business and nalbuphine ER or any future product candidate are the following:</w:t>
      </w:r>
    </w:p>
    <w:p>
      <w:pPr>
        <w:spacing w:after="0" w:line="76" w:lineRule="exact"/>
        <w:rPr>
          <w:sz w:val="20"/>
          <w:szCs w:val="20"/>
          <w:color w:val="auto"/>
        </w:rPr>
      </w:pPr>
    </w:p>
    <w:p>
      <w:pPr>
        <w:ind w:left="1180" w:hanging="436"/>
        <w:spacing w:after="0"/>
        <w:tabs>
          <w:tab w:leader="none" w:pos="1180" w:val="left"/>
        </w:tabs>
        <w:numPr>
          <w:ilvl w:val="0"/>
          <w:numId w:val="36"/>
        </w:numPr>
        <w:rPr>
          <w:rFonts w:ascii="Arial" w:cs="Arial" w:eastAsia="Arial" w:hAnsi="Arial"/>
          <w:sz w:val="21"/>
          <w:szCs w:val="21"/>
          <w:color w:val="auto"/>
        </w:rPr>
      </w:pPr>
      <w:r>
        <w:rPr>
          <w:rFonts w:ascii="Arial" w:cs="Arial" w:eastAsia="Arial" w:hAnsi="Arial"/>
          <w:sz w:val="17"/>
          <w:szCs w:val="17"/>
          <w:color w:val="auto"/>
        </w:rPr>
        <w:t>an annual, non-deductible fee on any entity that manufactures or imports specified branded prescription drugs and biologic agents;</w:t>
      </w:r>
    </w:p>
    <w:p>
      <w:pPr>
        <w:spacing w:after="0" w:line="111" w:lineRule="exact"/>
        <w:rPr>
          <w:rFonts w:ascii="Arial" w:cs="Arial" w:eastAsia="Arial" w:hAnsi="Arial"/>
          <w:sz w:val="21"/>
          <w:szCs w:val="21"/>
          <w:color w:val="auto"/>
        </w:rPr>
      </w:pPr>
    </w:p>
    <w:p>
      <w:pPr>
        <w:ind w:left="1180" w:hanging="436"/>
        <w:spacing w:after="0"/>
        <w:tabs>
          <w:tab w:leader="none" w:pos="11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34" w:lineRule="exact"/>
        <w:rPr>
          <w:rFonts w:ascii="Arial" w:cs="Arial" w:eastAsia="Arial" w:hAnsi="Arial"/>
          <w:sz w:val="22"/>
          <w:szCs w:val="22"/>
          <w:color w:val="auto"/>
        </w:rPr>
      </w:pPr>
    </w:p>
    <w:p>
      <w:pPr>
        <w:ind w:left="1180" w:right="20" w:hanging="436"/>
        <w:spacing w:after="0" w:line="232" w:lineRule="auto"/>
        <w:tabs>
          <w:tab w:leader="none" w:pos="11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109" w:lineRule="exact"/>
        <w:rPr>
          <w:rFonts w:ascii="Arial" w:cs="Arial" w:eastAsia="Arial" w:hAnsi="Arial"/>
          <w:sz w:val="22"/>
          <w:szCs w:val="22"/>
          <w:color w:val="auto"/>
        </w:rPr>
      </w:pPr>
    </w:p>
    <w:p>
      <w:pPr>
        <w:ind w:left="1180" w:right="560" w:hanging="436"/>
        <w:spacing w:after="0" w:line="232" w:lineRule="auto"/>
        <w:tabs>
          <w:tab w:leader="none" w:pos="11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a new Medicare Part D coverage gap discount program, in which manufacturers must agree to offer 70% point-of-sale discounts off negotiated prices;</w:t>
      </w:r>
    </w:p>
    <w:p>
      <w:pPr>
        <w:spacing w:after="0" w:line="86" w:lineRule="exact"/>
        <w:rPr>
          <w:rFonts w:ascii="Arial" w:cs="Arial" w:eastAsia="Arial" w:hAnsi="Arial"/>
          <w:sz w:val="22"/>
          <w:szCs w:val="22"/>
          <w:color w:val="auto"/>
        </w:rPr>
      </w:pPr>
    </w:p>
    <w:p>
      <w:pPr>
        <w:ind w:left="1180" w:hanging="436"/>
        <w:spacing w:after="0"/>
        <w:tabs>
          <w:tab w:leader="none" w:pos="11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extension of manufacturers’ Medicaid rebate liability;</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expansion of eligibility criteria for Medicaid programs;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new requirements to report certain financial arrangements with physicians and teaching hospitals;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34" w:lineRule="exact"/>
        <w:rPr>
          <w:rFonts w:ascii="Arial" w:cs="Arial" w:eastAsia="Arial" w:hAnsi="Arial"/>
          <w:sz w:val="22"/>
          <w:szCs w:val="22"/>
          <w:color w:val="auto"/>
        </w:rPr>
      </w:pPr>
    </w:p>
    <w:p>
      <w:pPr>
        <w:ind w:left="1180" w:right="480" w:hanging="436"/>
        <w:spacing w:after="0" w:line="232" w:lineRule="auto"/>
        <w:tabs>
          <w:tab w:leader="none" w:pos="11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04" w:lineRule="exact"/>
        <w:rPr>
          <w:sz w:val="20"/>
          <w:szCs w:val="20"/>
          <w:color w:val="auto"/>
        </w:rPr>
      </w:pPr>
    </w:p>
    <w:p>
      <w:pPr>
        <w:ind w:left="200" w:right="20" w:firstLine="551"/>
        <w:spacing w:after="0" w:line="272"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product for which we may obtain regulatory approval or the frequency with which any such product is prescribed or used.</w:t>
      </w:r>
    </w:p>
    <w:p>
      <w:pPr>
        <w:spacing w:after="0" w:line="178" w:lineRule="exact"/>
        <w:rPr>
          <w:sz w:val="20"/>
          <w:szCs w:val="20"/>
          <w:color w:val="auto"/>
        </w:rPr>
      </w:pPr>
    </w:p>
    <w:p>
      <w:pPr>
        <w:ind w:left="200" w:firstLine="551"/>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3" w:lineRule="exact"/>
        <w:rPr>
          <w:sz w:val="20"/>
          <w:szCs w:val="20"/>
          <w:color w:val="auto"/>
        </w:rPr>
      </w:pPr>
    </w:p>
    <w:p>
      <w:pPr>
        <w:ind w:left="200" w:right="160" w:firstLine="551"/>
        <w:spacing w:after="0" w:line="284" w:lineRule="auto"/>
        <w:rPr>
          <w:sz w:val="20"/>
          <w:szCs w:val="20"/>
          <w:color w:val="auto"/>
        </w:rPr>
      </w:pPr>
      <w:r>
        <w:rPr>
          <w:rFonts w:ascii="Arial" w:cs="Arial" w:eastAsia="Arial" w:hAnsi="Arial"/>
          <w:sz w:val="16"/>
          <w:szCs w:val="16"/>
          <w:color w:val="auto"/>
        </w:rPr>
        <w:t>Since enactment of the ACA, there have been numerous legal challenges and Congressional actions to repeal and replace provisions of the law. For example, with the December 2017 enactment of the Tax Cuts and Jobs Act of 2017, or the Tax Act, Congress repealed the “individual mandate.” The repeal of this provision, which requires most Americans to carry a minimal level of health insurance, became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percent to</w:t>
      </w:r>
    </w:p>
    <w:p>
      <w:pPr>
        <w:spacing w:after="0" w:line="1"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70 percent the point-of-sale discount that is owed by pharmaceutical manufacturers who participate in Medicare Part D and to close the coverage gap in most Medicare drug plans, commonly referred to as the “donut hole.” Further, each chamber of the Congress has put forth multiple bills designed to repeal or repeal and replace portions of the ACA. Although none of these measures has been enacted by Congress to date, Congress may consider other legislation to repeal and replace elements of the ACA. Congress will likely consider other legislation to replace elements of the ACA during the next congressional session.</w:t>
      </w:r>
    </w:p>
    <w:p>
      <w:pPr>
        <w:spacing w:after="0" w:line="191" w:lineRule="exact"/>
        <w:rPr>
          <w:sz w:val="20"/>
          <w:szCs w:val="20"/>
          <w:color w:val="auto"/>
        </w:rPr>
      </w:pPr>
    </w:p>
    <w:p>
      <w:pPr>
        <w:ind w:left="200" w:right="60" w:firstLine="551"/>
        <w:spacing w:after="0" w:line="277" w:lineRule="auto"/>
        <w:rPr>
          <w:sz w:val="20"/>
          <w:szCs w:val="20"/>
          <w:color w:val="auto"/>
        </w:rPr>
      </w:pPr>
      <w:r>
        <w:rPr>
          <w:rFonts w:ascii="Arial" w:cs="Arial" w:eastAsia="Arial" w:hAnsi="Arial"/>
          <w:sz w:val="18"/>
          <w:szCs w:val="18"/>
          <w:color w:val="auto"/>
        </w:rPr>
        <w:t>The current presidential administration has also taken executive actions to undermine or delay implementation of the ACA. In January 2017, the President signed an executive order directing federal agencies with authorities and responsibilities under the ACA to</w:t>
      </w:r>
    </w:p>
    <w:p>
      <w:pPr>
        <w:sectPr>
          <w:pgSz w:w="11900" w:h="16838" w:orient="portrait"/>
          <w:cols w:equalWidth="0" w:num="1">
            <w:col w:w="11220"/>
          </w:cols>
          <w:pgMar w:left="240" w:top="459" w:right="439" w:bottom="1440" w:gutter="0" w:footer="0" w:header="0"/>
        </w:sectPr>
      </w:pP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20"/>
          </w:cols>
          <w:pgMar w:left="240" w:top="459" w:right="4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waive, defer, grant exemptions from, or delay the implementation of any provision of the 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ACA exchanges. At the same time, the current presidential administration announced that it will discontinue the payment of cost-sharing reduction, or CSR, payments to insurance companies until Congress approves the appropriation of funds for such CSR payments. The loss of the CSR payments is expected to increase premiums on certain policies issued by qualified health plans under the ACA. A bipartisan bill to appropriate funds for CSR payments was introduced in the Senate, but the future of that bill is uncertain. Further, in July 2018 following a federal district court decision from New Mexico, the current presidential administration announced that it would be freezing payments to insurers under the ACA to cover sicker patients until it or Congress can address the appropriate methodology for calculating and making such payments. It remains to be seen how this action will affect the implementation of the ACA.</w:t>
      </w:r>
    </w:p>
    <w:p>
      <w:pPr>
        <w:spacing w:after="0" w:line="178" w:lineRule="exact"/>
        <w:rPr>
          <w:sz w:val="20"/>
          <w:szCs w:val="20"/>
          <w:color w:val="auto"/>
        </w:rPr>
      </w:pPr>
    </w:p>
    <w:p>
      <w:pPr>
        <w:ind w:left="200" w:right="180" w:firstLine="551"/>
        <w:spacing w:after="0" w:line="272" w:lineRule="auto"/>
        <w:rPr>
          <w:sz w:val="20"/>
          <w:szCs w:val="20"/>
          <w:color w:val="auto"/>
        </w:rPr>
      </w:pPr>
      <w:r>
        <w:rPr>
          <w:rFonts w:ascii="Arial" w:cs="Arial" w:eastAsia="Arial" w:hAnsi="Arial"/>
          <w:sz w:val="17"/>
          <w:szCs w:val="17"/>
          <w:color w:val="auto"/>
        </w:rPr>
        <w:t>We plan to continue to evaluate the effect that the ACA and its possible repeal and replacement could have on our business. It is possible that repeal and replacement initiatives, if enacted into law, could ultimately result in fewer individuals having health insurance coverage or in individuals having insurance coverage with less generous benefits. While the timing and scope of any potential future legislation to repeal and replace ACA provisions is uncertain in many respects, it is also possible that some of the ACA provisions that generally are not favorable for the research-based pharmaceutical industry could also be repealed along with ACA coverage expansion provisions. Accordingly, such reforms, if enacted, could have an adverse effect on anticipated revenue from product candidates that we may successfully develop and for which we may obtain marketing approval and may affect our overall financial condition and ability to develop commercialize product candidates.</w:t>
      </w:r>
    </w:p>
    <w:p>
      <w:pPr>
        <w:spacing w:after="0" w:line="178" w:lineRule="exact"/>
        <w:rPr>
          <w:sz w:val="20"/>
          <w:szCs w:val="20"/>
          <w:color w:val="auto"/>
        </w:rPr>
      </w:pPr>
    </w:p>
    <w:p>
      <w:pPr>
        <w:ind w:left="200" w:right="60" w:firstLine="551"/>
        <w:spacing w:after="0" w:line="290" w:lineRule="auto"/>
        <w:rPr>
          <w:sz w:val="20"/>
          <w:szCs w:val="20"/>
          <w:color w:val="auto"/>
        </w:rPr>
      </w:pPr>
      <w:r>
        <w:rPr>
          <w:rFonts w:ascii="Arial" w:cs="Arial" w:eastAsia="Arial" w:hAnsi="Arial"/>
          <w:sz w:val="16"/>
          <w:szCs w:val="16"/>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current presidential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current presidential administration have each indicated that it will continue to seek new legislative and/or administrative measures to control drug costs.</w:t>
      </w:r>
    </w:p>
    <w:p>
      <w:pPr>
        <w:spacing w:after="0" w:line="166" w:lineRule="exact"/>
        <w:rPr>
          <w:sz w:val="20"/>
          <w:szCs w:val="20"/>
          <w:color w:val="auto"/>
        </w:rPr>
      </w:pPr>
    </w:p>
    <w:p>
      <w:pPr>
        <w:ind w:left="200" w:right="60" w:firstLine="551"/>
        <w:spacing w:after="0" w:line="270" w:lineRule="auto"/>
        <w:rPr>
          <w:sz w:val="20"/>
          <w:szCs w:val="20"/>
          <w:color w:val="auto"/>
        </w:rPr>
      </w:pPr>
      <w:r>
        <w:rPr>
          <w:rFonts w:ascii="Arial" w:cs="Arial" w:eastAsia="Arial" w:hAnsi="Arial"/>
          <w:sz w:val="17"/>
          <w:szCs w:val="17"/>
          <w:color w:val="auto"/>
        </w:rPr>
        <w:t>In addition, on May 11, 2018, the current presidential administration issued a plan to lower drug prices. Under this blueprint for action, the current presidential administration indicated that the Department of Health and Human Services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improve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w:t>
      </w:r>
    </w:p>
    <w:p>
      <w:pPr>
        <w:spacing w:after="0" w:line="178" w:lineRule="exact"/>
        <w:rPr>
          <w:sz w:val="20"/>
          <w:szCs w:val="20"/>
          <w:color w:val="auto"/>
        </w:rPr>
      </w:pPr>
    </w:p>
    <w:p>
      <w:pPr>
        <w:ind w:left="200" w:right="20" w:firstLine="551"/>
        <w:spacing w:after="0" w:line="273"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if approved, or put pressure on our product pricing.</w:t>
      </w:r>
    </w:p>
    <w:p>
      <w:pPr>
        <w:spacing w:after="0" w:line="178" w:lineRule="exact"/>
        <w:rPr>
          <w:sz w:val="20"/>
          <w:szCs w:val="20"/>
          <w:color w:val="auto"/>
        </w:rPr>
      </w:pPr>
    </w:p>
    <w:p>
      <w:pPr>
        <w:ind w:left="200" w:right="120" w:firstLine="551"/>
        <w:spacing w:after="0" w:line="276" w:lineRule="auto"/>
        <w:rPr>
          <w:sz w:val="20"/>
          <w:szCs w:val="20"/>
          <w:color w:val="auto"/>
        </w:rPr>
      </w:pPr>
      <w:r>
        <w:rPr>
          <w:rFonts w:ascii="Arial" w:cs="Arial" w:eastAsia="Arial" w:hAnsi="Arial"/>
          <w:sz w:val="17"/>
          <w:szCs w:val="17"/>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FDA regulations, guidance or interpretations will be changed, or what the impact of such changes on the marketing approvals of our drug candidates, if any, may be. In addition, increased scrutiny by the Congress of the FDA’s approval process may significantly delay or prevent marketing approval, as well as subject us and any collaborators to more stringent drug labeling and post-marketing testing and other requirements.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302" w:lineRule="auto"/>
        <w:rPr>
          <w:sz w:val="20"/>
          <w:szCs w:val="20"/>
          <w:color w:val="auto"/>
        </w:rPr>
      </w:pPr>
      <w:r>
        <w:rPr>
          <w:rFonts w:ascii="Arial" w:cs="Arial" w:eastAsia="Arial" w:hAnsi="Arial"/>
          <w:sz w:val="16"/>
          <w:szCs w:val="16"/>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46" w:lineRule="exact"/>
        <w:rPr>
          <w:sz w:val="20"/>
          <w:szCs w:val="20"/>
          <w:color w:val="auto"/>
        </w:rPr>
      </w:pPr>
    </w:p>
    <w:p>
      <w:pPr>
        <w:ind w:left="200" w:right="100" w:firstLine="551"/>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88" w:lineRule="exact"/>
        <w:rPr>
          <w:sz w:val="20"/>
          <w:szCs w:val="20"/>
          <w:color w:val="auto"/>
        </w:rPr>
      </w:pPr>
    </w:p>
    <w:p>
      <w:pPr>
        <w:ind w:left="200" w:right="100" w:firstLine="551"/>
        <w:spacing w:after="0" w:line="259" w:lineRule="auto"/>
        <w:rPr>
          <w:sz w:val="20"/>
          <w:szCs w:val="20"/>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 The federal Anti-Kickback Statute prohibits, among other things, persons and entities from knowingly and willfully</w:t>
      </w:r>
      <w:r>
        <w:rPr>
          <w:rFonts w:ascii="Arial" w:cs="Arial" w:eastAsia="Arial" w:hAnsi="Arial"/>
          <w:sz w:val="18"/>
          <w:szCs w:val="18"/>
          <w:i w:val="1"/>
          <w:iCs w:val="1"/>
          <w:color w:val="auto"/>
        </w:rPr>
        <w:t xml:space="preserve"> </w:t>
      </w:r>
      <w:r>
        <w:rPr>
          <w:rFonts w:ascii="Arial" w:cs="Arial" w:eastAsia="Arial" w:hAnsi="Arial"/>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87" w:lineRule="exact"/>
        <w:rPr>
          <w:sz w:val="20"/>
          <w:szCs w:val="20"/>
          <w:color w:val="auto"/>
        </w:rPr>
      </w:pPr>
    </w:p>
    <w:p>
      <w:pPr>
        <w:ind w:left="200" w:right="20" w:firstLine="551"/>
        <w:spacing w:after="0" w:line="257" w:lineRule="auto"/>
        <w:rPr>
          <w:sz w:val="20"/>
          <w:szCs w:val="20"/>
          <w:color w:val="auto"/>
        </w:rPr>
      </w:pPr>
      <w:r>
        <w:rPr>
          <w:rFonts w:ascii="Arial" w:cs="Arial" w:eastAsia="Arial" w:hAnsi="Arial"/>
          <w:sz w:val="18"/>
          <w:szCs w:val="18"/>
          <w:i w:val="1"/>
          <w:iCs w:val="1"/>
          <w:color w:val="auto"/>
        </w:rPr>
        <w:t xml:space="preserve">False Claims Laws. </w:t>
      </w:r>
      <w:r>
        <w:rPr>
          <w:rFonts w:ascii="Arial" w:cs="Arial" w:eastAsia="Arial" w:hAnsi="Arial"/>
          <w:sz w:val="18"/>
          <w:szCs w:val="18"/>
          <w:color w:val="auto"/>
        </w:rPr>
        <w:t>The federal false claims and civil monetary penalties laws, including the federal civil False Claims Act, impose criminal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88" w:lineRule="exact"/>
        <w:rPr>
          <w:sz w:val="20"/>
          <w:szCs w:val="20"/>
          <w:color w:val="auto"/>
        </w:rPr>
      </w:pPr>
    </w:p>
    <w:p>
      <w:pPr>
        <w:ind w:left="200" w:right="120" w:firstLine="551"/>
        <w:spacing w:after="0" w:line="273" w:lineRule="auto"/>
        <w:rPr>
          <w:sz w:val="20"/>
          <w:szCs w:val="20"/>
          <w:color w:val="auto"/>
        </w:rPr>
      </w:pPr>
      <w:r>
        <w:rPr>
          <w:rFonts w:ascii="Arial" w:cs="Arial" w:eastAsia="Arial" w:hAnsi="Arial"/>
          <w:sz w:val="17"/>
          <w:szCs w:val="17"/>
          <w:i w:val="1"/>
          <w:iCs w:val="1"/>
          <w:color w:val="auto"/>
        </w:rPr>
        <w:t xml:space="preserve">HIPAA. </w:t>
      </w:r>
      <w:r>
        <w:rPr>
          <w:rFonts w:ascii="Arial" w:cs="Arial" w:eastAsia="Arial" w:hAnsi="Arial"/>
          <w:sz w:val="17"/>
          <w:szCs w:val="17"/>
          <w:color w:val="auto"/>
        </w:rPr>
        <w:t>The federal Health Insurance Portability and Accountability Act of 1996, or HIPAA, imposes criminal and civil liability for, among</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78" w:lineRule="exact"/>
        <w:rPr>
          <w:sz w:val="20"/>
          <w:szCs w:val="20"/>
          <w:color w:val="auto"/>
        </w:rPr>
      </w:pPr>
    </w:p>
    <w:p>
      <w:pPr>
        <w:ind w:left="200" w:right="100" w:firstLine="551"/>
        <w:spacing w:after="0" w:line="302" w:lineRule="auto"/>
        <w:rPr>
          <w:sz w:val="20"/>
          <w:szCs w:val="20"/>
          <w:color w:val="auto"/>
        </w:rPr>
      </w:pPr>
      <w:r>
        <w:rPr>
          <w:rFonts w:ascii="Arial" w:cs="Arial" w:eastAsia="Arial" w:hAnsi="Arial"/>
          <w:sz w:val="16"/>
          <w:szCs w:val="16"/>
          <w:i w:val="1"/>
          <w:iCs w:val="1"/>
          <w:color w:val="auto"/>
        </w:rPr>
        <w:t xml:space="preserve">Transparency Requirements. </w:t>
      </w:r>
      <w:r>
        <w:rPr>
          <w:rFonts w:ascii="Arial" w:cs="Arial" w:eastAsia="Arial" w:hAnsi="Arial"/>
          <w:sz w:val="16"/>
          <w:szCs w:val="16"/>
          <w:color w:val="auto"/>
        </w:rPr>
        <w:t>The federal Physician Payments Sunshine Act requires certain manufacturers of drugs, devices, biologics and</w:t>
      </w:r>
      <w:r>
        <w:rPr>
          <w:rFonts w:ascii="Arial" w:cs="Arial" w:eastAsia="Arial" w:hAnsi="Arial"/>
          <w:sz w:val="16"/>
          <w:szCs w:val="16"/>
          <w:i w:val="1"/>
          <w:iCs w:val="1"/>
          <w:color w:val="auto"/>
        </w:rPr>
        <w:t xml:space="preserve"> </w:t>
      </w:r>
      <w:r>
        <w:rPr>
          <w:rFonts w:ascii="Arial" w:cs="Arial" w:eastAsia="Arial" w:hAnsi="Arial"/>
          <w:sz w:val="16"/>
          <w:szCs w:val="16"/>
          <w:color w:val="auto"/>
        </w:rPr>
        <w:t>medical supplies for which payment is available under Medicare, Medicaid or the Children’s Health Insurance Program, with specific exceptions, to report annually to the Centers for Medicare &amp; Medicaid Services information related to payments or transfers of value made to physicians and teaching hospitals, as well as information regarding ownership and investment interests held by physicians and their immediate family members.</w:t>
      </w:r>
    </w:p>
    <w:p>
      <w:pPr>
        <w:spacing w:after="0" w:line="154" w:lineRule="exact"/>
        <w:rPr>
          <w:sz w:val="20"/>
          <w:szCs w:val="20"/>
          <w:color w:val="auto"/>
        </w:rPr>
      </w:pPr>
    </w:p>
    <w:p>
      <w:pPr>
        <w:ind w:left="200" w:firstLine="551"/>
        <w:spacing w:after="0" w:line="254" w:lineRule="auto"/>
        <w:rPr>
          <w:sz w:val="20"/>
          <w:szCs w:val="20"/>
          <w:color w:val="auto"/>
        </w:rPr>
      </w:pPr>
      <w:r>
        <w:rPr>
          <w:rFonts w:ascii="Arial" w:cs="Arial" w:eastAsia="Arial" w:hAnsi="Arial"/>
          <w:sz w:val="18"/>
          <w:szCs w:val="18"/>
          <w:i w:val="1"/>
          <w:iCs w:val="1"/>
          <w:color w:val="auto"/>
        </w:rPr>
        <w:t xml:space="preserve">Analogous State and Foreign Laws. </w:t>
      </w:r>
      <w:r>
        <w:rPr>
          <w:rFonts w:ascii="Arial" w:cs="Arial" w:eastAsia="Arial" w:hAnsi="Arial"/>
          <w:sz w:val="18"/>
          <w:szCs w:val="18"/>
          <w:color w:val="auto"/>
        </w:rPr>
        <w:t>Analogous state and foreign fraud and abuse laws and regulations, such as state anti-kickback and false</w:t>
      </w:r>
      <w:r>
        <w:rPr>
          <w:rFonts w:ascii="Arial" w:cs="Arial" w:eastAsia="Arial" w:hAnsi="Arial"/>
          <w:sz w:val="18"/>
          <w:szCs w:val="18"/>
          <w:i w:val="1"/>
          <w:iCs w:val="1"/>
          <w:color w:val="auto"/>
        </w:rPr>
        <w:t xml:space="preserve"> </w:t>
      </w:r>
      <w:r>
        <w:rPr>
          <w:rFonts w:ascii="Arial" w:cs="Arial" w:eastAsia="Arial" w:hAnsi="Arial"/>
          <w:sz w:val="18"/>
          <w:szCs w:val="18"/>
          <w:color w:val="auto"/>
        </w:rPr>
        <w:t>claims 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ind w:left="200" w:firstLine="551"/>
        <w:spacing w:after="0" w:line="287" w:lineRule="auto"/>
        <w:rPr>
          <w:sz w:val="20"/>
          <w:szCs w:val="20"/>
          <w:color w:val="auto"/>
        </w:rPr>
      </w:pPr>
      <w:r>
        <w:rPr>
          <w:rFonts w:ascii="Arial" w:cs="Arial" w:eastAsia="Arial" w:hAnsi="Arial"/>
          <w:sz w:val="16"/>
          <w:szCs w:val="16"/>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551"/>
        <w:spacing w:after="0" w:line="25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European Union Member States, such as the U.K. Bribery Act 2010. Infringement of these laws could result in substantial fines and imprisonment.</w:t>
      </w:r>
    </w:p>
    <w:p>
      <w:pPr>
        <w:spacing w:after="0" w:line="187" w:lineRule="exact"/>
        <w:rPr>
          <w:sz w:val="20"/>
          <w:szCs w:val="20"/>
          <w:color w:val="auto"/>
        </w:rPr>
      </w:pPr>
    </w:p>
    <w:p>
      <w:pPr>
        <w:ind w:left="200" w:right="20" w:firstLine="551"/>
        <w:spacing w:after="0" w:line="257"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ind w:left="200" w:firstLine="551"/>
        <w:spacing w:after="0" w:line="287" w:lineRule="auto"/>
        <w:rPr>
          <w:sz w:val="20"/>
          <w:szCs w:val="20"/>
          <w:color w:val="auto"/>
        </w:rPr>
      </w:pPr>
      <w:r>
        <w:rPr>
          <w:rFonts w:ascii="Arial" w:cs="Arial" w:eastAsia="Arial" w:hAnsi="Arial"/>
          <w:sz w:val="16"/>
          <w:szCs w:val="16"/>
          <w:color w:val="auto"/>
        </w:rPr>
        <w:t>The collection, use, disclosure, transfer or other processing of personal data, including personal health data, of individuals in the European Union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European Union, including the United States.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277" w:lineRule="exact"/>
        <w:rPr>
          <w:sz w:val="20"/>
          <w:szCs w:val="20"/>
          <w:color w:val="auto"/>
        </w:rPr>
      </w:pPr>
    </w:p>
    <w:p>
      <w:pPr>
        <w:ind w:left="200" w:right="460"/>
        <w:spacing w:after="0" w:line="342"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16" w:lineRule="exact"/>
        <w:rPr>
          <w:sz w:val="20"/>
          <w:szCs w:val="20"/>
          <w:color w:val="auto"/>
        </w:rPr>
      </w:pPr>
    </w:p>
    <w:p>
      <w:pPr>
        <w:ind w:left="200" w:right="60" w:firstLine="551"/>
        <w:spacing w:after="0" w:line="291" w:lineRule="auto"/>
        <w:rPr>
          <w:sz w:val="20"/>
          <w:szCs w:val="20"/>
          <w:color w:val="auto"/>
        </w:rPr>
      </w:pPr>
      <w:r>
        <w:rPr>
          <w:rFonts w:ascii="Arial" w:cs="Arial" w:eastAsia="Arial" w:hAnsi="Arial"/>
          <w:sz w:val="16"/>
          <w:szCs w:val="16"/>
          <w:color w:val="auto"/>
        </w:rPr>
        <w:t>If we expand our operations outside the United States,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67" w:lineRule="exact"/>
        <w:rPr>
          <w:sz w:val="20"/>
          <w:szCs w:val="20"/>
          <w:color w:val="auto"/>
        </w:rPr>
      </w:pPr>
    </w:p>
    <w:p>
      <w:pPr>
        <w:ind w:left="200" w:right="140" w:firstLine="551"/>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left="200" w:right="220" w:firstLine="551"/>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8" w:lineRule="exact"/>
        <w:rPr>
          <w:sz w:val="20"/>
          <w:szCs w:val="20"/>
          <w:color w:val="auto"/>
        </w:rPr>
      </w:pPr>
    </w:p>
    <w:p>
      <w:pPr>
        <w:jc w:val="both"/>
        <w:ind w:left="200" w:right="120" w:firstLine="551"/>
        <w:spacing w:after="0" w:line="264"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left="200" w:right="240" w:firstLine="551"/>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left="200" w:right="140" w:firstLine="551"/>
        <w:spacing w:after="0" w:line="264"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181" w:lineRule="exact"/>
        <w:rPr>
          <w:sz w:val="20"/>
          <w:szCs w:val="20"/>
          <w:color w:val="auto"/>
        </w:rPr>
      </w:pPr>
    </w:p>
    <w:p>
      <w:pPr>
        <w:ind w:left="200" w:right="100" w:firstLine="551"/>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ind w:left="200" w:firstLine="551"/>
        <w:spacing w:after="0" w:line="257" w:lineRule="auto"/>
        <w:rPr>
          <w:sz w:val="20"/>
          <w:szCs w:val="20"/>
          <w:color w:val="auto"/>
        </w:rPr>
      </w:pPr>
      <w:r>
        <w:rPr>
          <w:rFonts w:ascii="Arial" w:cs="Arial" w:eastAsia="Arial" w:hAnsi="Arial"/>
          <w:sz w:val="18"/>
          <w:szCs w:val="18"/>
          <w:color w:val="auto"/>
        </w:rPr>
        <w:t>In some countries, such as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a product to other available therapies. If reimbursement of any products is unavailable or limited in scope or amount, or if pricing is set at unsatisfactory levels, our business could be harmed.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ind w:left="200" w:right="20" w:firstLine="551"/>
        <w:spacing w:after="0" w:line="272" w:lineRule="auto"/>
        <w:rPr>
          <w:sz w:val="20"/>
          <w:szCs w:val="20"/>
          <w:color w:val="auto"/>
        </w:rPr>
      </w:pPr>
      <w:r>
        <w:rPr>
          <w:rFonts w:ascii="Arial" w:cs="Arial" w:eastAsia="Arial" w:hAnsi="Arial"/>
          <w:sz w:val="17"/>
          <w:szCs w:val="17"/>
          <w:color w:val="auto"/>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nalbuphine ER or any future product candidate could be significantly delayed.</w:t>
      </w:r>
    </w:p>
    <w:p>
      <w:pPr>
        <w:spacing w:after="0" w:line="178" w:lineRule="exact"/>
        <w:rPr>
          <w:sz w:val="20"/>
          <w:szCs w:val="20"/>
          <w:color w:val="auto"/>
        </w:rPr>
      </w:pPr>
    </w:p>
    <w:p>
      <w:pPr>
        <w:ind w:left="200" w:right="40" w:firstLine="551"/>
        <w:spacing w:after="0" w:line="270" w:lineRule="auto"/>
        <w:rPr>
          <w:sz w:val="20"/>
          <w:szCs w:val="20"/>
          <w:color w:val="auto"/>
        </w:rPr>
      </w:pPr>
      <w:r>
        <w:rPr>
          <w:rFonts w:ascii="Arial" w:cs="Arial" w:eastAsia="Arial" w:hAnsi="Arial"/>
          <w:sz w:val="17"/>
          <w:szCs w:val="17"/>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team and to attract, retain and motivate qualified personnel.</w:t>
      </w:r>
    </w:p>
    <w:p>
      <w:pPr>
        <w:spacing w:after="0" w:line="117" w:lineRule="exact"/>
        <w:rPr>
          <w:sz w:val="20"/>
          <w:szCs w:val="20"/>
          <w:color w:val="auto"/>
        </w:rPr>
      </w:pPr>
    </w:p>
    <w:p>
      <w:pPr>
        <w:ind w:left="200" w:right="160" w:firstLine="551"/>
        <w:spacing w:after="0" w:line="259" w:lineRule="auto"/>
        <w:rPr>
          <w:sz w:val="20"/>
          <w:szCs w:val="20"/>
          <w:color w:val="auto"/>
        </w:rPr>
      </w:pPr>
      <w:r>
        <w:rPr>
          <w:rFonts w:ascii="Arial" w:cs="Arial" w:eastAsia="Arial" w:hAnsi="Arial"/>
          <w:sz w:val="18"/>
          <w:szCs w:val="18"/>
          <w:color w:val="auto"/>
        </w:rPr>
        <w:t>We are highly dependent on Jennifer Good, our President and Chief Executive Officer; Thomas Sciascia, M.D., our Chief Medical Officer; and Helena Brett-Smith, M.D., our Chief Development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and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except with respect to Yann Mazabraud, our Chief Commercial Officer and Head of International, whose employment agreement provides for a three-month termination notice period, all of the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187" w:lineRule="exact"/>
        <w:rPr>
          <w:sz w:val="20"/>
          <w:szCs w:val="20"/>
          <w:color w:val="auto"/>
        </w:rPr>
      </w:pPr>
    </w:p>
    <w:p>
      <w:pPr>
        <w:ind w:left="200" w:firstLine="551"/>
        <w:spacing w:after="0" w:line="290" w:lineRule="auto"/>
        <w:rPr>
          <w:sz w:val="20"/>
          <w:szCs w:val="20"/>
          <w:color w:val="auto"/>
        </w:rPr>
      </w:pPr>
      <w:r>
        <w:rPr>
          <w:rFonts w:ascii="Arial" w:cs="Arial" w:eastAsia="Arial" w:hAnsi="Arial"/>
          <w:sz w:val="16"/>
          <w:szCs w:val="16"/>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66" w:lineRule="exact"/>
        <w:rPr>
          <w:sz w:val="20"/>
          <w:szCs w:val="20"/>
          <w:color w:val="auto"/>
        </w:rPr>
      </w:pPr>
    </w:p>
    <w:p>
      <w:pPr>
        <w:ind w:left="200" w:right="20" w:firstLine="551"/>
        <w:spacing w:after="0" w:line="279" w:lineRule="auto"/>
        <w:rPr>
          <w:sz w:val="20"/>
          <w:szCs w:val="20"/>
          <w:color w:val="auto"/>
        </w:rPr>
      </w:pPr>
      <w:r>
        <w:rPr>
          <w:rFonts w:ascii="Arial" w:cs="Arial" w:eastAsia="Arial" w:hAnsi="Arial"/>
          <w:sz w:val="17"/>
          <w:szCs w:val="17"/>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nalbuphine ER or any future product candidate will be limited.</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We expect to expand our organization, and as a result, we may encounter difficulties in managing our growth, which could disrupt our operations.</w:t>
      </w:r>
    </w:p>
    <w:p>
      <w:pPr>
        <w:spacing w:after="0" w:line="152" w:lineRule="exact"/>
        <w:rPr>
          <w:sz w:val="20"/>
          <w:szCs w:val="20"/>
          <w:color w:val="auto"/>
        </w:rPr>
      </w:pPr>
    </w:p>
    <w:p>
      <w:pPr>
        <w:ind w:left="200" w:firstLine="551"/>
        <w:spacing w:after="0" w:line="269" w:lineRule="auto"/>
        <w:rPr>
          <w:sz w:val="20"/>
          <w:szCs w:val="20"/>
          <w:color w:val="auto"/>
        </w:rPr>
      </w:pPr>
      <w:r>
        <w:rPr>
          <w:rFonts w:ascii="Arial" w:cs="Arial" w:eastAsia="Arial" w:hAnsi="Arial"/>
          <w:sz w:val="17"/>
          <w:szCs w:val="17"/>
          <w:color w:val="auto"/>
        </w:rPr>
        <w:t>As of March 31, 2019, we had 16 employees. We expect to experience significant growth in the number of our employees and the scope of our operations, particularly in the areas of clinical development and regulatory affairs. In addition,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nalbuphine ER for additional indications or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any product candidate.</w:t>
      </w:r>
    </w:p>
    <w:p>
      <w:pPr>
        <w:spacing w:after="0" w:line="288" w:lineRule="exact"/>
        <w:rPr>
          <w:sz w:val="20"/>
          <w:szCs w:val="20"/>
          <w:color w:val="auto"/>
        </w:rPr>
      </w:pPr>
    </w:p>
    <w:p>
      <w:pPr>
        <w:ind w:left="200" w:right="32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38" w:lineRule="exact"/>
        <w:rPr>
          <w:sz w:val="20"/>
          <w:szCs w:val="20"/>
          <w:color w:val="auto"/>
        </w:rPr>
      </w:pPr>
    </w:p>
    <w:p>
      <w:pPr>
        <w:ind w:left="200" w:firstLine="551"/>
        <w:spacing w:after="0" w:line="268" w:lineRule="auto"/>
        <w:rPr>
          <w:sz w:val="20"/>
          <w:szCs w:val="20"/>
          <w:color w:val="auto"/>
        </w:rPr>
      </w:pPr>
      <w:r>
        <w:rPr>
          <w:rFonts w:ascii="Arial" w:cs="Arial" w:eastAsia="Arial" w:hAnsi="Arial"/>
          <w:sz w:val="17"/>
          <w:szCs w:val="17"/>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sustainable.</w:t>
      </w:r>
    </w:p>
    <w:p>
      <w:pPr>
        <w:spacing w:after="0" w:line="117" w:lineRule="exact"/>
        <w:rPr>
          <w:sz w:val="20"/>
          <w:szCs w:val="20"/>
          <w:color w:val="auto"/>
        </w:rPr>
      </w:pPr>
    </w:p>
    <w:p>
      <w:pPr>
        <w:ind w:left="200" w:right="200" w:firstLine="551"/>
        <w:spacing w:after="0" w:line="257" w:lineRule="auto"/>
        <w:rPr>
          <w:sz w:val="20"/>
          <w:szCs w:val="20"/>
          <w:color w:val="auto"/>
        </w:rPr>
      </w:pPr>
      <w:r>
        <w:rPr>
          <w:rFonts w:ascii="Arial" w:cs="Arial" w:eastAsia="Arial" w:hAnsi="Arial"/>
          <w:sz w:val="18"/>
          <w:szCs w:val="18"/>
          <w:color w:val="auto"/>
        </w:rPr>
        <w:t>Our shares of common stock began trading on the Nasdaq Global Market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The trading price of our common stock is highly volatile, which could result in substantial losses for purchasers of our common stock.</w:t>
      </w:r>
    </w:p>
    <w:p>
      <w:pPr>
        <w:spacing w:after="0" w:line="129" w:lineRule="exact"/>
        <w:rPr>
          <w:sz w:val="20"/>
          <w:szCs w:val="20"/>
          <w:color w:val="auto"/>
        </w:rPr>
      </w:pPr>
    </w:p>
    <w:p>
      <w:pPr>
        <w:ind w:left="200" w:right="420" w:firstLine="551"/>
        <w:spacing w:after="0" w:line="286" w:lineRule="auto"/>
        <w:rPr>
          <w:sz w:val="20"/>
          <w:szCs w:val="20"/>
          <w:color w:val="auto"/>
        </w:rPr>
      </w:pPr>
      <w:r>
        <w:rPr>
          <w:rFonts w:ascii="Arial" w:cs="Arial" w:eastAsia="Arial" w:hAnsi="Arial"/>
          <w:sz w:val="17"/>
          <w:szCs w:val="17"/>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48" w:lineRule="exact"/>
        <w:rPr>
          <w:sz w:val="20"/>
          <w:szCs w:val="20"/>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the timing and results of clinical trials of nalbuphine ER or any future product candidates;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the success of existing or new competitive products or technologies;</w:t>
      </w:r>
    </w:p>
    <w:p>
      <w:pPr>
        <w:spacing w:after="0" w:line="123"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1"/>
          <w:szCs w:val="21"/>
          <w:color w:val="auto"/>
        </w:rPr>
      </w:pPr>
      <w:r>
        <w:rPr>
          <w:rFonts w:ascii="Arial" w:cs="Arial" w:eastAsia="Arial" w:hAnsi="Arial"/>
          <w:sz w:val="17"/>
          <w:szCs w:val="17"/>
          <w:color w:val="auto"/>
        </w:rPr>
        <w:t>regulatory actions with respect to nalbuphine ER or any future product candidates or competitors’ products and product candidates;</w:t>
      </w:r>
    </w:p>
    <w:p>
      <w:pPr>
        <w:spacing w:after="0" w:line="134" w:lineRule="exact"/>
        <w:rPr>
          <w:rFonts w:ascii="Arial" w:cs="Arial" w:eastAsia="Arial" w:hAnsi="Arial"/>
          <w:sz w:val="21"/>
          <w:szCs w:val="21"/>
          <w:color w:val="auto"/>
        </w:rPr>
      </w:pPr>
    </w:p>
    <w:p>
      <w:pPr>
        <w:ind w:left="1180" w:right="640" w:hanging="436"/>
        <w:spacing w:after="0" w:line="232" w:lineRule="auto"/>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86"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commencement or termination of collaborations for our development programs;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failure or discontinuation of any of our development programs;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results of clinical trials of product candidates of our competitors;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regulatory or legal developments in the United States and other countries;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developments or disputes concerning patent applications, issued patents or other intellectual property rights;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recruitment or departure of key personnel;</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expenses related to any of our development programs;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results of our efforts to discover, develop, acquire or in-license additional product candidates;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actual or anticipated changes in estimated financial results or development timelines;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announcements or expectations of additional financing efforts;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sales of our common stock by us, our insiders or other stockholders;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expiration of market stand-off or lock-up agreements;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variations in our financial results or those of companies that are perceived to be similar to us;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recommendations and changes in estimates or recommendations by securities analysts, if any, that cover our stock;</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changes in the structure of healthcare payment systems in the United States and other countries;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market conditions in the pharmaceutical and biotechnology sectors;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general economic, industry and market conditions; and</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7"/>
        </w:numPr>
        <w:rPr>
          <w:rFonts w:ascii="Arial" w:cs="Arial" w:eastAsia="Arial" w:hAnsi="Arial"/>
          <w:sz w:val="22"/>
          <w:szCs w:val="22"/>
          <w:color w:val="auto"/>
        </w:rPr>
      </w:pPr>
      <w:r>
        <w:rPr>
          <w:rFonts w:ascii="Arial" w:cs="Arial" w:eastAsia="Arial" w:hAnsi="Arial"/>
          <w:sz w:val="18"/>
          <w:szCs w:val="18"/>
          <w:color w:val="auto"/>
        </w:rPr>
        <w:t>other factors and considerations described in this “Risk Factors” section.</w:t>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left="200" w:firstLine="551"/>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ectPr>
          <w:pgSz w:w="11900" w:h="16838" w:orient="portrait"/>
          <w:cols w:equalWidth="0" w:num="1">
            <w:col w:w="11180"/>
          </w:cols>
          <w:pgMar w:left="240" w:top="459" w:right="479" w:bottom="1440" w:gutter="0" w:footer="0" w:header="0"/>
        </w:sectPr>
      </w:pP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180"/>
          </w:cols>
          <w:pgMar w:left="240" w:top="459" w:right="47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62" w:lineRule="exact"/>
        <w:rPr>
          <w:sz w:val="20"/>
          <w:szCs w:val="20"/>
          <w:color w:val="auto"/>
        </w:rPr>
      </w:pPr>
    </w:p>
    <w:p>
      <w:pPr>
        <w:ind w:left="200" w:right="20" w:firstLine="551"/>
        <w:spacing w:after="0" w:line="255"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and our business. We do not have any control over these analysts. We do not currently have research coverage, and there can be no assurance that analysts will cover us or provide favorable coverage. Securities or industry analysts may elect not to cover our common stock and such lack of research coverage may negatively impact the trading price of our common stock. In the event we do obtain analyst coverage, if one or more analysts downgrade our stock or change their opinion of our stock, the trading price of our shares would likely decline. In addition, if one or more analysts cease coverage of our company or fail to regularly publish reports on us, we could lose visibility in the financial markets, which could cause the trading price and volume of our shares to decline.</w:t>
      </w:r>
    </w:p>
    <w:p>
      <w:pPr>
        <w:spacing w:after="0" w:line="29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A significant portion of our outstanding shares of common stock are eligible to be sold in the public market in the near future, which could cause the trading price of our common stock to decline significantly.</w:t>
      </w:r>
    </w:p>
    <w:p>
      <w:pPr>
        <w:spacing w:after="0" w:line="62" w:lineRule="exact"/>
        <w:rPr>
          <w:sz w:val="20"/>
          <w:szCs w:val="20"/>
          <w:color w:val="auto"/>
        </w:rPr>
      </w:pPr>
    </w:p>
    <w:p>
      <w:pPr>
        <w:ind w:left="200" w:right="60" w:firstLine="551"/>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 As of June 13, 2019, we had 17,834,570 shares of common stock outstanding.</w:t>
      </w:r>
    </w:p>
    <w:p>
      <w:pPr>
        <w:spacing w:after="0" w:line="73" w:lineRule="exact"/>
        <w:rPr>
          <w:sz w:val="20"/>
          <w:szCs w:val="20"/>
          <w:color w:val="auto"/>
        </w:rPr>
      </w:pPr>
    </w:p>
    <w:p>
      <w:pPr>
        <w:ind w:left="200" w:right="40" w:firstLine="551"/>
        <w:spacing w:after="0" w:line="259" w:lineRule="auto"/>
        <w:rPr>
          <w:sz w:val="20"/>
          <w:szCs w:val="20"/>
          <w:color w:val="auto"/>
        </w:rPr>
      </w:pPr>
      <w:r>
        <w:rPr>
          <w:rFonts w:ascii="Arial" w:cs="Arial" w:eastAsia="Arial" w:hAnsi="Arial"/>
          <w:sz w:val="18"/>
          <w:szCs w:val="18"/>
          <w:color w:val="auto"/>
        </w:rPr>
        <w:t>Of these shares, 12,834,570 shares of common stock outstanding are currently restricted as a result of securities laws or lock-up agreements but will become eligible to be sold at various times after the expiration of the applicable lock-up period. For example, the expiration date for the lock-up agreements entered into between our officers, directors, employees and stockholders and the representatives of our initial public offering is November 3, 2019.</w:t>
      </w:r>
    </w:p>
    <w:p>
      <w:pPr>
        <w:spacing w:after="0" w:line="187" w:lineRule="exact"/>
        <w:rPr>
          <w:sz w:val="20"/>
          <w:szCs w:val="20"/>
          <w:color w:val="auto"/>
        </w:rPr>
      </w:pPr>
    </w:p>
    <w:p>
      <w:pPr>
        <w:jc w:val="both"/>
        <w:ind w:left="200" w:right="400" w:firstLine="551"/>
        <w:spacing w:after="0" w:line="312" w:lineRule="auto"/>
        <w:rPr>
          <w:sz w:val="20"/>
          <w:szCs w:val="20"/>
          <w:color w:val="auto"/>
        </w:rPr>
      </w:pPr>
      <w:r>
        <w:rPr>
          <w:rFonts w:ascii="Arial" w:cs="Arial" w:eastAsia="Arial" w:hAnsi="Arial"/>
          <w:sz w:val="16"/>
          <w:szCs w:val="16"/>
          <w:color w:val="auto"/>
        </w:rPr>
        <w:t>Moreover, beginning 180 days after the effective date of the registration statement for our initial public offering, holders of an aggregate of 11,881,234 shares of our common stock, will have rights, subject to specified limitations and conditions, to require us to file registration statements covering their shares or to include their shares in registration statements that we may file for ourselves or other stockholders.</w:t>
      </w:r>
    </w:p>
    <w:p>
      <w:pPr>
        <w:spacing w:after="0" w:line="147" w:lineRule="exact"/>
        <w:rPr>
          <w:sz w:val="20"/>
          <w:szCs w:val="20"/>
          <w:color w:val="auto"/>
        </w:rPr>
      </w:pPr>
    </w:p>
    <w:p>
      <w:pPr>
        <w:ind w:left="200" w:right="100" w:firstLine="551"/>
        <w:spacing w:after="0" w:line="259" w:lineRule="auto"/>
        <w:rPr>
          <w:sz w:val="20"/>
          <w:szCs w:val="20"/>
          <w:color w:val="auto"/>
        </w:rPr>
      </w:pPr>
      <w:r>
        <w:rPr>
          <w:rFonts w:ascii="Arial" w:cs="Arial" w:eastAsia="Arial" w:hAnsi="Arial"/>
          <w:sz w:val="18"/>
          <w:szCs w:val="18"/>
          <w:color w:val="auto"/>
        </w:rPr>
        <w:t>In May 2019, we registered all shares of common stock that we may issue under our equity compensation plans. These shares can be freely sold in the public market upon issuance and once vested, subject to volume limitations applicable to affiliates and the lock-up agreements entered into in connection with our initial public offering. If these additional shares are sold, or if it is perceived in the market that they will be sold, in the public market, the trading price of our common stock could decline.</w:t>
      </w:r>
    </w:p>
    <w:p>
      <w:pPr>
        <w:spacing w:after="0" w:line="295" w:lineRule="exact"/>
        <w:rPr>
          <w:sz w:val="20"/>
          <w:szCs w:val="20"/>
          <w:color w:val="auto"/>
        </w:rPr>
      </w:pPr>
    </w:p>
    <w:p>
      <w:pPr>
        <w:ind w:left="200" w:right="260"/>
        <w:spacing w:after="0" w:line="308" w:lineRule="auto"/>
        <w:rPr>
          <w:sz w:val="20"/>
          <w:szCs w:val="20"/>
          <w:color w:val="auto"/>
        </w:rPr>
      </w:pPr>
      <w:r>
        <w:rPr>
          <w:rFonts w:ascii="Arial" w:cs="Arial" w:eastAsia="Arial" w:hAnsi="Arial"/>
          <w:sz w:val="17"/>
          <w:szCs w:val="17"/>
          <w:b w:val="1"/>
          <w:bCs w:val="1"/>
          <w:i w:val="1"/>
          <w:iCs w:val="1"/>
          <w:color w:val="auto"/>
        </w:rPr>
        <w:t>Ownership of our common stock is concentrated among our existing executive officers, directors and principal stockholders who have significant influence over our business and may prevent new investors from influencing significant corporate decisions.</w:t>
      </w:r>
    </w:p>
    <w:p>
      <w:pPr>
        <w:spacing w:after="0" w:line="38" w:lineRule="exact"/>
        <w:rPr>
          <w:sz w:val="20"/>
          <w:szCs w:val="20"/>
          <w:color w:val="auto"/>
        </w:rPr>
      </w:pPr>
    </w:p>
    <w:p>
      <w:pPr>
        <w:ind w:left="200" w:right="200" w:firstLine="551"/>
        <w:spacing w:after="0" w:line="312" w:lineRule="auto"/>
        <w:rPr>
          <w:sz w:val="20"/>
          <w:szCs w:val="20"/>
          <w:color w:val="auto"/>
        </w:rPr>
      </w:pPr>
      <w:r>
        <w:rPr>
          <w:rFonts w:ascii="Arial" w:cs="Arial" w:eastAsia="Arial" w:hAnsi="Arial"/>
          <w:sz w:val="16"/>
          <w:szCs w:val="16"/>
          <w:color w:val="auto"/>
        </w:rPr>
        <w:t>Our executive officers and directors and their affiliates, in the aggregate, beneficially own shares representing approximately 64.3% of our common stock as of June 13, 2019. As a result, our executive officers, directors and principal stockholders acting together would be able to control all matters submitted to our stockholders for approval, as well as our management and affairs. This concentration of ownership control may:</w:t>
      </w:r>
    </w:p>
    <w:p>
      <w:pPr>
        <w:spacing w:after="0" w:line="30" w:lineRule="exact"/>
        <w:rPr>
          <w:sz w:val="20"/>
          <w:szCs w:val="20"/>
          <w:color w:val="auto"/>
        </w:rPr>
      </w:pPr>
    </w:p>
    <w:p>
      <w:pPr>
        <w:ind w:left="1180" w:hanging="436"/>
        <w:spacing w:after="0"/>
        <w:tabs>
          <w:tab w:leader="none" w:pos="1180" w:val="left"/>
        </w:tabs>
        <w:numPr>
          <w:ilvl w:val="0"/>
          <w:numId w:val="38"/>
        </w:numPr>
        <w:rPr>
          <w:rFonts w:ascii="Arial" w:cs="Arial" w:eastAsia="Arial" w:hAnsi="Arial"/>
          <w:sz w:val="22"/>
          <w:szCs w:val="22"/>
          <w:color w:val="auto"/>
        </w:rPr>
      </w:pPr>
      <w:r>
        <w:rPr>
          <w:rFonts w:ascii="Arial" w:cs="Arial" w:eastAsia="Arial" w:hAnsi="Arial"/>
          <w:sz w:val="18"/>
          <w:szCs w:val="18"/>
          <w:color w:val="auto"/>
        </w:rPr>
        <w:t>delay, defer or prevent a change in control;</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8"/>
        </w:numPr>
        <w:rPr>
          <w:rFonts w:ascii="Arial" w:cs="Arial" w:eastAsia="Arial" w:hAnsi="Arial"/>
          <w:sz w:val="22"/>
          <w:szCs w:val="22"/>
          <w:color w:val="auto"/>
        </w:rPr>
      </w:pPr>
      <w:r>
        <w:rPr>
          <w:rFonts w:ascii="Arial" w:cs="Arial" w:eastAsia="Arial" w:hAnsi="Arial"/>
          <w:sz w:val="18"/>
          <w:szCs w:val="18"/>
          <w:color w:val="auto"/>
        </w:rPr>
        <w:t>entrench our management or the board of directors; or</w:t>
      </w:r>
    </w:p>
    <w:p>
      <w:pPr>
        <w:spacing w:after="0" w:line="134" w:lineRule="exact"/>
        <w:rPr>
          <w:rFonts w:ascii="Arial" w:cs="Arial" w:eastAsia="Arial" w:hAnsi="Arial"/>
          <w:sz w:val="22"/>
          <w:szCs w:val="22"/>
          <w:color w:val="auto"/>
        </w:rPr>
      </w:pPr>
    </w:p>
    <w:p>
      <w:pPr>
        <w:ind w:left="1180" w:hanging="436"/>
        <w:spacing w:after="0" w:line="232" w:lineRule="auto"/>
        <w:tabs>
          <w:tab w:leader="none" w:pos="1180" w:val="left"/>
        </w:tabs>
        <w:numPr>
          <w:ilvl w:val="0"/>
          <w:numId w:val="38"/>
        </w:numPr>
        <w:rPr>
          <w:rFonts w:ascii="Arial" w:cs="Arial" w:eastAsia="Arial" w:hAnsi="Arial"/>
          <w:sz w:val="22"/>
          <w:szCs w:val="22"/>
          <w:color w:val="auto"/>
        </w:rPr>
      </w:pPr>
      <w:r>
        <w:rPr>
          <w:rFonts w:ascii="Arial" w:cs="Arial" w:eastAsia="Arial" w:hAnsi="Arial"/>
          <w:sz w:val="18"/>
          <w:szCs w:val="18"/>
          <w:color w:val="auto"/>
        </w:rPr>
        <w:t>impede a merger, consolidation, takeover, sale, other business combination or other significant corporate transaction involving us that other stockholders may desire.</w:t>
      </w:r>
    </w:p>
    <w:p>
      <w:pPr>
        <w:spacing w:after="0" w:line="204" w:lineRule="exact"/>
        <w:rPr>
          <w:sz w:val="20"/>
          <w:szCs w:val="20"/>
          <w:color w:val="auto"/>
        </w:rPr>
      </w:pPr>
    </w:p>
    <w:p>
      <w:pPr>
        <w:ind w:left="200" w:right="60" w:firstLine="551"/>
        <w:spacing w:after="0" w:line="312" w:lineRule="auto"/>
        <w:rPr>
          <w:sz w:val="20"/>
          <w:szCs w:val="20"/>
          <w:color w:val="auto"/>
        </w:rPr>
      </w:pPr>
      <w:r>
        <w:rPr>
          <w:rFonts w:ascii="Arial" w:cs="Arial" w:eastAsia="Arial" w:hAnsi="Arial"/>
          <w:sz w:val="16"/>
          <w:szCs w:val="16"/>
          <w:color w:val="auto"/>
        </w:rPr>
        <w:t>Some of these persons or entities may have interests different than yours. For example, because many of these stockholders purchased their shares at prices substantially below our initial public offering price and have held their shares for a longer period, they may be more interested in selling our company to an acquirer than other investors or they may want us to pursue strategies that deviate from the interests of other stockholders.</w:t>
      </w:r>
    </w:p>
    <w:p>
      <w:pPr>
        <w:spacing w:after="0" w:line="25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62" w:lineRule="exact"/>
        <w:rPr>
          <w:sz w:val="20"/>
          <w:szCs w:val="20"/>
          <w:color w:val="auto"/>
        </w:rPr>
      </w:pPr>
    </w:p>
    <w:p>
      <w:pPr>
        <w:jc w:val="both"/>
        <w:ind w:left="200" w:right="100" w:firstLine="551"/>
        <w:spacing w:after="0" w:line="286" w:lineRule="auto"/>
        <w:rPr>
          <w:sz w:val="20"/>
          <w:szCs w:val="20"/>
          <w:color w:val="auto"/>
        </w:rPr>
      </w:pPr>
      <w:r>
        <w:rPr>
          <w:rFonts w:ascii="Arial" w:cs="Arial" w:eastAsia="Arial" w:hAnsi="Arial"/>
          <w:sz w:val="17"/>
          <w:szCs w:val="17"/>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any future debt financing that we may obtain may also preclude us from declaring and paying dividends.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27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62" w:lineRule="exact"/>
        <w:rPr>
          <w:sz w:val="20"/>
          <w:szCs w:val="20"/>
          <w:color w:val="auto"/>
        </w:rPr>
      </w:pPr>
    </w:p>
    <w:p>
      <w:pPr>
        <w:ind w:left="200" w:firstLine="551"/>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296"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left="200" w:right="40" w:firstLine="551"/>
        <w:spacing w:after="0" w:line="267" w:lineRule="auto"/>
        <w:rPr>
          <w:sz w:val="20"/>
          <w:szCs w:val="20"/>
          <w:color w:val="auto"/>
        </w:rPr>
      </w:pPr>
      <w:r>
        <w:rPr>
          <w:rFonts w:ascii="Arial" w:cs="Arial" w:eastAsia="Arial" w:hAnsi="Arial"/>
          <w:sz w:val="17"/>
          <w:szCs w:val="17"/>
          <w:color w:val="auto"/>
        </w:rPr>
        <w:t>As a public company, and particularly after we are no longer an “emerging growth company” or a “smaller reporting company,” we will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will need to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rules and regulations, and this investment may result in increased general and administrative expenses and a diversion of management’s time and attention from revenue-generating activities to compliance activities. If, notwithstanding our efforts to comply with new laws, rules and regulations, we fail to comply, regulatory authorities may initiate legal proceedings against us and our business may be harmed.</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If we fail to maintain proper and effective internal controls, our ability to produce accurate financial statements on a timely basis could be impaired.</w:t>
      </w:r>
    </w:p>
    <w:p>
      <w:pPr>
        <w:spacing w:after="0" w:line="152" w:lineRule="exact"/>
        <w:rPr>
          <w:sz w:val="20"/>
          <w:szCs w:val="20"/>
          <w:color w:val="auto"/>
        </w:rPr>
      </w:pPr>
    </w:p>
    <w:p>
      <w:pPr>
        <w:ind w:left="200" w:right="60" w:firstLine="551"/>
        <w:spacing w:after="0" w:line="288" w:lineRule="auto"/>
        <w:rPr>
          <w:sz w:val="20"/>
          <w:szCs w:val="20"/>
          <w:color w:val="auto"/>
        </w:rPr>
      </w:pPr>
      <w:r>
        <w:rPr>
          <w:rFonts w:ascii="Arial" w:cs="Arial" w:eastAsia="Arial" w:hAnsi="Arial"/>
          <w:sz w:val="16"/>
          <w:szCs w:val="16"/>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will be required to furnish a report by our management on our internal control over financial reporting beginning with our Annual Report on Form 10-K for our fiscal year ending December 31, 2020. However, while we remain an emerging growth company or a smaller reporting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a continuous reporting and improvement process for internal control over financial reporting. We have never been required to test our internal control within a specified period and despite our efforts, there is a risk that we will not be able to conclude, within the prescribed timeframe or at all,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Members of our management team have limited experience managing a public company.</w:t>
      </w:r>
    </w:p>
    <w:p>
      <w:pPr>
        <w:spacing w:after="0" w:line="117" w:lineRule="exact"/>
        <w:rPr>
          <w:sz w:val="20"/>
          <w:szCs w:val="20"/>
          <w:color w:val="auto"/>
        </w:rPr>
      </w:pPr>
    </w:p>
    <w:p>
      <w:pPr>
        <w:ind w:left="200" w:right="20" w:firstLine="551"/>
        <w:spacing w:after="0" w:line="255" w:lineRule="auto"/>
        <w:rPr>
          <w:sz w:val="20"/>
          <w:szCs w:val="20"/>
          <w:color w:val="auto"/>
        </w:rPr>
      </w:pPr>
      <w:r>
        <w:rPr>
          <w:rFonts w:ascii="Arial" w:cs="Arial" w:eastAsia="Arial" w:hAnsi="Arial"/>
          <w:sz w:val="18"/>
          <w:szCs w:val="18"/>
          <w:color w:val="auto"/>
        </w:rPr>
        <w:t>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scrutiny of securities analysts and investors. These new obligations and constituents will require significant attention from our management team and could divert their attention away from the daily management of our business, which could materially adversely affect our business, financial condition and operating results.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We might not be able to utilize a significant portion of our net operating loss carryforwards and research and development tax credit carryforwards.</w:t>
      </w:r>
    </w:p>
    <w:p>
      <w:pPr>
        <w:spacing w:after="0" w:line="152" w:lineRule="exact"/>
        <w:rPr>
          <w:sz w:val="20"/>
          <w:szCs w:val="20"/>
          <w:color w:val="auto"/>
        </w:rPr>
      </w:pPr>
    </w:p>
    <w:p>
      <w:pPr>
        <w:ind w:left="200" w:right="40" w:firstLine="551"/>
        <w:spacing w:after="0" w:line="287" w:lineRule="auto"/>
        <w:rPr>
          <w:sz w:val="20"/>
          <w:szCs w:val="20"/>
          <w:color w:val="auto"/>
        </w:rPr>
      </w:pPr>
      <w:r>
        <w:rPr>
          <w:rFonts w:ascii="Arial" w:cs="Arial" w:eastAsia="Arial" w:hAnsi="Arial"/>
          <w:sz w:val="16"/>
          <w:szCs w:val="16"/>
          <w:color w:val="auto"/>
        </w:rPr>
        <w:t>As of December 31, 2018, we had federal and state net operating loss carryforwards of $82.9 million, and federal research and development tax credit carryforwards of $2.9 million, which if not utilized generally will begin to expire in 2031 and 2032, respectively. These net operating loss and tax credit carryforwards could expire unused and be unavailable to offset future income tax liabilities. Under the Tax Act, federal net operating losses generated after December 31, 2017 are not subject to expiration, but the deductibility of such federal net operating losses is limited to 80% of our taxable income in any future taxable year. In addition, due to our Series A convertible preferred stock financing in December 2013, we were subject to an “ownership change” under Section 382 of the Internal Revenue Code of 1986, as amended. As a result, our ability to use approximately $825,000 of our net operating loss carryforwards is limited. We may experience further ownership changes in the future as a result of subsequent shifts in our stock ownership, some of which may be outside of our control. If a further ownership change occurred, our ability to use our net operating loss carryforwards might be further limited. We have not conducted a detailed study to document whether our historical activities qualify to support the research and development credit carryforwards. A detailed study could result in adjustment to our research and development credit carryforwards. If we determine that an ownership change has occurred and our ability to use our historical net operating loss and tax credit carryforwards is materially limited, or if our research and development carryforwards are adjusted, it would harm our future operating results by effectively increasing our future tax obligations.</w:t>
      </w:r>
    </w:p>
    <w:p>
      <w:pPr>
        <w:spacing w:after="0" w:line="277"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62" w:lineRule="exact"/>
        <w:rPr>
          <w:sz w:val="20"/>
          <w:szCs w:val="20"/>
          <w:color w:val="auto"/>
        </w:rPr>
      </w:pPr>
    </w:p>
    <w:p>
      <w:pPr>
        <w:ind w:left="200" w:right="120" w:firstLine="551"/>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61" w:lineRule="exact"/>
        <w:rPr>
          <w:sz w:val="20"/>
          <w:szCs w:val="20"/>
          <w:color w:val="auto"/>
        </w:rPr>
      </w:pPr>
    </w:p>
    <w:p>
      <w:pPr>
        <w:ind w:left="1180" w:hanging="436"/>
        <w:spacing w:after="0"/>
        <w:tabs>
          <w:tab w:leader="none" w:pos="11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1" w:lineRule="exact"/>
        <w:rPr>
          <w:rFonts w:ascii="Arial" w:cs="Arial" w:eastAsia="Arial" w:hAnsi="Arial"/>
          <w:sz w:val="22"/>
          <w:szCs w:val="22"/>
          <w:color w:val="auto"/>
        </w:rPr>
      </w:pPr>
    </w:p>
    <w:p>
      <w:pPr>
        <w:ind w:left="1180" w:hanging="436"/>
        <w:spacing w:after="0"/>
        <w:tabs>
          <w:tab w:leader="none" w:pos="11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limit the manner in which stockholders can remove directors from the board;</w:t>
      </w:r>
    </w:p>
    <w:p>
      <w:pPr>
        <w:spacing w:after="0" w:line="134" w:lineRule="exact"/>
        <w:rPr>
          <w:rFonts w:ascii="Arial" w:cs="Arial" w:eastAsia="Arial" w:hAnsi="Arial"/>
          <w:sz w:val="22"/>
          <w:szCs w:val="22"/>
          <w:color w:val="auto"/>
        </w:rPr>
      </w:pPr>
    </w:p>
    <w:p>
      <w:pPr>
        <w:ind w:left="1180" w:hanging="436"/>
        <w:spacing w:after="0" w:line="232" w:lineRule="auto"/>
        <w:tabs>
          <w:tab w:leader="none" w:pos="11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109" w:lineRule="exact"/>
        <w:rPr>
          <w:rFonts w:ascii="Arial" w:cs="Arial" w:eastAsia="Arial" w:hAnsi="Arial"/>
          <w:sz w:val="22"/>
          <w:szCs w:val="22"/>
          <w:color w:val="auto"/>
        </w:rPr>
      </w:pPr>
    </w:p>
    <w:p>
      <w:pPr>
        <w:ind w:left="1180" w:right="140" w:hanging="436"/>
        <w:spacing w:after="0" w:line="232" w:lineRule="auto"/>
        <w:tabs>
          <w:tab w:leader="none" w:pos="11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86" w:lineRule="exact"/>
        <w:rPr>
          <w:rFonts w:ascii="Arial" w:cs="Arial" w:eastAsia="Arial" w:hAnsi="Arial"/>
          <w:sz w:val="22"/>
          <w:szCs w:val="22"/>
          <w:color w:val="auto"/>
        </w:rPr>
      </w:pPr>
    </w:p>
    <w:p>
      <w:pPr>
        <w:ind w:left="1180" w:hanging="436"/>
        <w:spacing w:after="0"/>
        <w:tabs>
          <w:tab w:leader="none" w:pos="11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limit who may call a special meeting of stockholders;</w:t>
      </w:r>
    </w:p>
    <w:p>
      <w:pPr>
        <w:spacing w:after="0" w:line="134" w:lineRule="exact"/>
        <w:rPr>
          <w:rFonts w:ascii="Arial" w:cs="Arial" w:eastAsia="Arial" w:hAnsi="Arial"/>
          <w:sz w:val="22"/>
          <w:szCs w:val="22"/>
          <w:color w:val="auto"/>
        </w:rPr>
      </w:pPr>
    </w:p>
    <w:p>
      <w:pPr>
        <w:ind w:left="1180" w:hanging="436"/>
        <w:spacing w:after="0" w:line="238" w:lineRule="auto"/>
        <w:tabs>
          <w:tab w:leader="none" w:pos="11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436"/>
        <w:spacing w:after="0" w:line="232" w:lineRule="auto"/>
        <w:tabs>
          <w:tab w:leader="none" w:pos="1180" w:val="left"/>
        </w:tabs>
        <w:numPr>
          <w:ilvl w:val="0"/>
          <w:numId w:val="40"/>
        </w:numPr>
        <w:rPr>
          <w:rFonts w:ascii="Arial" w:cs="Arial" w:eastAsia="Arial" w:hAnsi="Arial"/>
          <w:sz w:val="22"/>
          <w:szCs w:val="22"/>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204" w:lineRule="exact"/>
        <w:rPr>
          <w:sz w:val="20"/>
          <w:szCs w:val="20"/>
          <w:color w:val="auto"/>
        </w:rPr>
      </w:pPr>
    </w:p>
    <w:p>
      <w:pPr>
        <w:ind w:left="200" w:right="80" w:firstLine="551"/>
        <w:spacing w:after="0" w:line="271"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87"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United States of America are the sole and exclusive forum for the resolution of any complaint asserting a cause of action arising under the Securities Act of 1933. These choice of forum provisions could limit our stockholders’ ability to obtain a favorable judicial forum for disputes with us or our directors, officers or employees.</w:t>
      </w:r>
    </w:p>
    <w:p>
      <w:pPr>
        <w:spacing w:after="0" w:line="46" w:lineRule="exact"/>
        <w:rPr>
          <w:sz w:val="20"/>
          <w:szCs w:val="20"/>
          <w:color w:val="auto"/>
        </w:rPr>
      </w:pPr>
    </w:p>
    <w:p>
      <w:pPr>
        <w:ind w:left="200" w:firstLine="551"/>
        <w:spacing w:after="0" w:line="287" w:lineRule="auto"/>
        <w:rPr>
          <w:sz w:val="20"/>
          <w:szCs w:val="20"/>
          <w:color w:val="auto"/>
        </w:rPr>
      </w:pPr>
      <w:r>
        <w:rPr>
          <w:rFonts w:ascii="Arial" w:cs="Arial" w:eastAsia="Arial" w:hAnsi="Arial"/>
          <w:sz w:val="16"/>
          <w:szCs w:val="16"/>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 (4) 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Neither of these choice of forum provisions would affect suits brought to enforce any liability or duty created by the Exchange Act or the rules and regulations thereunder, jurisdiction over which is exclusively vested by statute in the United States federal courts or any other claim for which United States federal courts have exclusive jurisdiction.</w:t>
      </w:r>
    </w:p>
    <w:p>
      <w:pPr>
        <w:spacing w:after="0" w:line="173" w:lineRule="exact"/>
        <w:rPr>
          <w:sz w:val="20"/>
          <w:szCs w:val="20"/>
          <w:color w:val="auto"/>
        </w:rPr>
      </w:pPr>
    </w:p>
    <w:p>
      <w:pPr>
        <w:ind w:left="200" w:firstLine="551"/>
        <w:spacing w:after="0" w:line="25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Set forth below is information regarding equity securities sold or issued by us during the three months ended March 31, 2019 that were not registered under the Securities Act of 1933, as amended, or the Securities Act. Also included is the consideration, if any, received by us for such equity securities and information relating to the section of the Securities Act, or rule of the Securities and Exchange Commission, or the SEC, under which exemption from registration was claimed.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Issuances of Convertible Preferred Stock and Convertible Promissory Notes</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On January 18, 2019, we issued and sold 6,849,315 shares of our Series C convertible preferred stock to seven investors for cash at a price per share of $1.46 for an aggregate cash purchase price of $9,999,999.90. No underwriters were involved in this issuance of securities and the securities were issued to investors in reliance upon the exemption from the registration requirements of the Securities Act, as set forth in Section 4(a)(2) under the Securities Act and, in certain cases, Regulation D thereunder, relative to transactions by an issuer not involving any public offering, to the extent an exemption from such registration was required. All purchasers received written disclosures that the securities had not been registered under the Securities Act and that any resale must be made pursuant to a registration statement or an available exemption from such registration.</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Stock Option Exercises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During the three months ended March 31, 2019, we issued 7,894 shares of our common stock upon the exercise of stock options outstanding under our 2012 Stock Incentive Plan for aggregate consideration of $14,284. The shares of common stock issued upon these exercises of stock options were issued pursuant to written compensatory plans or arrangements with our employees, directors and consultants, in reliance on the exemption provided by Rule 701 promulgated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On May 9, 2019, we closed our initial public offering, or IPO, in which we issued and sold 5,500,000 shares of common stock at a public offering price of $10.00 per share. The aggregate gross proceeds to us from our initial public offering were $55.0 million. The offering commenced on May 7, 2019 and terminated without the sale of the 825,000 shares registered for potential issuance upon exercise of the underwriters’ option to purchase additional shares in the IPO.</w:t>
      </w:r>
    </w:p>
    <w:p>
      <w:pPr>
        <w:spacing w:after="0" w:line="18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All of the shares of common stock issued and sold in our initial public offering were registered under the Securities Act pursuant to a registration statement on Form S-1 (Registration No. 333-230745), which was declared effective by the SEC on May 7, 2019. SVB Leerink LLC, Stifel, Nicolaus &amp; Company, Incorporated and BMO Capital Markets Corp. acted as joint book-running managers for the initial public offering. Needham &amp; Company,</w:t>
      </w:r>
    </w:p>
    <w:p>
      <w:pPr>
        <w:sectPr>
          <w:pgSz w:w="11900" w:h="16838" w:orient="portrait"/>
          <w:cols w:equalWidth="0" w:num="1">
            <w:col w:w="11220"/>
          </w:cols>
          <w:pgMar w:left="240" w:top="459" w:right="439" w:bottom="0" w:gutter="0" w:footer="0" w:header="0"/>
        </w:sectPr>
      </w:pPr>
    </w:p>
    <w:bookmarkStart w:id="73" w:name="page74"/>
    <w:bookmarkEnd w:id="73"/>
    <w:p>
      <w:pPr>
        <w:ind w:right="700"/>
        <w:spacing w:after="0" w:line="342" w:lineRule="auto"/>
        <w:rPr>
          <w:sz w:val="20"/>
          <w:szCs w:val="20"/>
          <w:color w:val="auto"/>
        </w:rPr>
      </w:pPr>
      <w:r>
        <w:rPr>
          <w:rFonts w:ascii="Arial" w:cs="Arial" w:eastAsia="Arial" w:hAnsi="Arial"/>
          <w:sz w:val="16"/>
          <w:szCs w:val="16"/>
          <w:color w:val="auto"/>
        </w:rPr>
        <w:t>LLC acted as lead manager for the initial public offering. The aggregate net proceeds to us from the initial public offering, were approximately $48.7 million, after deducting underwriting discounts and commissions and offering expenses payable by us of approximately $6.4 million.</w:t>
      </w:r>
    </w:p>
    <w:p>
      <w:pPr>
        <w:spacing w:after="0" w:line="124"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persons owning 10% or more of any class of our equity securities or to any other affiliates.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March 31, 2019, the IPO had not yet closed and accordingly we had not used any of the proceeds from the IPO as of such date.</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125"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82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8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Borders>
              <w:top w:val="single" w:sz="8" w:color="auto"/>
            </w:tcBorders>
          </w:tcPr>
          <w:p>
            <w:pPr>
              <w:jc w:val="right"/>
              <w:ind w:right="202"/>
              <w:spacing w:after="0" w:line="163" w:lineRule="exact"/>
              <w:rPr>
                <w:sz w:val="20"/>
                <w:szCs w:val="20"/>
                <w:color w:val="auto"/>
              </w:rPr>
            </w:pPr>
            <w:r>
              <w:rPr>
                <w:rFonts w:ascii="Arial" w:cs="Arial" w:eastAsia="Arial" w:hAnsi="Arial"/>
                <w:sz w:val="18"/>
                <w:szCs w:val="18"/>
                <w:color w:val="auto"/>
                <w:w w:val="85"/>
              </w:rPr>
              <w:t>31.1*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auto"/>
            </w:tcBorders>
            <w:gridSpan w:val="8"/>
          </w:tcPr>
          <w:p>
            <w:pPr>
              <w:spacing w:after="0" w:line="163" w:lineRule="exact"/>
              <w:rPr>
                <w:rFonts w:ascii="Arial" w:cs="Arial" w:eastAsia="Arial" w:hAnsi="Arial"/>
                <w:sz w:val="18"/>
                <w:szCs w:val="18"/>
                <w:color w:val="0000EE"/>
                <w:w w:val="97"/>
              </w:rPr>
            </w:pPr>
            <w:hyperlink w:anchor="page77">
              <w:r>
                <w:rPr>
                  <w:rFonts w:ascii="Arial" w:cs="Arial" w:eastAsia="Arial" w:hAnsi="Arial"/>
                  <w:sz w:val="18"/>
                  <w:szCs w:val="18"/>
                  <w:color w:val="0000EE"/>
                  <w:w w:val="97"/>
                </w:rPr>
                <w:t>Certification of Principal Executive Officer Pursuant to Rules 13a-14(a) or 15d-14(a) under the Securities Exchange Act of 1934,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Adopted Pursuant to Section 302 of the Sarbanes-Oxley Act of 2002.</w:t>
              </w:r>
            </w:hyperlink>
          </w:p>
        </w:tc>
        <w:tc>
          <w:tcPr>
            <w:tcW w:w="4520" w:type="dxa"/>
            <w:vAlign w:val="bottom"/>
            <w:tcBorders>
              <w:top w:val="single" w:sz="8" w:color="0000EE"/>
            </w:tcBorders>
          </w:tcPr>
          <w:p>
            <w:pPr>
              <w:spacing w:after="0"/>
              <w:rPr>
                <w:sz w:val="17"/>
                <w:szCs w:val="17"/>
                <w:color w:val="auto"/>
              </w:rPr>
            </w:pPr>
          </w:p>
        </w:tc>
        <w:tc>
          <w:tcPr>
            <w:tcW w:w="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jc w:val="right"/>
              <w:ind w:right="202"/>
              <w:spacing w:after="0"/>
              <w:rPr>
                <w:sz w:val="20"/>
                <w:szCs w:val="20"/>
                <w:color w:val="auto"/>
              </w:rPr>
            </w:pPr>
            <w:r>
              <w:rPr>
                <w:rFonts w:ascii="Arial" w:cs="Arial" w:eastAsia="Arial" w:hAnsi="Arial"/>
                <w:sz w:val="18"/>
                <w:szCs w:val="18"/>
                <w:color w:val="auto"/>
                <w:w w:val="90"/>
              </w:rPr>
              <w:t>31.2*</w:t>
            </w:r>
          </w:p>
        </w:tc>
        <w:tc>
          <w:tcPr>
            <w:tcW w:w="220" w:type="dxa"/>
            <w:vAlign w:val="bottom"/>
          </w:tcPr>
          <w:p>
            <w:pPr>
              <w:spacing w:after="0"/>
              <w:rPr>
                <w:sz w:val="19"/>
                <w:szCs w:val="19"/>
                <w:color w:val="auto"/>
              </w:rPr>
            </w:pPr>
          </w:p>
        </w:tc>
        <w:tc>
          <w:tcPr>
            <w:tcW w:w="101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Certification of Principal Financial Officer Pursuant to Rules 13a-14(a) or 15d-14(a) under the Securities Exchange Act of 1934, as Adopted</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Pursuant to Section 302 of the Sarbanes-Oxley Act of 2002.</w:t>
              </w:r>
            </w:hyperlink>
          </w:p>
        </w:tc>
        <w:tc>
          <w:tcPr>
            <w:tcW w:w="58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0" w:type="dxa"/>
            <w:vAlign w:val="bottom"/>
            <w:gridSpan w:val="2"/>
          </w:tcPr>
          <w:p>
            <w:pPr>
              <w:jc w:val="right"/>
              <w:ind w:right="202"/>
              <w:spacing w:after="0"/>
              <w:rPr>
                <w:sz w:val="20"/>
                <w:szCs w:val="20"/>
                <w:color w:val="auto"/>
              </w:rPr>
            </w:pPr>
            <w:r>
              <w:rPr>
                <w:rFonts w:ascii="Arial" w:cs="Arial" w:eastAsia="Arial" w:hAnsi="Arial"/>
                <w:sz w:val="18"/>
                <w:szCs w:val="18"/>
                <w:color w:val="auto"/>
                <w:w w:val="90"/>
              </w:rPr>
              <w:t>32.1*</w:t>
            </w:r>
          </w:p>
        </w:tc>
        <w:tc>
          <w:tcPr>
            <w:tcW w:w="220" w:type="dxa"/>
            <w:vAlign w:val="bottom"/>
          </w:tcPr>
          <w:p>
            <w:pPr>
              <w:spacing w:after="0"/>
              <w:rPr>
                <w:sz w:val="19"/>
                <w:szCs w:val="19"/>
                <w:color w:val="auto"/>
              </w:rPr>
            </w:pPr>
          </w:p>
        </w:tc>
        <w:tc>
          <w:tcPr>
            <w:tcW w:w="10140" w:type="dxa"/>
            <w:vAlign w:val="bottom"/>
            <w:gridSpan w:val="9"/>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Act of 2002.</w:t>
              </w:r>
            </w:hyperlink>
          </w:p>
        </w:tc>
        <w:tc>
          <w:tcPr>
            <w:tcW w:w="9140" w:type="dxa"/>
            <w:vAlign w:val="bottom"/>
            <w:tcBorders>
              <w:top w:val="single" w:sz="8" w:color="0000EE"/>
            </w:tcBorders>
            <w:gridSpan w:val="5"/>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 w:type="dxa"/>
            <w:vAlign w:val="bottom"/>
            <w:gridSpan w:val="2"/>
          </w:tcPr>
          <w:p>
            <w:pPr>
              <w:jc w:val="right"/>
              <w:ind w:right="202"/>
              <w:spacing w:after="0"/>
              <w:rPr>
                <w:sz w:val="20"/>
                <w:szCs w:val="20"/>
                <w:color w:val="auto"/>
              </w:rPr>
            </w:pPr>
            <w:r>
              <w:rPr>
                <w:rFonts w:ascii="Arial" w:cs="Arial" w:eastAsia="Arial" w:hAnsi="Arial"/>
                <w:sz w:val="18"/>
                <w:szCs w:val="18"/>
                <w:color w:val="auto"/>
                <w:w w:val="90"/>
              </w:rPr>
              <w:t>32.2*</w:t>
            </w:r>
          </w:p>
        </w:tc>
        <w:tc>
          <w:tcPr>
            <w:tcW w:w="220" w:type="dxa"/>
            <w:vAlign w:val="bottom"/>
          </w:tcPr>
          <w:p>
            <w:pPr>
              <w:spacing w:after="0"/>
              <w:rPr>
                <w:sz w:val="18"/>
                <w:szCs w:val="18"/>
                <w:color w:val="auto"/>
              </w:rPr>
            </w:pPr>
          </w:p>
        </w:tc>
        <w:tc>
          <w:tcPr>
            <w:tcW w:w="100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Act of 2002.</w:t>
              </w:r>
            </w:hyperlink>
          </w:p>
        </w:tc>
        <w:tc>
          <w:tcPr>
            <w:tcW w:w="9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9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9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101.SCH</w:t>
            </w:r>
          </w:p>
        </w:tc>
        <w:tc>
          <w:tcPr>
            <w:tcW w:w="101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101.CAL</w:t>
            </w:r>
          </w:p>
        </w:tc>
        <w:tc>
          <w:tcPr>
            <w:tcW w:w="101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9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101.DEF</w:t>
            </w:r>
          </w:p>
        </w:tc>
        <w:tc>
          <w:tcPr>
            <w:tcW w:w="101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101.LAB</w:t>
            </w:r>
          </w:p>
        </w:tc>
        <w:tc>
          <w:tcPr>
            <w:tcW w:w="101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90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101.PRE</w:t>
            </w:r>
          </w:p>
        </w:tc>
        <w:tc>
          <w:tcPr>
            <w:tcW w:w="101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909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55" w:lineRule="exact"/>
        <w:rPr>
          <w:sz w:val="20"/>
          <w:szCs w:val="20"/>
          <w:color w:val="auto"/>
        </w:rPr>
      </w:pPr>
    </w:p>
    <w:p>
      <w:pPr>
        <w:ind w:left="740" w:hanging="53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55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TREVI THERAPEUTICS, INC.</w:t>
      </w:r>
    </w:p>
    <w:p>
      <w:pPr>
        <w:spacing w:after="0" w:line="239" w:lineRule="exact"/>
        <w:rPr>
          <w:sz w:val="20"/>
          <w:szCs w:val="20"/>
          <w:color w:val="auto"/>
        </w:rPr>
      </w:pPr>
    </w:p>
    <w:p>
      <w:pPr>
        <w:ind w:left="200"/>
        <w:spacing w:after="0"/>
        <w:tabs>
          <w:tab w:leader="none" w:pos="7860" w:val="left"/>
          <w:tab w:leader="none" w:pos="8960" w:val="left"/>
        </w:tabs>
        <w:rPr>
          <w:sz w:val="20"/>
          <w:szCs w:val="20"/>
          <w:color w:val="auto"/>
        </w:rPr>
      </w:pPr>
      <w:r>
        <w:rPr>
          <w:rFonts w:ascii="Arial" w:cs="Arial" w:eastAsia="Arial" w:hAnsi="Arial"/>
          <w:sz w:val="18"/>
          <w:szCs w:val="18"/>
          <w:color w:val="auto"/>
        </w:rPr>
        <w:t>Date: June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Seiter</w:t>
      </w:r>
    </w:p>
    <w:p>
      <w:pPr>
        <w:spacing w:after="0" w:line="23" w:lineRule="exact"/>
        <w:rPr>
          <w:sz w:val="20"/>
          <w:szCs w:val="20"/>
          <w:color w:val="auto"/>
        </w:rPr>
      </w:pPr>
    </w:p>
    <w:p>
      <w:pPr>
        <w:ind w:left="9020"/>
        <w:spacing w:after="0"/>
        <w:rPr>
          <w:sz w:val="20"/>
          <w:szCs w:val="20"/>
          <w:color w:val="auto"/>
        </w:rPr>
      </w:pPr>
      <w:r>
        <w:rPr>
          <w:rFonts w:ascii="Arial" w:cs="Arial" w:eastAsia="Arial" w:hAnsi="Arial"/>
          <w:sz w:val="18"/>
          <w:szCs w:val="18"/>
          <w:b w:val="1"/>
          <w:bCs w:val="1"/>
          <w:color w:val="auto"/>
        </w:rPr>
        <w:t>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-130810</wp:posOffset>
            </wp:positionV>
            <wp:extent cx="19551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b w:val="1"/>
          <w:bCs w:val="1"/>
          <w:color w:val="auto"/>
        </w:rPr>
        <w:t>(Principal Financial Officer)</w:t>
      </w:r>
    </w:p>
    <w:p>
      <w:pPr>
        <w:spacing w:after="0" w:line="1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40"/>
          </w:cols>
          <w:pgMar w:left="240" w:top="459" w:right="61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Jennifer L. Good, certify that:</w:t>
      </w:r>
    </w:p>
    <w:p>
      <w:pPr>
        <w:spacing w:after="0" w:line="225" w:lineRule="exact"/>
        <w:rPr>
          <w:sz w:val="20"/>
          <w:szCs w:val="20"/>
          <w:color w:val="auto"/>
        </w:rPr>
      </w:pPr>
    </w:p>
    <w:p>
      <w:pPr>
        <w:ind w:left="620" w:hanging="176"/>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Trevi Therapeutics, Inc.;</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20" w:firstLine="444"/>
        <w:spacing w:after="0" w:line="277" w:lineRule="auto"/>
        <w:tabs>
          <w:tab w:leader="none" w:pos="6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60" w:hanging="192"/>
        <w:spacing w:after="0"/>
        <w:tabs>
          <w:tab w:leader="none" w:pos="10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440" w:right="280"/>
        <w:spacing w:after="0" w:line="261"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7"/>
          <w:szCs w:val="17"/>
          <w:color w:val="auto"/>
        </w:rPr>
      </w:pPr>
    </w:p>
    <w:p>
      <w:pPr>
        <w:ind w:left="440" w:right="260" w:firstLine="428"/>
        <w:spacing w:after="0" w:line="342" w:lineRule="auto"/>
        <w:tabs>
          <w:tab w:leader="none" w:pos="1058"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40" w:right="240" w:firstLine="428"/>
        <w:spacing w:after="0" w:line="264" w:lineRule="auto"/>
        <w:tabs>
          <w:tab w:leader="none" w:pos="10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444"/>
        <w:spacing w:after="0" w:line="342" w:lineRule="auto"/>
        <w:tabs>
          <w:tab w:leader="none" w:pos="621"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440" w:right="480" w:firstLine="428"/>
        <w:spacing w:after="0" w:line="308" w:lineRule="auto"/>
        <w:tabs>
          <w:tab w:leader="none" w:pos="1048"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40" w:right="160" w:firstLine="428"/>
        <w:spacing w:after="0" w:line="277" w:lineRule="auto"/>
        <w:tabs>
          <w:tab w:leader="none" w:pos="105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June 13, 2019</w:t>
      </w:r>
      <w:r>
        <w:rPr>
          <w:sz w:val="20"/>
          <w:szCs w:val="20"/>
          <w:color w:val="auto"/>
        </w:rPr>
        <w:tab/>
      </w:r>
      <w:r>
        <w:rPr>
          <w:rFonts w:ascii="Arial" w:cs="Arial" w:eastAsia="Arial" w:hAnsi="Arial"/>
          <w:sz w:val="16"/>
          <w:szCs w:val="16"/>
          <w:color w:val="auto"/>
        </w:rPr>
        <w:t>By:  /s/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Jennifer L. Good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Seiter, certify that:</w:t>
      </w:r>
    </w:p>
    <w:p>
      <w:pPr>
        <w:spacing w:after="0" w:line="225" w:lineRule="exact"/>
        <w:rPr>
          <w:sz w:val="20"/>
          <w:szCs w:val="20"/>
          <w:color w:val="auto"/>
        </w:rPr>
      </w:pPr>
    </w:p>
    <w:p>
      <w:pPr>
        <w:ind w:left="620" w:hanging="176"/>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Trevi Therapeutics, Inc.;</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20" w:firstLine="444"/>
        <w:spacing w:after="0" w:line="277" w:lineRule="auto"/>
        <w:tabs>
          <w:tab w:leader="none" w:pos="6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60" w:hanging="192"/>
        <w:spacing w:after="0"/>
        <w:tabs>
          <w:tab w:leader="none" w:pos="10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440" w:right="280"/>
        <w:spacing w:after="0" w:line="261"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7"/>
          <w:szCs w:val="17"/>
          <w:color w:val="auto"/>
        </w:rPr>
      </w:pPr>
    </w:p>
    <w:p>
      <w:pPr>
        <w:ind w:left="440" w:right="260" w:firstLine="428"/>
        <w:spacing w:after="0" w:line="342" w:lineRule="auto"/>
        <w:tabs>
          <w:tab w:leader="none" w:pos="1058"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40" w:right="240" w:firstLine="428"/>
        <w:spacing w:after="0" w:line="264" w:lineRule="auto"/>
        <w:tabs>
          <w:tab w:leader="none" w:pos="10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444"/>
        <w:spacing w:after="0" w:line="342" w:lineRule="auto"/>
        <w:tabs>
          <w:tab w:leader="none" w:pos="621"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440" w:right="480" w:firstLine="428"/>
        <w:spacing w:after="0" w:line="308" w:lineRule="auto"/>
        <w:tabs>
          <w:tab w:leader="none" w:pos="1048"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40" w:right="160" w:firstLine="428"/>
        <w:spacing w:after="0" w:line="277" w:lineRule="auto"/>
        <w:tabs>
          <w:tab w:leader="none" w:pos="10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June 13, 2019</w:t>
      </w:r>
      <w:r>
        <w:rPr>
          <w:sz w:val="20"/>
          <w:szCs w:val="20"/>
          <w:color w:val="auto"/>
        </w:rPr>
        <w:tab/>
      </w:r>
      <w:r>
        <w:rPr>
          <w:rFonts w:ascii="Arial" w:cs="Arial" w:eastAsia="Arial" w:hAnsi="Arial"/>
          <w:sz w:val="16"/>
          <w:szCs w:val="16"/>
          <w:color w:val="auto"/>
        </w:rPr>
        <w:t>By:  /s/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Christopher Seiter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0"/>
          </w:cols>
          <w:pgMar w:left="440" w:top="121" w:right="4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 connection with the Quarterly Report on Form 10-Q of Trevi Therapeutics, Inc. (the “Company”) for the period ended March 31, 2019,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7" w:lineRule="exact"/>
        <w:rPr>
          <w:sz w:val="20"/>
          <w:szCs w:val="20"/>
          <w:color w:val="auto"/>
        </w:rPr>
      </w:pPr>
    </w:p>
    <w:p>
      <w:pPr>
        <w:ind w:left="700" w:hanging="25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720" w:firstLine="444"/>
        <w:spacing w:after="0" w:line="277" w:lineRule="auto"/>
        <w:tabs>
          <w:tab w:leader="none" w:pos="6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June 13, 2019</w:t>
      </w:r>
      <w:r>
        <w:rPr>
          <w:sz w:val="20"/>
          <w:szCs w:val="20"/>
          <w:color w:val="auto"/>
        </w:rPr>
        <w:tab/>
      </w:r>
      <w:r>
        <w:rPr>
          <w:rFonts w:ascii="Arial" w:cs="Arial" w:eastAsia="Arial" w:hAnsi="Arial"/>
          <w:sz w:val="16"/>
          <w:szCs w:val="16"/>
          <w:color w:val="auto"/>
        </w:rPr>
        <w:t>By:  /s/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Jennifer L. Good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 connection with the Quarterly Report on Form 10-Q of Trevi Therapeutics, Inc. (the “Company”) for the period ended March 31, 2019, as filed with the Securities and Exchange Commission on the date hereof (the “Report”), the undersigned, Christopher Seiter, Chief Financial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00" w:hanging="25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720" w:firstLine="444"/>
        <w:spacing w:after="0" w:line="277" w:lineRule="auto"/>
        <w:tabs>
          <w:tab w:leader="none" w:pos="6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June 13, 2019</w:t>
      </w:r>
      <w:r>
        <w:rPr>
          <w:sz w:val="20"/>
          <w:szCs w:val="20"/>
          <w:color w:val="auto"/>
        </w:rPr>
        <w:tab/>
      </w:r>
      <w:r>
        <w:rPr>
          <w:rFonts w:ascii="Arial" w:cs="Arial" w:eastAsia="Arial" w:hAnsi="Arial"/>
          <w:sz w:val="16"/>
          <w:szCs w:val="16"/>
          <w:color w:val="auto"/>
        </w:rPr>
        <w:t>By:  /s/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Christopher Seiter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2"/>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2"/>
    </w:lvl>
  </w:abstractNum>
  <w:abstractNum w:abstractNumId="7">
    <w:nsid w:val="189A769B"/>
    <w:multiLevelType w:val="hybridMultilevel"/>
    <w:lvl w:ilvl="0">
      <w:lvlJc w:val="left"/>
      <w:lvlText w:val="%1."/>
      <w:numFmt w:val="decimal"/>
      <w:start w:val="3"/>
    </w:lvl>
  </w:abstractNum>
  <w:abstractNum w:abstractNumId="8">
    <w:nsid w:val="54E49EB4"/>
    <w:multiLevelType w:val="hybridMultilevel"/>
    <w:lvl w:ilvl="0">
      <w:lvlJc w:val="left"/>
      <w:lvlText w:val="%1."/>
      <w:numFmt w:val="decimal"/>
      <w:start w:val="6"/>
    </w:lvl>
  </w:abstractNum>
  <w:abstractNum w:abstractNumId="9">
    <w:nsid w:val="71F32454"/>
    <w:multiLevelType w:val="hybridMultilevel"/>
    <w:lvl w:ilvl="0">
      <w:lvlJc w:val="left"/>
      <w:lvlText w:val="%1."/>
      <w:numFmt w:val="decimal"/>
      <w:start w:val="7"/>
    </w:lvl>
  </w:abstractNum>
  <w:abstractNum w:abstractNumId="10">
    <w:nsid w:val="2CA88611"/>
    <w:multiLevelType w:val="hybridMultilevel"/>
    <w:lvl w:ilvl="0">
      <w:lvlJc w:val="left"/>
      <w:lvlText w:val="%1."/>
      <w:numFmt w:val="decimal"/>
      <w:start w:val="8"/>
    </w:lvl>
  </w:abstractNum>
  <w:abstractNum w:abstractNumId="11">
    <w:nsid w:val="836C40E"/>
    <w:multiLevelType w:val="hybridMultilevel"/>
    <w:lvl w:ilvl="0">
      <w:lvlJc w:val="left"/>
      <w:lvlText w:val="(%1)"/>
      <w:numFmt w:val="upperLetter"/>
      <w:start w:val="2"/>
    </w:lvl>
  </w:abstractNum>
  <w:abstractNum w:abstractNumId="12">
    <w:nsid w:val="2901D82"/>
    <w:multiLevelType w:val="hybridMultilevel"/>
    <w:lvl w:ilvl="0">
      <w:lvlJc w:val="left"/>
      <w:lvlText w:val="%1."/>
      <w:numFmt w:val="decimal"/>
      <w:start w:val="9"/>
    </w:lvl>
  </w:abstractNum>
  <w:abstractNum w:abstractNumId="13">
    <w:nsid w:val="3A95F874"/>
    <w:multiLevelType w:val="hybridMultilevel"/>
    <w:lvl w:ilvl="0">
      <w:lvlJc w:val="left"/>
      <w:lvlText w:val="%1."/>
      <w:numFmt w:val="decimal"/>
      <w:start w:val="9"/>
    </w:lvl>
    <w:lvl w:ilvl="1">
      <w:lvlJc w:val="left"/>
      <w:lvlText w:val="•"/>
      <w:numFmt w:val="bullet"/>
      <w:start w:val="1"/>
    </w:lvl>
  </w:abstractNum>
  <w:abstractNum w:abstractNumId="14">
    <w:nsid w:val="8138641"/>
    <w:multiLevelType w:val="hybridMultilevel"/>
    <w:lvl w:ilvl="0">
      <w:lvlJc w:val="left"/>
      <w:lvlText w:val="%1."/>
      <w:numFmt w:val="decimal"/>
      <w:start w:val="11"/>
    </w:lvl>
  </w:abstractNum>
  <w:abstractNum w:abstractNumId="15">
    <w:nsid w:val="1E7FF521"/>
    <w:multiLevelType w:val="hybridMultilevel"/>
    <w:lvl w:ilvl="0">
      <w:lvlJc w:val="left"/>
      <w:lvlText w:val="%1."/>
      <w:numFmt w:val="decimal"/>
      <w:start w:val="12"/>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3"/>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2019-12-28T10:49:50Z</dcterms:created>
  <dcterms:modified xsi:type="dcterms:W3CDTF">2019-12-28T10:49:50Z</dcterms:modified>
</cp:coreProperties>
</file>