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rPr/>
      </w:pPr>
      <w:bookmarkStart w:id="0" w:name="trvi-10k_20201231.htm"/>
      <w:bookmarkStart w:id="1" w:name="kstrvi10k_20201231"/>
      <w:bookmarkEnd w:id="0"/>
      <w:bookmarkEnd w:id="1"/>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 xml:space="preserve">UNITED STATES </w:t>
      </w:r>
    </w:p>
    <w:p>
      <w:pPr>
        <w:pStyle w:val="TextBody"/>
        <w:spacing w:before="0" w:after="0"/>
        <w:jc w:val="center"/>
        <w:rPr>
          <w:rFonts w:ascii="Times New Roman" w:hAnsi="Times New Roman"/>
          <w:b/>
          <w:i w:val="false"/>
          <w:caps w:val="false"/>
          <w:smallCaps w:val="false"/>
          <w:color w:val="000000"/>
          <w:sz w:val="28"/>
        </w:rPr>
      </w:pPr>
      <w:r>
        <w:rPr>
          <w:rFonts w:ascii="Times New Roman" w:hAnsi="Times New Roman"/>
          <w:b/>
          <w:i w:val="false"/>
          <w:caps w:val="false"/>
          <w:smallCaps w:val="false"/>
          <w:color w:val="000000"/>
          <w:sz w:val="28"/>
        </w:rPr>
        <w:t xml:space="preserve">SECURITIES AND EXCHANGE COMMISSION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Washington, D.C. 20549 </w:t>
      </w:r>
    </w:p>
    <w:p>
      <w:pPr>
        <w:pStyle w:val="TextBody"/>
        <w:pBdr>
          <w:bottom w:val="single" w:sz="8" w:space="1" w:color="000000"/>
        </w:pBdr>
        <w:spacing w:before="0" w:after="0"/>
        <w:jc w:val="center"/>
        <w:rPr>
          <w:caps w:val="false"/>
          <w:smallCaps w:val="false"/>
          <w:color w:val="000000"/>
        </w:rPr>
      </w:pPr>
      <w:r>
        <w:rPr>
          <w:caps w:val="false"/>
          <w:smallCaps w:val="false"/>
          <w:color w:val="000000"/>
        </w:rPr>
        <w:t> </w:t>
      </w:r>
    </w:p>
    <w:p>
      <w:pPr>
        <w:pStyle w:val="TextBody"/>
        <w:spacing w:before="60" w:after="0"/>
        <w:jc w:val="center"/>
        <w:rPr>
          <w:rFonts w:ascii="Times New Roman" w:hAnsi="Times New Roman"/>
          <w:b/>
          <w:i w:val="false"/>
          <w:caps w:val="false"/>
          <w:smallCaps w:val="false"/>
          <w:color w:val="000000"/>
          <w:sz w:val="32"/>
        </w:rPr>
      </w:pPr>
      <w:r>
        <w:rPr>
          <w:rFonts w:ascii="Times New Roman" w:hAnsi="Times New Roman"/>
          <w:b/>
          <w:i w:val="false"/>
          <w:caps w:val="false"/>
          <w:smallCaps w:val="false"/>
          <w:color w:val="000000"/>
          <w:sz w:val="32"/>
        </w:rPr>
        <w:t xml:space="preserve">FORM 10-K </w:t>
      </w:r>
    </w:p>
    <w:p>
      <w:pPr>
        <w:pStyle w:val="TextBody"/>
        <w:pBdr>
          <w:bottom w:val="single" w:sz="8" w:space="1" w:color="000000"/>
        </w:pBdr>
        <w:spacing w:before="0" w:after="0"/>
        <w:jc w:val="center"/>
        <w:rPr>
          <w:caps w:val="false"/>
          <w:smallCaps w:val="false"/>
          <w:color w:val="000000"/>
        </w:rPr>
      </w:pPr>
      <w:r>
        <w:rPr>
          <w:caps w:val="false"/>
          <w:smallCaps w:val="false"/>
          <w:color w:val="000000"/>
        </w:rPr>
        <w:t> </w:t>
      </w:r>
    </w:p>
    <w:p>
      <w:pPr>
        <w:pStyle w:val="TextBody"/>
        <w:spacing w:before="60" w:after="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xml:space="preserve">(Mark One) </w:t>
      </w:r>
    </w:p>
    <w:tbl>
      <w:tblPr>
        <w:tblW w:w="8485" w:type="dxa"/>
        <w:jc w:val="left"/>
        <w:tblInd w:w="0" w:type="dxa"/>
        <w:tblCellMar>
          <w:top w:w="0" w:type="dxa"/>
          <w:left w:w="0" w:type="dxa"/>
          <w:bottom w:w="0" w:type="dxa"/>
          <w:right w:w="0" w:type="dxa"/>
        </w:tblCellMar>
      </w:tblPr>
      <w:tblGrid>
        <w:gridCol w:w="230"/>
        <w:gridCol w:w="8255"/>
      </w:tblGrid>
      <w:tr>
        <w:trPr/>
        <w:tc>
          <w:tcPr>
            <w:tcW w:w="230" w:type="dxa"/>
            <w:tcBorders/>
            <w:shd w:fill="auto" w:val="clear"/>
          </w:tcPr>
          <w:p>
            <w:pPr>
              <w:pStyle w:val="TableContents"/>
              <w:spacing w:before="0" w:after="0"/>
              <w:rPr>
                <w:caps w:val="false"/>
                <w:smallCaps w:val="false"/>
                <w:color w:val="000000"/>
              </w:rPr>
            </w:pPr>
            <w:r>
              <w:rPr>
                <w:caps w:val="false"/>
                <w:smallCaps w:val="false"/>
                <w:color w:val="000000"/>
              </w:rPr>
              <w:t>☒</w:t>
            </w:r>
          </w:p>
        </w:tc>
        <w:tc>
          <w:tcPr>
            <w:tcW w:w="8255" w:type="dxa"/>
            <w:tcBorders/>
            <w:shd w:fill="auto" w:val="clear"/>
          </w:tcPr>
          <w:p>
            <w:pPr>
              <w:pStyle w:val="TableContents"/>
              <w:spacing w:before="0" w:after="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xml:space="preserve">ANNUAL REPORT PURSUANT TO SECTION 13 OR 15(d) OF THE SECURITIES EXCHANGE ACT OF 1934 </w:t>
            </w:r>
          </w:p>
        </w:tc>
      </w:tr>
    </w:tbl>
    <w:p>
      <w:pPr>
        <w:pStyle w:val="TextBody"/>
        <w:spacing w:before="6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fiscal year ended December 31, 2020</w:t>
      </w:r>
    </w:p>
    <w:p>
      <w:pPr>
        <w:pStyle w:val="TextBody"/>
        <w:spacing w:before="60" w:after="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xml:space="preserve">OR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60" w:after="0"/>
              <w:rPr>
                <w:caps w:val="false"/>
                <w:smallCaps w:val="false"/>
                <w:color w:val="000000"/>
              </w:rPr>
            </w:pPr>
            <w:r>
              <w:rPr>
                <w:caps w:val="false"/>
                <w:smallCaps w:val="false"/>
                <w:color w:val="000000"/>
              </w:rPr>
              <w:t>☐</w:t>
            </w:r>
          </w:p>
        </w:tc>
        <w:tc>
          <w:tcPr>
            <w:tcW w:w="9975" w:type="dxa"/>
            <w:tcBorders/>
            <w:shd w:fill="auto" w:val="clear"/>
          </w:tcPr>
          <w:p>
            <w:pPr>
              <w:pStyle w:val="TableContents"/>
              <w:spacing w:before="60" w:after="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TRANSITION REPORT PURSUANT TO SECTION 13 OR 15(d) OF THE SECURITIES EXCHANGE ACT OF 1934 FOR THE TRANSITION PERIOD FROM                      TO                     </w:t>
            </w:r>
          </w:p>
        </w:tc>
      </w:tr>
    </w:tbl>
    <w:p>
      <w:pPr>
        <w:pStyle w:val="TextBody"/>
        <w:spacing w:before="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Commission File Number </w:t>
      </w:r>
      <w:r>
        <w:rPr>
          <w:rFonts w:ascii="Times New Roman" w:hAnsi="Times New Roman"/>
          <w:b/>
          <w:i w:val="false"/>
          <w:caps w:val="false"/>
          <w:smallCaps w:val="false"/>
          <w:color w:val="000000"/>
          <w:sz w:val="20"/>
          <w:highlight w:val="white"/>
        </w:rPr>
        <w:t>001-38886</w:t>
      </w:r>
    </w:p>
    <w:p>
      <w:pPr>
        <w:pStyle w:val="TextBody"/>
        <w:pBdr>
          <w:bottom w:val="single" w:sz="8" w:space="1" w:color="000000"/>
        </w:pBdr>
        <w:spacing w:before="0" w:after="0"/>
        <w:jc w:val="center"/>
        <w:rPr>
          <w:caps w:val="false"/>
          <w:smallCaps w:val="false"/>
          <w:color w:val="000000"/>
        </w:rPr>
      </w:pPr>
      <w:r>
        <w:rPr>
          <w:caps w:val="false"/>
          <w:smallCaps w:val="false"/>
          <w:color w:val="000000"/>
        </w:rPr>
        <w:t> </w:t>
      </w:r>
    </w:p>
    <w:p>
      <w:pPr>
        <w:pStyle w:val="TextBody"/>
        <w:spacing w:before="60" w:after="0"/>
        <w:jc w:val="center"/>
        <w:rPr>
          <w:rFonts w:ascii="Times New Roman" w:hAnsi="Times New Roman"/>
          <w:b/>
          <w:i w:val="false"/>
          <w:caps w:val="false"/>
          <w:smallCaps w:val="false"/>
          <w:color w:val="000000"/>
          <w:sz w:val="40"/>
          <w:highlight w:val="white"/>
        </w:rPr>
      </w:pPr>
      <w:r>
        <w:rPr>
          <w:rFonts w:ascii="Times New Roman" w:hAnsi="Times New Roman"/>
          <w:b/>
          <w:i w:val="false"/>
          <w:caps w:val="false"/>
          <w:smallCaps w:val="false"/>
          <w:color w:val="000000"/>
          <w:sz w:val="40"/>
          <w:highlight w:val="white"/>
        </w:rPr>
        <w:t>TREVI THERAPEUTICS, INC.</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(Exact name of registrant as specified in its charter) </w:t>
      </w:r>
    </w:p>
    <w:p>
      <w:pPr>
        <w:pStyle w:val="TextBody"/>
        <w:pBdr>
          <w:bottom w:val="single" w:sz="8" w:space="1" w:color="000000"/>
        </w:pBdr>
        <w:spacing w:before="0" w:after="0"/>
        <w:jc w:val="center"/>
        <w:rPr>
          <w:caps w:val="false"/>
          <w:smallCaps w:val="false"/>
          <w:color w:val="000000"/>
        </w:rPr>
      </w:pPr>
      <w:r>
        <w:rPr>
          <w:caps w:val="false"/>
          <w:smallCaps w:val="false"/>
          <w:color w:val="000000"/>
        </w:rPr>
        <w:t> </w:t>
      </w:r>
    </w:p>
    <w:p>
      <w:pPr>
        <w:pStyle w:val="TextBody"/>
        <w:spacing w:before="0" w:after="0"/>
        <w:rPr>
          <w:caps w:val="false"/>
          <w:smallCaps w:val="false"/>
          <w:color w:val="000000"/>
        </w:rPr>
      </w:pPr>
      <w:r>
        <w:rPr>
          <w:caps w:val="false"/>
          <w:smallCaps w:val="false"/>
          <w:color w:val="000000"/>
        </w:rPr>
        <w:t> </w:t>
      </w:r>
    </w:p>
    <w:tbl>
      <w:tblPr>
        <w:tblW w:w="3445" w:type="dxa"/>
        <w:jc w:val="center"/>
        <w:tblInd w:w="0" w:type="dxa"/>
        <w:tblCellMar>
          <w:top w:w="0" w:type="dxa"/>
          <w:left w:w="0" w:type="dxa"/>
          <w:bottom w:w="0" w:type="dxa"/>
          <w:right w:w="0" w:type="dxa"/>
        </w:tblCellMar>
      </w:tblPr>
      <w:tblGrid>
        <w:gridCol w:w="2330"/>
        <w:gridCol w:w="1115"/>
      </w:tblGrid>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highlight w:val="white"/>
              </w:rPr>
            </w:pPr>
            <w:r>
              <w:rPr>
                <w:rFonts w:ascii="Times New Roman" w:hAnsi="Times New Roman"/>
                <w:b/>
                <w:i w:val="false"/>
                <w:caps w:val="false"/>
                <w:smallCaps w:val="false"/>
                <w:color w:val="000000"/>
                <w:sz w:val="18"/>
                <w:highlight w:val="white"/>
              </w:rPr>
              <w:t>Delaware</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highlight w:val="white"/>
              </w:rPr>
            </w:pPr>
            <w:r>
              <w:rPr>
                <w:rFonts w:ascii="Times New Roman" w:hAnsi="Times New Roman"/>
                <w:b/>
                <w:i w:val="false"/>
                <w:caps w:val="false"/>
                <w:smallCaps w:val="false"/>
                <w:color w:val="000000"/>
                <w:sz w:val="18"/>
                <w:highlight w:val="white"/>
              </w:rPr>
              <w:t>45-0834299</w:t>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 State or other jurisdiction of</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incorporation or organization)</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(I.R.S. Employer</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Identification No.)</w:t>
            </w:r>
          </w:p>
        </w:tc>
      </w:tr>
      <w:tr>
        <w:trPr/>
        <w:tc>
          <w:tcPr>
            <w:tcW w:w="2330" w:type="dxa"/>
            <w:tcBorders/>
            <w:shd w:fill="auto" w:val="clear"/>
            <w:vAlign w:val="bottom"/>
          </w:tcPr>
          <w:p>
            <w:pPr>
              <w:pStyle w:val="TableContents"/>
              <w:shd w:fill="FFFFFF" w:val="clear"/>
              <w:spacing w:lineRule="auto" w:line="288" w:before="12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195 Church Street, 14th Floor</w:t>
            </w:r>
          </w:p>
          <w:p>
            <w:pPr>
              <w:pStyle w:val="TableContents"/>
              <w:shd w:fill="FFFFFF" w:val="clear"/>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New Haven, Connecticut</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06510</w:t>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(Address of principal executive offices)</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(Zip Code)</w:t>
            </w:r>
          </w:p>
        </w:tc>
      </w:tr>
    </w:tbl>
    <w:p>
      <w:pPr>
        <w:pStyle w:val="TextBody"/>
        <w:spacing w:before="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Registrant’s telephone number, including area code: (203) 304-2499</w:t>
      </w:r>
    </w:p>
    <w:p>
      <w:pPr>
        <w:pStyle w:val="TextBody"/>
        <w:pBdr>
          <w:bottom w:val="single" w:sz="8" w:space="1" w:color="000000"/>
        </w:pBdr>
        <w:spacing w:before="0" w:after="0"/>
        <w:jc w:val="center"/>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6"/>
        </w:rPr>
        <w:t>\</w:t>
      </w:r>
    </w:p>
    <w:p>
      <w:pPr>
        <w:pStyle w:val="TextBody"/>
        <w:spacing w:before="6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Securities registered pursuant to Section 12(b) of the Act: </w:t>
      </w:r>
    </w:p>
    <w:p>
      <w:pPr>
        <w:pStyle w:val="TextBody"/>
        <w:spacing w:before="0" w:after="0"/>
        <w:rPr/>
      </w:pPr>
      <w:r>
        <w:rPr/>
        <w:t> </w:t>
      </w:r>
    </w:p>
    <w:tbl>
      <w:tblPr>
        <w:tblW w:w="7380" w:type="dxa"/>
        <w:jc w:val="center"/>
        <w:tblInd w:w="0" w:type="dxa"/>
        <w:tblCellMar>
          <w:top w:w="0" w:type="dxa"/>
          <w:left w:w="0" w:type="dxa"/>
          <w:bottom w:w="28" w:type="dxa"/>
          <w:right w:w="0" w:type="dxa"/>
        </w:tblCellMar>
      </w:tblPr>
      <w:tblGrid>
        <w:gridCol w:w="3335"/>
        <w:gridCol w:w="60"/>
        <w:gridCol w:w="740"/>
        <w:gridCol w:w="60"/>
        <w:gridCol w:w="3185"/>
      </w:tblGrid>
      <w:tr>
        <w:trPr/>
        <w:tc>
          <w:tcPr>
            <w:tcW w:w="333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74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Trading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18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 of each exchange on which registered</w:t>
            </w:r>
          </w:p>
        </w:tc>
      </w:tr>
      <w:tr>
        <w:trPr/>
        <w:tc>
          <w:tcPr>
            <w:tcW w:w="3335" w:type="dxa"/>
            <w:tcBorders>
              <w:top w:val="single" w:sz="6" w:space="0" w:color="000000"/>
            </w:tcBorders>
            <w:shd w:fill="auto" w:val="clear"/>
            <w:tcMar>
              <w:top w:w="28" w:type="dxa"/>
              <w:bottom w:w="0" w:type="dxa"/>
            </w:tcMar>
          </w:tcPr>
          <w:p>
            <w:pPr>
              <w:pStyle w:val="TableContents"/>
              <w:spacing w:before="4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Common Stock, $0.001 par value per share</w:t>
            </w:r>
          </w:p>
        </w:tc>
        <w:tc>
          <w:tcPr>
            <w:tcW w:w="60" w:type="dxa"/>
            <w:tcBorders/>
            <w:shd w:fill="auto" w:val="clear"/>
            <w:tcMar>
              <w:bottom w:w="0" w:type="dxa"/>
            </w:tcMar>
            <w:vAlign w:val="bottom"/>
          </w:tcPr>
          <w:p>
            <w:pPr>
              <w:pStyle w:val="TableContents"/>
              <w:spacing w:before="40" w:after="0"/>
              <w:ind w:left="0" w:right="0" w:hanging="0"/>
              <w:jc w:val="center"/>
              <w:rPr/>
            </w:pPr>
            <w:r>
              <w:rPr/>
              <w:t> </w:t>
            </w:r>
          </w:p>
        </w:tc>
        <w:tc>
          <w:tcPr>
            <w:tcW w:w="740" w:type="dxa"/>
            <w:tcBorders>
              <w:top w:val="single" w:sz="6" w:space="0" w:color="000000"/>
            </w:tcBorders>
            <w:shd w:fill="auto" w:val="clear"/>
            <w:tcMar>
              <w:top w:w="28" w:type="dxa"/>
              <w:bottom w:w="0" w:type="dxa"/>
            </w:tcMar>
            <w:vAlign w:val="bottom"/>
          </w:tcPr>
          <w:p>
            <w:pPr>
              <w:pStyle w:val="TableContents"/>
              <w:spacing w:before="4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TRVI</w:t>
            </w:r>
          </w:p>
        </w:tc>
        <w:tc>
          <w:tcPr>
            <w:tcW w:w="60" w:type="dxa"/>
            <w:tcBorders/>
            <w:shd w:fill="auto" w:val="clear"/>
            <w:tcMar>
              <w:bottom w:w="0" w:type="dxa"/>
            </w:tcMar>
            <w:vAlign w:val="bottom"/>
          </w:tcPr>
          <w:p>
            <w:pPr>
              <w:pStyle w:val="TableContents"/>
              <w:spacing w:before="40" w:after="0"/>
              <w:ind w:left="0" w:right="0" w:hanging="0"/>
              <w:jc w:val="center"/>
              <w:rPr/>
            </w:pPr>
            <w:r>
              <w:rPr/>
              <w:t> </w:t>
            </w:r>
          </w:p>
        </w:tc>
        <w:tc>
          <w:tcPr>
            <w:tcW w:w="3185" w:type="dxa"/>
            <w:tcBorders>
              <w:top w:val="single" w:sz="6" w:space="0" w:color="000000"/>
            </w:tcBorders>
            <w:shd w:fill="auto" w:val="clear"/>
            <w:tcMar>
              <w:top w:w="28" w:type="dxa"/>
              <w:bottom w:w="0" w:type="dxa"/>
            </w:tcMar>
            <w:vAlign w:val="bottom"/>
          </w:tcPr>
          <w:p>
            <w:pPr>
              <w:pStyle w:val="TableContents"/>
              <w:spacing w:before="4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The Nasdaq Stock Market LLC</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Securities registered pursuant to Section 12(g) of the Act: </w:t>
      </w:r>
      <w:r>
        <w:rPr>
          <w:rFonts w:ascii="Times New Roman" w:hAnsi="Times New Roman"/>
          <w:b/>
          <w:i w:val="false"/>
          <w:caps w:val="false"/>
          <w:smallCaps w:val="false"/>
          <w:color w:val="000000"/>
          <w:sz w:val="16"/>
        </w:rPr>
        <w:t xml:space="preserve">None </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if the Registrant is a well-known seasoned issuer, as defined in Rule 405 of the Securities Act. Yes ☐ No ☒</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if the Registrant is not required to file reports pursuant to Section 13 or 15(d) of the Act. Yes ☐ No ☒</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565" w:type="dxa"/>
        <w:jc w:val="center"/>
        <w:tblInd w:w="0" w:type="dxa"/>
        <w:tblCellMar>
          <w:top w:w="0" w:type="dxa"/>
          <w:left w:w="0" w:type="dxa"/>
          <w:bottom w:w="0" w:type="dxa"/>
          <w:right w:w="0" w:type="dxa"/>
        </w:tblCellMar>
      </w:tblPr>
      <w:tblGrid>
        <w:gridCol w:w="1940"/>
        <w:gridCol w:w="60"/>
        <w:gridCol w:w="230"/>
        <w:gridCol w:w="120"/>
        <w:gridCol w:w="1925"/>
        <w:gridCol w:w="60"/>
        <w:gridCol w:w="230"/>
      </w:tblGrid>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Large accelerated filer</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c>
          <w:tcPr>
            <w:tcW w:w="12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Accelerated filer</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940"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2045"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Non-accelerated filer</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c>
          <w:tcPr>
            <w:tcW w:w="12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Smaller reporting compan</w:t>
            </w:r>
            <w:r>
              <w:rPr>
                <w:rFonts w:ascii="Times New Roman" w:hAnsi="Times New Roman"/>
                <w:b w:val="false"/>
                <w:i w:val="false"/>
                <w:caps w:val="false"/>
                <w:smallCaps w:val="false"/>
                <w:color w:val="000000"/>
                <w:sz w:val="18"/>
              </w:rPr>
              <w:t>y</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tc>
        <w:tc>
          <w:tcPr>
            <w:tcW w:w="120" w:type="dxa"/>
            <w:tcBorders/>
            <w:shd w:fill="auto" w:val="clear"/>
          </w:tcPr>
          <w:p>
            <w:pPr>
              <w:pStyle w:val="TableContents"/>
              <w:spacing w:before="0" w:after="0"/>
              <w:ind w:left="0" w:right="0" w:hanging="0"/>
              <w:rPr/>
            </w:pPr>
            <w:r>
              <w:rPr/>
              <w:t> </w:t>
            </w:r>
          </w:p>
        </w:tc>
        <w:tc>
          <w:tcPr>
            <w:tcW w:w="19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Indicate by check mark whether the Registrant is a shell company (as defined in Rule 12b-2 of the Exchange Act). Yes ☐ No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As of June 30, 2020,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$41.5 million. </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The number of shares of Registrant’s Common Stock outstanding as of March 24, 2021 was 19,914,407. </w:t>
      </w:r>
    </w:p>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DOCUMENTS INCORPORATED BY REFERENCE</w:t>
      </w:r>
    </w:p>
    <w:p>
      <w:pPr>
        <w:pStyle w:val="TextBody"/>
        <w:spacing w:before="60" w:after="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Portions of the Proxy Statement for the registrant’s 2021 Annual Meeting of Stockholders are incorporated by reference into Part III of this Annual Report on Form 10-K.</w:t>
      </w:r>
    </w:p>
    <w:p>
      <w:pPr>
        <w:pStyle w:val="TextBody"/>
        <w:pBdr>
          <w:bottom w:val="double" w:sz="6" w:space="1" w:color="000000"/>
        </w:pBdr>
        <w:spacing w:before="0" w:after="0"/>
        <w:rPr/>
      </w:pPr>
      <w:r>
        <w:rPr/>
        <w:t> </w:t>
      </w:r>
    </w:p>
    <w:p>
      <w:pPr>
        <w:pStyle w:val="TextBody"/>
        <w:spacing w:before="240" w:after="0"/>
        <w:jc w:val="center"/>
        <w:rPr/>
      </w:pPr>
      <w:r>
        <w:rPr/>
        <w:t> </w:t>
      </w:r>
    </w:p>
    <w:p>
      <w:pPr>
        <w:pStyle w:val="HorizontalLine"/>
        <w:rPr/>
      </w:pPr>
      <w:r>
        <w:rPr/>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CAUTIONARY NOTE REGARDING FORWARD-LOOKING STATEMENTS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This Annual Report on Form 10-K contains forward-looking statements that involve substantial risks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forward-looking statements in this Annual Report on Form 10-K include, among other things, statements about: </w:t>
      </w:r>
    </w:p>
    <w:tbl>
      <w:tblPr>
        <w:tblW w:w="9835" w:type="dxa"/>
        <w:jc w:val="left"/>
        <w:tblInd w:w="0" w:type="dxa"/>
        <w:tblCellMar>
          <w:top w:w="0" w:type="dxa"/>
          <w:left w:w="0" w:type="dxa"/>
          <w:bottom w:w="0" w:type="dxa"/>
          <w:right w:w="0" w:type="dxa"/>
        </w:tblCellMar>
      </w:tblPr>
      <w:tblGrid>
        <w:gridCol w:w="60"/>
        <w:gridCol w:w="110"/>
        <w:gridCol w:w="96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6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bookmarkStart w:id="2" w:name="_cp_text_1_5"/>
            <w:bookmarkStart w:id="3" w:name="_cp_blt_1_4"/>
            <w:bookmarkEnd w:id="2"/>
            <w:bookmarkEnd w:id="3"/>
            <w:r>
              <w:rPr>
                <w:rFonts w:ascii="Times New Roman" w:hAnsi="Times New Roman"/>
                <w:b w:val="false"/>
                <w:i w:val="false"/>
                <w:caps w:val="false"/>
                <w:smallCaps w:val="false"/>
                <w:color w:val="000000"/>
                <w:spacing w:val="0"/>
                <w:sz w:val="20"/>
              </w:rPr>
              <w:t>the impact of the COVID-19 pandemic on our clinical trials, business and operations and our response to the pandemic;</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ongoing clinical trials, including our Phase 2b/3 PRISM trial of Haduvio (nalbuphine ER) for the treatment of pruritus associated with prurigo nodularis;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plans to develop and, if approved, subsequently commercialize Haduvio for the treatment of pruritus associated with prurigo nodularis or for other serious neurologically mediated conditions; </w:t>
            </w:r>
          </w:p>
        </w:tc>
      </w:tr>
    </w:tbl>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2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expectations regarding the timing for the initiation of clinical trials and the reporting of data from such trials; </w:t>
            </w:r>
          </w:p>
        </w:tc>
      </w:tr>
    </w:tbl>
    <w:tbl>
      <w:tblPr>
        <w:tblW w:w="9745" w:type="dxa"/>
        <w:jc w:val="left"/>
        <w:tblInd w:w="0" w:type="dxa"/>
        <w:tblCellMar>
          <w:top w:w="0" w:type="dxa"/>
          <w:left w:w="0" w:type="dxa"/>
          <w:bottom w:w="0" w:type="dxa"/>
          <w:right w:w="0" w:type="dxa"/>
        </w:tblCellMar>
      </w:tblPr>
      <w:tblGrid>
        <w:gridCol w:w="60"/>
        <w:gridCol w:w="110"/>
        <w:gridCol w:w="95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5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timing of and our ability to submit applications for, and to obtain and maintain regulatory approvals for Haduvio;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expectations regarding our ability to fund our operating expenses and capital expenditure requirements with our cash and cash equivalents;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estimates regarding expenses, future revenue, timing of any future revenue, capital requirements and needs for additional financing; </w:t>
            </w:r>
          </w:p>
        </w:tc>
      </w:tr>
    </w:tbl>
    <w:tbl>
      <w:tblPr>
        <w:tblW w:w="4090" w:type="dxa"/>
        <w:jc w:val="left"/>
        <w:tblInd w:w="0" w:type="dxa"/>
        <w:tblCellMar>
          <w:top w:w="0" w:type="dxa"/>
          <w:left w:w="0" w:type="dxa"/>
          <w:bottom w:w="0" w:type="dxa"/>
          <w:right w:w="0" w:type="dxa"/>
        </w:tblCellMar>
      </w:tblPr>
      <w:tblGrid>
        <w:gridCol w:w="60"/>
        <w:gridCol w:w="110"/>
        <w:gridCol w:w="39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9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impact of government laws and regulations; </w:t>
            </w:r>
          </w:p>
        </w:tc>
      </w:tr>
    </w:tbl>
    <w:tbl>
      <w:tblPr>
        <w:tblW w:w="2650" w:type="dxa"/>
        <w:jc w:val="left"/>
        <w:tblInd w:w="0" w:type="dxa"/>
        <w:tblCellMar>
          <w:top w:w="0" w:type="dxa"/>
          <w:left w:w="0" w:type="dxa"/>
          <w:bottom w:w="0" w:type="dxa"/>
          <w:right w:w="0" w:type="dxa"/>
        </w:tblCellMar>
      </w:tblPr>
      <w:tblGrid>
        <w:gridCol w:w="60"/>
        <w:gridCol w:w="110"/>
        <w:gridCol w:w="24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4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competitive position; and </w:t>
            </w:r>
          </w:p>
        </w:tc>
      </w:tr>
    </w:tbl>
    <w:tbl>
      <w:tblPr>
        <w:tblW w:w="6790" w:type="dxa"/>
        <w:jc w:val="left"/>
        <w:tblInd w:w="0" w:type="dxa"/>
        <w:tblCellMar>
          <w:top w:w="0" w:type="dxa"/>
          <w:left w:w="0" w:type="dxa"/>
          <w:bottom w:w="0" w:type="dxa"/>
          <w:right w:w="0" w:type="dxa"/>
        </w:tblCellMar>
      </w:tblPr>
      <w:tblGrid>
        <w:gridCol w:w="60"/>
        <w:gridCol w:w="110"/>
        <w:gridCol w:w="66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6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establish and maintain collaborations or obtain additional funding.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You should read this Annual Report on Form 10-K and the documents that we have filed as exhibits to this Annual Report on Form 10-K completely and with the understanding that our actual future results may differ materially from what we expect. The forward-looking statements contained in this Annual Report on Form 10-K are made as of the date of this Annual Report on Form 10-K, and we do not assume any obligation to update any forward-looking statements except as required by applicable law.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and ™ symbols, but we will assert, to the fullest extent under applicable law, our rights to our trademarks, service marks and trade names. We intend to propose Haduvio as the trade name for our nalbuphine ER investigational product and therefore plan to use that name when we refer to nalbuphine ER going forward.</w:t>
      </w:r>
    </w:p>
    <w:p>
      <w:pPr>
        <w:pStyle w:val="TextBody"/>
        <w:spacing w:before="240" w:after="0"/>
        <w:jc w:val="center"/>
        <w:rPr/>
      </w:pPr>
      <w:r>
        <w:rPr/>
        <w:t> </w:t>
      </w:r>
    </w:p>
    <w:p>
      <w:pPr>
        <w:pStyle w:val="HorizontalLine"/>
        <w:rPr/>
      </w:pPr>
      <w:r>
        <w:rPr/>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 FACTOR SUMMARY</w:t>
      </w:r>
    </w:p>
    <w:p>
      <w:pPr>
        <w:pStyle w:val="TextBody"/>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Annual Report on Form 10-K, and should be carefully considered, together with other information in this Annual Report on Form 10-K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face risks related to health epidemics and other widespread outbreaks of contagious disease, including the novel coronavirus pandemic, or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have incurred significant losses since inception, expect to incur significant and increasing losses for the foreseeable future, and may never achieve or maintain profitability.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will need substantial additional funding, and if we are unable to raise sufficient capital when needed on acceptable terms, or at all, we could be forced to delay, reduce or abandon our product development programs or commercialization efforts.</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existing indebtedness, together with our other financial obligations and contractual commitments, could adversely affect our financial condition and restrict our future operations.</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 In addition, the development of Haduvio for the treatment of pruritus associated with prurigo nodularis is currently significantly more advanced than our other target indications. If we are not successful in developing and commercializing Haduvio for the treatment of pruritus associated with prurigo nodularis, our business could also be substantially harmed.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have experienced delays and difficulties in the enrollment of patients in our clinical trials, including our Phase 2b/3 PRISM trial and our Phase 2 CANAL trial. If we experience further delays or difficulties in the enrollment of patients in clinical trials, our receipt of necessary regulatory approvals could be delayed or prevented. Other companies are conducting clinical trials or have announced plans for future clinical trials that are seeking, or are likely to seek, to enroll patients with prurigo nodularis, and patients are generally only able to enroll in a single trial at a time. In addition, many patients use various treatments off-label to treat pruritus associated with prurigo nodularis and these patients and their physicians may be reluctant to forgo, discontinue or otherwise alter their use of such off-label therapeutic approaches to participate in our clinical trials.</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approach to the development and commercialization of Haduvio to treat serious neurologically mediated conditions is unproven.</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Clinical drug development involves a lengthy and expensive process with an uncertain outcome. Even if we complete the necessary preclinical studies and clinical trials, the regulatory approval process is expensive, time consuming and uncertain and may prevent us from obtaining approvals for the commercialization of Haduvio or any future product candidate.</w:t>
            </w:r>
          </w:p>
        </w:tc>
      </w:tr>
    </w:tbl>
    <w:p>
      <w:pPr>
        <w:pStyle w:val="TextBody"/>
        <w:shd w:fill="FFFFFF" w:val="clear"/>
        <w:spacing w:before="0" w:after="0"/>
        <w:rPr/>
      </w:pPr>
      <w:r>
        <w:rPr/>
        <w:t> </w:t>
      </w:r>
    </w:p>
    <w:p>
      <w:pPr>
        <w:pStyle w:val="TextBody"/>
        <w:spacing w:before="240" w:after="0"/>
        <w:jc w:val="center"/>
        <w:rPr/>
      </w:pPr>
      <w:r>
        <w:rPr/>
        <w:t> </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 xml:space="preserve">Our Phase 2 clinical trial of Haduvio for the treatment of pruritus associated with prurigo nodularis may not be predictive of the results of our PRISM trial, including due to the small patient size of the Phase 2 clinical trial, the discontinuation rate among patients in the Phase 2 clinical trial, the limited number of patients who completed treatment in the Phase 2 clinical trial and differences in the design of the Phase 2 clinical trial and the PRISM trial, including the longer treatment period for Haduvio being used in the PRISM trial. </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 The drug label for nalbuphine, the active ingredient in Haduvio, carries a warning for serious, life-threatening or fatal respiratory depression, and Haduvio, if approved for marketing in any indication, will likely carry a similar label.</w:t>
            </w:r>
          </w:p>
        </w:tc>
      </w:tr>
    </w:tbl>
    <w:p>
      <w:pPr>
        <w:pStyle w:val="TextBody"/>
        <w:shd w:fill="FFFFFF" w:val="clear"/>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highlight w:val="white"/>
              </w:rPr>
              <w:t xml:space="preserve">Many currently approved μ-opioid products are subject to restrictive marketing and distribution regulations which, if applied to Haduvio, could potentially restrict its use and harm our ability to generate profits. We plan to conduct a </w:t>
            </w:r>
            <w:r>
              <w:rPr>
                <w:rFonts w:ascii="Times New Roman" w:hAnsi="Times New Roman"/>
                <w:b w:val="false"/>
                <w:i w:val="false"/>
                <w:caps w:val="false"/>
                <w:smallCaps w:val="false"/>
                <w:color w:val="000000"/>
                <w:spacing w:val="0"/>
                <w:sz w:val="20"/>
              </w:rPr>
              <w:t>human abuse liability</w:t>
            </w:r>
            <w:r>
              <w:rPr>
                <w:rFonts w:ascii="Times New Roman" w:hAnsi="Times New Roman"/>
                <w:b w:val="false"/>
                <w:i w:val="false"/>
                <w:caps w:val="false"/>
                <w:smallCaps w:val="false"/>
                <w:color w:val="000000"/>
                <w:spacing w:val="0"/>
                <w:sz w:val="20"/>
                <w:highlight w:val="white"/>
              </w:rPr>
              <w:t>, or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Risk Evaluation and Mitigation Strategy in connection with any commercialization of Haduvio and the U.S. Drug Enforcement Agency could determine that Haduvio should be classified as a controlled substance.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face substantial competition, which may result in others developing or commercializing products before or more successfully than we do.</w:t>
            </w:r>
          </w:p>
        </w:tc>
      </w:tr>
    </w:tbl>
    <w:p>
      <w:pPr>
        <w:pStyle w:val="TextBody"/>
        <w:shd w:fill="FFFFFF" w:val="clear"/>
        <w:spacing w:before="0" w:after="0"/>
        <w:rPr/>
      </w:pPr>
      <w:r>
        <w:rPr/>
        <w:t> </w:t>
      </w:r>
    </w:p>
    <w:tbl>
      <w:tblPr>
        <w:tblW w:w="9925" w:type="dxa"/>
        <w:jc w:val="left"/>
        <w:tblInd w:w="0" w:type="dxa"/>
        <w:tblCellMar>
          <w:top w:w="0" w:type="dxa"/>
          <w:left w:w="0" w:type="dxa"/>
          <w:bottom w:w="0" w:type="dxa"/>
          <w:right w:w="0" w:type="dxa"/>
        </w:tblCellMar>
      </w:tblPr>
      <w:tblGrid>
        <w:gridCol w:w="60"/>
        <w:gridCol w:w="110"/>
        <w:gridCol w:w="975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975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rely on third parties to conduct our clinical trials. If they do not perform satisfactorily, our business could be harmed.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We contract with third parties for the manufacture, storage, packaging and distribution of Haduvio for clinical trials, including a single supplier for the active ingredient, and expect to continue to rely on third parties for these services in connection with our future development and commercialization efforts for Haduvio and any future product candidates.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If we fail to comply with our obligations under our existing and any future intellectual property licenses with third parties, including our licenses with Endo and with Rutgers, we could lose license rights that are critical to our business or owe damages to the licensor of such intellectual property.</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highlight w:val="white"/>
              </w:rPr>
              <w:t xml:space="preserve">If we are unable to obtain and maintain sufficient patent protection for Haduvio or any future product candidate, </w:t>
            </w:r>
            <w:r>
              <w:rPr>
                <w:rFonts w:ascii="Times New Roman" w:hAnsi="Times New Roman"/>
                <w:b w:val="false"/>
                <w:i w:val="false"/>
                <w:caps w:val="false"/>
                <w:smallCaps w:val="false"/>
                <w:color w:val="000000"/>
                <w:spacing w:val="0"/>
                <w:sz w:val="20"/>
              </w:rPr>
              <w:t xml:space="preserve">and the disease indications for which we are developing, or may in the future develop, Haduvio, </w:t>
            </w:r>
            <w:r>
              <w:rPr>
                <w:rFonts w:ascii="Times New Roman" w:hAnsi="Times New Roman"/>
                <w:b w:val="false"/>
                <w:i w:val="false"/>
                <w:caps w:val="false"/>
                <w:smallCaps w:val="false"/>
                <w:color w:val="000000"/>
                <w:spacing w:val="0"/>
                <w:sz w:val="20"/>
                <w:highlight w:val="white"/>
              </w:rPr>
              <w:t xml:space="preserve">or if the scope of the patent protection is not sufficiently broad, competitors could develop and commercialize products similar or identical to such product candidate, and our ability to successfully commercialize such product candidate may be adversely affected. </w:t>
            </w:r>
          </w:p>
        </w:tc>
      </w:tr>
    </w:tbl>
    <w:p>
      <w:pPr>
        <w:pStyle w:val="TextBody"/>
        <w:shd w:fill="FFFFFF" w:val="clear"/>
        <w:spacing w:before="0" w:after="0"/>
        <w:rPr/>
      </w:pPr>
      <w:r>
        <w:rPr/>
        <w:t> </w:t>
      </w:r>
    </w:p>
    <w:p>
      <w:pPr>
        <w:pStyle w:val="TextBody"/>
        <w:spacing w:before="240" w:after="0"/>
        <w:jc w:val="center"/>
        <w:rPr/>
      </w:pPr>
      <w:r>
        <w:rPr/>
        <w:t> </w:t>
      </w:r>
    </w:p>
    <w:p>
      <w:pPr>
        <w:pStyle w:val="HorizontalLine"/>
        <w:rPr/>
      </w:pPr>
      <w:r>
        <w:rPr/>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Table of Contents</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815"/>
        <w:gridCol w:w="9010"/>
        <w:gridCol w:w="380"/>
      </w:tblGrid>
      <w:tr>
        <w:trPr/>
        <w:tc>
          <w:tcPr>
            <w:tcW w:w="815"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9010" w:type="dxa"/>
            <w:tcBorders/>
            <w:shd w:fill="FFFFFF" w:val="clear"/>
            <w:tcMar>
              <w:bottom w:w="0" w:type="dxa"/>
            </w:tcMar>
          </w:tcPr>
          <w:p>
            <w:pPr>
              <w:pStyle w:val="TableContents"/>
              <w:spacing w:before="0" w:after="0"/>
              <w:ind w:left="0" w:right="0" w:hanging="0"/>
              <w:rPr/>
            </w:pPr>
            <w:hyperlink w:anchor="ITEM_1_BUSINESS">
              <w:r>
                <w:rPr>
                  <w:rStyle w:val="InternetLink"/>
                  <w:rFonts w:ascii="Times New Roman" w:hAnsi="Times New Roman"/>
                  <w:b w:val="false"/>
                  <w:i w:val="false"/>
                  <w:caps w:val="false"/>
                  <w:smallCaps w:val="false"/>
                  <w:color w:val="000000"/>
                  <w:sz w:val="20"/>
                  <w:u w:val="single"/>
                </w:rPr>
                <w:t>Business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1A.</w:t>
            </w:r>
          </w:p>
        </w:tc>
        <w:tc>
          <w:tcPr>
            <w:tcW w:w="9010" w:type="dxa"/>
            <w:tcBorders/>
            <w:shd w:fill="FFFFFF" w:val="clear"/>
            <w:tcMar>
              <w:bottom w:w="0" w:type="dxa"/>
            </w:tcMa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color w:val="000000"/>
                  <w:sz w:val="20"/>
                  <w:u w:val="single"/>
                </w:rPr>
                <w:t>Risk Factors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1B.</w:t>
            </w:r>
          </w:p>
        </w:tc>
        <w:tc>
          <w:tcPr>
            <w:tcW w:w="9010" w:type="dxa"/>
            <w:tcBorders/>
            <w:shd w:fill="FFFFFF" w:val="clear"/>
            <w:tcMar>
              <w:bottom w:w="0" w:type="dxa"/>
            </w:tcMar>
          </w:tcPr>
          <w:p>
            <w:pPr>
              <w:pStyle w:val="TableContents"/>
              <w:spacing w:before="0" w:after="0"/>
              <w:ind w:left="0" w:right="0" w:hanging="0"/>
              <w:rPr/>
            </w:pPr>
            <w:hyperlink w:anchor="ITEM_1B_UNRESOLVED_STAFF_COMMENTS">
              <w:r>
                <w:rPr>
                  <w:rStyle w:val="InternetLink"/>
                  <w:rFonts w:ascii="Times New Roman" w:hAnsi="Times New Roman"/>
                  <w:b w:val="false"/>
                  <w:i w:val="false"/>
                  <w:caps w:val="false"/>
                  <w:smallCaps w:val="false"/>
                  <w:color w:val="000000"/>
                  <w:sz w:val="20"/>
                  <w:u w:val="single"/>
                </w:rPr>
                <w:t>Unresolved Staff Comments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9010" w:type="dxa"/>
            <w:tcBorders/>
            <w:shd w:fill="FFFFFF" w:val="clear"/>
            <w:tcMar>
              <w:bottom w:w="0" w:type="dxa"/>
            </w:tcMar>
          </w:tcPr>
          <w:p>
            <w:pPr>
              <w:pStyle w:val="TableContents"/>
              <w:spacing w:before="0" w:after="0"/>
              <w:ind w:left="0" w:right="0" w:hanging="0"/>
              <w:rPr/>
            </w:pPr>
            <w:hyperlink w:anchor="ITEM_2_PROPERTIES">
              <w:r>
                <w:rPr>
                  <w:rStyle w:val="InternetLink"/>
                  <w:rFonts w:ascii="Times New Roman" w:hAnsi="Times New Roman"/>
                  <w:b w:val="false"/>
                  <w:i w:val="false"/>
                  <w:caps w:val="false"/>
                  <w:smallCaps w:val="false"/>
                  <w:color w:val="000000"/>
                  <w:sz w:val="20"/>
                  <w:u w:val="single"/>
                </w:rPr>
                <w:t>Properties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9010" w:type="dxa"/>
            <w:tcBorders/>
            <w:shd w:fill="FFFFFF" w:val="clear"/>
            <w:tcMar>
              <w:bottom w:w="0" w:type="dxa"/>
            </w:tcMar>
          </w:tcPr>
          <w:p>
            <w:pPr>
              <w:pStyle w:val="TableContents"/>
              <w:spacing w:before="0" w:after="0"/>
              <w:ind w:left="0" w:right="0" w:hanging="0"/>
              <w:rPr/>
            </w:pPr>
            <w:hyperlink w:anchor="ITEM_3_LEGAL_PROCEEDINGS">
              <w:r>
                <w:rPr>
                  <w:rStyle w:val="InternetLink"/>
                  <w:rFonts w:ascii="Times New Roman" w:hAnsi="Times New Roman"/>
                  <w:b w:val="false"/>
                  <w:i w:val="false"/>
                  <w:caps w:val="false"/>
                  <w:smallCaps w:val="false"/>
                  <w:color w:val="000000"/>
                  <w:sz w:val="20"/>
                  <w:u w:val="single"/>
                </w:rPr>
                <w:t>Legal Proceedings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9010" w:type="dxa"/>
            <w:tcBorders/>
            <w:shd w:fill="FFFFFF" w:val="clear"/>
            <w:tcMar>
              <w:bottom w:w="0" w:type="dxa"/>
            </w:tcMar>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color w:val="000000"/>
                  <w:sz w:val="20"/>
                  <w:u w:val="single"/>
                </w:rPr>
                <w:t>Mine Safety Disclosures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5.</w:t>
            </w:r>
          </w:p>
        </w:tc>
        <w:tc>
          <w:tcPr>
            <w:tcW w:w="9010" w:type="dxa"/>
            <w:tcBorders/>
            <w:shd w:fill="FFFFFF" w:val="clear"/>
            <w:tcMar>
              <w:bottom w:w="0" w:type="dxa"/>
            </w:tcMar>
          </w:tcPr>
          <w:p>
            <w:pPr>
              <w:pStyle w:val="TableContents"/>
              <w:spacing w:before="0" w:after="0"/>
              <w:ind w:left="0" w:right="0" w:hanging="0"/>
              <w:rPr/>
            </w:pPr>
            <w:hyperlink w:anchor="ITEM_5_MARKET_FOR_REGISTRANTS_COMMON_EQU">
              <w:r>
                <w:rPr>
                  <w:rStyle w:val="InternetLink"/>
                  <w:rFonts w:ascii="Times New Roman" w:hAnsi="Times New Roman"/>
                  <w:b w:val="false"/>
                  <w:i w:val="false"/>
                  <w:caps w:val="false"/>
                  <w:smallCaps w:val="false"/>
                  <w:color w:val="000000"/>
                  <w:sz w:val="20"/>
                  <w:u w:val="single"/>
                </w:rPr>
                <w:t>Market for Registrant’s Common Equity, Related Stockholder Matters and Issuer Purchases of Equity Securities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6.</w:t>
            </w:r>
          </w:p>
        </w:tc>
        <w:tc>
          <w:tcPr>
            <w:tcW w:w="9010" w:type="dxa"/>
            <w:tcBorders/>
            <w:shd w:fill="FFFFFF" w:val="clear"/>
            <w:tcMar>
              <w:bottom w:w="0" w:type="dxa"/>
            </w:tcMar>
          </w:tcPr>
          <w:p>
            <w:pPr>
              <w:pStyle w:val="TableContents"/>
              <w:spacing w:before="0" w:after="0"/>
              <w:ind w:left="0" w:right="0" w:hanging="0"/>
              <w:rPr/>
            </w:pPr>
            <w:hyperlink w:anchor="ITEM_6_SELECTED_FINANCIAL_DATA">
              <w:r>
                <w:rPr>
                  <w:rStyle w:val="InternetLink"/>
                  <w:rFonts w:ascii="Times New Roman" w:hAnsi="Times New Roman"/>
                  <w:b w:val="false"/>
                  <w:i w:val="false"/>
                  <w:caps w:val="false"/>
                  <w:smallCaps w:val="false"/>
                  <w:color w:val="000000"/>
                  <w:sz w:val="20"/>
                  <w:u w:val="single"/>
                </w:rPr>
                <w:t>Selected Financial Data</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w:t>
            </w:r>
          </w:p>
        </w:tc>
        <w:tc>
          <w:tcPr>
            <w:tcW w:w="9010" w:type="dxa"/>
            <w:tcBorders/>
            <w:shd w:fill="FFFFFF" w:val="clear"/>
            <w:tcMar>
              <w:bottom w:w="0" w:type="dxa"/>
            </w:tcMar>
          </w:tcPr>
          <w:p>
            <w:pPr>
              <w:pStyle w:val="TableContents"/>
              <w:spacing w:before="0" w:after="0"/>
              <w:ind w:left="0" w:right="0" w:hanging="0"/>
              <w:rPr/>
            </w:pPr>
            <w:hyperlink w:anchor="ITEM_7_MANAGEMENTS_DISCUSSION_ANALYSIS_F">
              <w:r>
                <w:rPr>
                  <w:rStyle w:val="InternetLink"/>
                  <w:rFonts w:ascii="Times New Roman" w:hAnsi="Times New Roman"/>
                  <w:b w:val="false"/>
                  <w:i w:val="false"/>
                  <w:caps w:val="false"/>
                  <w:smallCaps w:val="false"/>
                  <w:color w:val="000000"/>
                  <w:sz w:val="20"/>
                  <w:u w:val="single"/>
                </w:rPr>
                <w:t>Management’s Discussion and Analysis of Financial Condition and Results of Operations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7A.</w:t>
            </w:r>
          </w:p>
        </w:tc>
        <w:tc>
          <w:tcPr>
            <w:tcW w:w="9010" w:type="dxa"/>
            <w:tcBorders/>
            <w:shd w:fill="FFFFFF" w:val="clear"/>
            <w:tcMar>
              <w:bottom w:w="0" w:type="dxa"/>
            </w:tcMar>
          </w:tcPr>
          <w:p>
            <w:pPr>
              <w:pStyle w:val="TableContents"/>
              <w:spacing w:before="0" w:after="0"/>
              <w:ind w:left="0" w:right="0" w:hanging="0"/>
              <w:rPr/>
            </w:pPr>
            <w:hyperlink w:anchor="ITEM_7A_QUANTITATIVE_QUALITATIVE_DISCLOS">
              <w:r>
                <w:rPr>
                  <w:rStyle w:val="InternetLink"/>
                  <w:rFonts w:ascii="Times New Roman" w:hAnsi="Times New Roman"/>
                  <w:b w:val="false"/>
                  <w:i w:val="false"/>
                  <w:caps w:val="false"/>
                  <w:smallCaps w:val="false"/>
                  <w:color w:val="000000"/>
                  <w:sz w:val="20"/>
                  <w:u w:val="single"/>
                </w:rPr>
                <w:t>Quantitative and Qualitative Disclosures About Market Risk</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8.</w:t>
            </w:r>
          </w:p>
        </w:tc>
        <w:tc>
          <w:tcPr>
            <w:tcW w:w="9010" w:type="dxa"/>
            <w:tcBorders/>
            <w:shd w:fill="FFFFFF" w:val="clear"/>
            <w:tcMar>
              <w:bottom w:w="0" w:type="dxa"/>
            </w:tcMar>
          </w:tcPr>
          <w:p>
            <w:pPr>
              <w:pStyle w:val="TableContents"/>
              <w:spacing w:before="0" w:after="0"/>
              <w:ind w:left="0" w:right="0" w:hanging="0"/>
              <w:rPr/>
            </w:pPr>
            <w:hyperlink w:anchor="ITEM_8_FINANCIAL_STATEMENTS_SUPPLEMENTAR">
              <w:r>
                <w:rPr>
                  <w:rStyle w:val="InternetLink"/>
                  <w:rFonts w:ascii="Times New Roman" w:hAnsi="Times New Roman"/>
                  <w:b w:val="false"/>
                  <w:i w:val="false"/>
                  <w:caps w:val="false"/>
                  <w:smallCaps w:val="false"/>
                  <w:color w:val="000000"/>
                  <w:sz w:val="20"/>
                  <w:u w:val="single"/>
                </w:rPr>
                <w:t>Financial Statements and Supplementary Data</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w:t>
            </w:r>
          </w:p>
        </w:tc>
        <w:tc>
          <w:tcPr>
            <w:tcW w:w="9010" w:type="dxa"/>
            <w:tcBorders/>
            <w:shd w:fill="FFFFFF" w:val="clear"/>
            <w:tcMar>
              <w:bottom w:w="0" w:type="dxa"/>
            </w:tcMar>
          </w:tcPr>
          <w:p>
            <w:pPr>
              <w:pStyle w:val="TableContents"/>
              <w:spacing w:before="0" w:after="0"/>
              <w:ind w:left="0" w:right="0" w:hanging="0"/>
              <w:rPr/>
            </w:pPr>
            <w:hyperlink w:anchor="ITEM_9_CHANGES_IN_DISAGREEMENTS_WITH_ACC">
              <w:r>
                <w:rPr>
                  <w:rStyle w:val="InternetLink"/>
                  <w:rFonts w:ascii="Times New Roman" w:hAnsi="Times New Roman"/>
                  <w:b w:val="false"/>
                  <w:i w:val="false"/>
                  <w:caps w:val="false"/>
                  <w:smallCaps w:val="false"/>
                  <w:color w:val="000000"/>
                  <w:sz w:val="20"/>
                  <w:u w:val="single"/>
                </w:rPr>
                <w:t>Changes in and Disagreements With Accountants on Accounting and Financial Disclosure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9A.</w:t>
            </w:r>
          </w:p>
        </w:tc>
        <w:tc>
          <w:tcPr>
            <w:tcW w:w="9010" w:type="dxa"/>
            <w:tcBorders/>
            <w:shd w:fill="FFFFFF" w:val="clear"/>
            <w:tcMar>
              <w:bottom w:w="0" w:type="dxa"/>
            </w:tcMar>
          </w:tcPr>
          <w:p>
            <w:pPr>
              <w:pStyle w:val="TableContents"/>
              <w:spacing w:before="0" w:after="0"/>
              <w:ind w:left="0" w:right="0" w:hanging="0"/>
              <w:rPr/>
            </w:pPr>
            <w:hyperlink w:anchor="ITEM_9A_CONTROLS_PROCEDURES">
              <w:r>
                <w:rPr>
                  <w:rStyle w:val="InternetLink"/>
                  <w:rFonts w:ascii="Times New Roman" w:hAnsi="Times New Roman"/>
                  <w:b w:val="false"/>
                  <w:i w:val="false"/>
                  <w:caps w:val="false"/>
                  <w:smallCaps w:val="false"/>
                  <w:color w:val="000000"/>
                  <w:sz w:val="20"/>
                  <w:u w:val="single"/>
                </w:rPr>
                <w:t>Controls and Procedures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9B.</w:t>
            </w:r>
          </w:p>
        </w:tc>
        <w:tc>
          <w:tcPr>
            <w:tcW w:w="9010" w:type="dxa"/>
            <w:tcBorders/>
            <w:shd w:fill="FFFFFF" w:val="clear"/>
            <w:tcMar>
              <w:bottom w:w="0" w:type="dxa"/>
            </w:tcMar>
          </w:tcPr>
          <w:p>
            <w:pPr>
              <w:pStyle w:val="TableContents"/>
              <w:spacing w:before="0" w:after="0"/>
              <w:ind w:left="0" w:right="0" w:hanging="0"/>
              <w:rPr/>
            </w:pPr>
            <w:hyperlink w:anchor="ITEM_9B_OR_INFORMATION">
              <w:r>
                <w:rPr>
                  <w:rStyle w:val="InternetLink"/>
                  <w:rFonts w:ascii="Times New Roman" w:hAnsi="Times New Roman"/>
                  <w:b w:val="false"/>
                  <w:i w:val="false"/>
                  <w:caps w:val="false"/>
                  <w:smallCaps w:val="false"/>
                  <w:color w:val="000000"/>
                  <w:sz w:val="20"/>
                  <w:u w:val="single"/>
                </w:rPr>
                <w:t>Other Information</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III</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10.</w:t>
            </w:r>
          </w:p>
        </w:tc>
        <w:tc>
          <w:tcPr>
            <w:tcW w:w="9010" w:type="dxa"/>
            <w:tcBorders/>
            <w:shd w:fill="FFFFFF" w:val="clear"/>
            <w:tcMar>
              <w:bottom w:w="0" w:type="dxa"/>
            </w:tcMar>
          </w:tcPr>
          <w:p>
            <w:pPr>
              <w:pStyle w:val="TableContents"/>
              <w:spacing w:before="0" w:after="0"/>
              <w:ind w:left="0" w:right="0" w:hanging="0"/>
              <w:rPr/>
            </w:pPr>
            <w:hyperlink w:anchor="ITEM_10_DIRECTORS_EXECUTIVE_FICERS_CORPO">
              <w:r>
                <w:rPr>
                  <w:rStyle w:val="InternetLink"/>
                  <w:rFonts w:ascii="Times New Roman" w:hAnsi="Times New Roman"/>
                  <w:b w:val="false"/>
                  <w:i w:val="false"/>
                  <w:caps w:val="false"/>
                  <w:smallCaps w:val="false"/>
                  <w:color w:val="000000"/>
                  <w:sz w:val="20"/>
                  <w:u w:val="single"/>
                </w:rPr>
                <w:t>Directors, Executive Officers and Corporate Governance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11.</w:t>
            </w:r>
          </w:p>
        </w:tc>
        <w:tc>
          <w:tcPr>
            <w:tcW w:w="9010" w:type="dxa"/>
            <w:tcBorders/>
            <w:shd w:fill="FFFFFF" w:val="clear"/>
            <w:tcMar>
              <w:bottom w:w="0" w:type="dxa"/>
            </w:tcMar>
          </w:tcPr>
          <w:p>
            <w:pPr>
              <w:pStyle w:val="TableContents"/>
              <w:spacing w:before="0" w:after="0"/>
              <w:ind w:left="0" w:right="0" w:hanging="0"/>
              <w:rPr/>
            </w:pPr>
            <w:hyperlink w:anchor="ITEM_11_EXECUTIVE_COMPENSATION">
              <w:r>
                <w:rPr>
                  <w:rStyle w:val="InternetLink"/>
                  <w:rFonts w:ascii="Times New Roman" w:hAnsi="Times New Roman"/>
                  <w:b w:val="false"/>
                  <w:i w:val="false"/>
                  <w:caps w:val="false"/>
                  <w:smallCaps w:val="false"/>
                  <w:color w:val="000000"/>
                  <w:sz w:val="20"/>
                  <w:u w:val="single"/>
                </w:rPr>
                <w:t>Executive Compensation</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12.</w:t>
            </w:r>
          </w:p>
        </w:tc>
        <w:tc>
          <w:tcPr>
            <w:tcW w:w="9010" w:type="dxa"/>
            <w:tcBorders/>
            <w:shd w:fill="FFFFFF" w:val="clear"/>
            <w:tcMar>
              <w:bottom w:w="0" w:type="dxa"/>
            </w:tcMar>
          </w:tcPr>
          <w:p>
            <w:pPr>
              <w:pStyle w:val="TableContents"/>
              <w:spacing w:before="0" w:after="0"/>
              <w:ind w:left="0" w:right="0" w:hanging="0"/>
              <w:rPr/>
            </w:pPr>
            <w:hyperlink w:anchor="ITEM_12_SECURITY_OWNERSHIP_CERTAIN_BENEF">
              <w:r>
                <w:rPr>
                  <w:rStyle w:val="InternetLink"/>
                  <w:rFonts w:ascii="Times New Roman" w:hAnsi="Times New Roman"/>
                  <w:b w:val="false"/>
                  <w:i w:val="false"/>
                  <w:caps w:val="false"/>
                  <w:smallCaps w:val="false"/>
                  <w:color w:val="000000"/>
                  <w:sz w:val="20"/>
                  <w:u w:val="single"/>
                </w:rPr>
                <w:t>Security Ownership of Certain Beneficial Owners and Management and Related Stockholder Matters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13.</w:t>
            </w:r>
          </w:p>
        </w:tc>
        <w:tc>
          <w:tcPr>
            <w:tcW w:w="9010" w:type="dxa"/>
            <w:tcBorders/>
            <w:shd w:fill="FFFFFF" w:val="clear"/>
            <w:tcMar>
              <w:bottom w:w="0" w:type="dxa"/>
            </w:tcMar>
          </w:tcPr>
          <w:p>
            <w:pPr>
              <w:pStyle w:val="TableContents"/>
              <w:spacing w:before="0" w:after="0"/>
              <w:ind w:left="0" w:right="0" w:hanging="0"/>
              <w:rPr/>
            </w:pPr>
            <w:hyperlink w:anchor="ITEM_13_CERTAIN_RELATIONSHIPS_RELATED_TR">
              <w:r>
                <w:rPr>
                  <w:rStyle w:val="InternetLink"/>
                  <w:rFonts w:ascii="Times New Roman" w:hAnsi="Times New Roman"/>
                  <w:b w:val="false"/>
                  <w:i w:val="false"/>
                  <w:caps w:val="false"/>
                  <w:smallCaps w:val="false"/>
                  <w:color w:val="000000"/>
                  <w:sz w:val="20"/>
                  <w:u w:val="single"/>
                </w:rPr>
                <w:t>Certain Relationships and Related Transactions, and Director Independence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14.</w:t>
            </w:r>
          </w:p>
        </w:tc>
        <w:tc>
          <w:tcPr>
            <w:tcW w:w="9010" w:type="dxa"/>
            <w:tcBorders/>
            <w:shd w:fill="FFFFFF" w:val="clear"/>
            <w:tcMar>
              <w:bottom w:w="0" w:type="dxa"/>
            </w:tcMar>
          </w:tcPr>
          <w:p>
            <w:pPr>
              <w:pStyle w:val="TableContents"/>
              <w:spacing w:before="0" w:after="0"/>
              <w:ind w:left="0" w:right="0" w:hanging="0"/>
              <w:rPr/>
            </w:pPr>
            <w:hyperlink w:anchor="ITEM_14_PRINCIPAL_ACCOUNTING_FEES_SERVIC">
              <w:r>
                <w:rPr>
                  <w:rStyle w:val="InternetLink"/>
                  <w:rFonts w:ascii="Times New Roman" w:hAnsi="Times New Roman"/>
                  <w:b w:val="false"/>
                  <w:i w:val="false"/>
                  <w:caps w:val="false"/>
                  <w:smallCaps w:val="false"/>
                  <w:color w:val="000000"/>
                  <w:sz w:val="20"/>
                  <w:u w:val="single"/>
                </w:rPr>
                <w:t>Principal Accounting Fees and Services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IV</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15.</w:t>
            </w:r>
          </w:p>
        </w:tc>
        <w:tc>
          <w:tcPr>
            <w:tcW w:w="9010" w:type="dxa"/>
            <w:tcBorders/>
            <w:shd w:fill="FFFFFF" w:val="clear"/>
            <w:tcMar>
              <w:bottom w:w="0" w:type="dxa"/>
            </w:tcMar>
          </w:tcPr>
          <w:p>
            <w:pPr>
              <w:pStyle w:val="TableContents"/>
              <w:spacing w:before="0" w:after="0"/>
              <w:ind w:left="0" w:right="0" w:hanging="0"/>
              <w:rPr/>
            </w:pPr>
            <w:hyperlink w:anchor="ITEM_15_EXHIBITS_FINANCIAL_STATEMENT_SCH">
              <w:r>
                <w:rPr>
                  <w:rStyle w:val="InternetLink"/>
                  <w:rFonts w:ascii="Times New Roman" w:hAnsi="Times New Roman"/>
                  <w:b w:val="false"/>
                  <w:i w:val="false"/>
                  <w:caps w:val="false"/>
                  <w:smallCaps w:val="false"/>
                  <w:color w:val="000000"/>
                  <w:sz w:val="20"/>
                  <w:u w:val="single"/>
                </w:rPr>
                <w:t>Exhibits, Financial Statement Schedules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16</w:t>
            </w:r>
          </w:p>
        </w:tc>
        <w:tc>
          <w:tcPr>
            <w:tcW w:w="9010" w:type="dxa"/>
            <w:tcBorders/>
            <w:shd w:fill="FFFFFF" w:val="clear"/>
            <w:tcMar>
              <w:bottom w:w="0" w:type="dxa"/>
            </w:tcMar>
          </w:tcPr>
          <w:p>
            <w:pPr>
              <w:pStyle w:val="TableContents"/>
              <w:spacing w:before="0" w:after="0"/>
              <w:ind w:left="0" w:right="0" w:hanging="0"/>
              <w:rPr/>
            </w:pPr>
            <w:hyperlink w:anchor="ITEM_16_FORM_10K_SUMMARY">
              <w:r>
                <w:rPr>
                  <w:rStyle w:val="InternetLink"/>
                  <w:rFonts w:ascii="Times New Roman" w:hAnsi="Times New Roman"/>
                  <w:b w:val="false"/>
                  <w:i w:val="false"/>
                  <w:caps w:val="false"/>
                  <w:smallCaps w:val="false"/>
                  <w:color w:val="000000"/>
                  <w:sz w:val="20"/>
                  <w:u w:val="single"/>
                </w:rPr>
                <w:t>Form 10-K Summary</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r>
    </w:tbl>
    <w:p>
      <w:pPr>
        <w:pStyle w:val="TextBody"/>
        <w:spacing w:before="0" w:after="0"/>
        <w:rPr/>
      </w:pPr>
      <w:r>
        <w:rPr/>
        <w:t> </w:t>
      </w:r>
    </w:p>
    <w:p>
      <w:pPr>
        <w:pStyle w:val="TextBody"/>
        <w:spacing w:before="0" w:after="0"/>
        <w:rPr/>
      </w:pPr>
      <w:r>
        <w:rPr/>
        <w:t> </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4" w:name="PART_I"/>
      <w:bookmarkStart w:id="5" w:name="_AEIOULastRenderedPageBreakAEIOU3"/>
      <w:bookmarkEnd w:id="4"/>
      <w:bookmarkEnd w:id="5"/>
      <w:r>
        <w:rPr>
          <w:rFonts w:ascii="Times New Roman" w:hAnsi="Times New Roman"/>
          <w:b/>
          <w:i w:val="false"/>
          <w:caps w:val="false"/>
          <w:smallCaps w:val="false"/>
          <w:color w:val="000000"/>
          <w:sz w:val="20"/>
        </w:rPr>
        <w:t>PART I</w:t>
      </w:r>
    </w:p>
    <w:p>
      <w:pPr>
        <w:pStyle w:val="TextBody"/>
        <w:spacing w:before="240" w:after="0"/>
        <w:rPr>
          <w:rFonts w:ascii="Times New Roman" w:hAnsi="Times New Roman"/>
          <w:b/>
          <w:i w:val="false"/>
          <w:caps w:val="false"/>
          <w:smallCaps w:val="false"/>
          <w:color w:val="000000"/>
          <w:sz w:val="20"/>
        </w:rPr>
      </w:pPr>
      <w:bookmarkStart w:id="6" w:name="ITEM_1_BUSINESS"/>
      <w:bookmarkEnd w:id="6"/>
      <w:r>
        <w:rPr>
          <w:rFonts w:ascii="Times New Roman" w:hAnsi="Times New Roman"/>
          <w:b/>
          <w:i w:val="false"/>
          <w:caps w:val="false"/>
          <w:smallCaps w:val="false"/>
          <w:color w:val="000000"/>
          <w:sz w:val="20"/>
        </w:rPr>
        <w:t xml:space="preserve">Item 1. Business.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Overview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a clinical-stage biopharmaceutical company focused on the development and commercialization of Haduvio (nalbuphine ER) to treat serious neurologically mediated conditions. We are developing Haduvio for the treatment of chronic pruritus associated with prurigo nodularis and chronic cough in patients with idiopathic pulmonary fibrosis, or IPF. We are also developing Haduvio in levodopa-induced dyskinesia, or LID, in patients with Parkinson’s disease. These conditions share a common pathophysiology that is mediated through opioid receptors in the central and peripheral nervous systems. Due to nalbuphine’s mechanism of action as a mixed agonist/antagonist of opioid receptors, we believe it has the potential to be effective in treating each of these conditions.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conducting a Phase 2b/3 clinical trial of Haduvio, which we refer to as the Phase 2b/3 PRISM trial, in patients with severe pruritus associated with prurigo nodularis. The Phase 2b/3 PRISM trial is a randomized, double blind, placebo controlled, two-arm treatment study that is designed to evaluate the safety and anti-pruritic efficacy of Haduvio in patients in the United States and Europe.  Considering the uncertainties associated with the COVID-19 pandemic, we expect to complete enrollment in the third quarter of 2021 and report top-line data from the trial in the fourth quarter of 2021. If the Phase 2b/3 PRISM trial is successful, we expect that we will use the Phase 2b/3 PRISM trial and an additional Phase 3 clinical trial that we believe we will need to conduct to support the submission of a new drug application, or NDA, to the United States Food and Drug Administration, or FDA, and a marketing authorization application, or MAA, to the European Medicines Agency, or EMA, for Haduvio for the treatment of pruritus associated with prurigo nodularis.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also conducting a Phase 2 clinical trial of Haduvio for chronic cough in patients with IPF which we refer to as the Phase 2 CANAL trial. The Phase 2 CANAL trial is a randomized, double-blind, placebo controlled, two-treatment, two-period, crossover study that is designed to evaluate the efficacy, safety, tolerability and dosing of Haduvio for chronic cough in patients with IPF and is designed to enroll approximately 60 subjects with a goal to have 44 study completers. This trial is currently being conducted in the United Kingdom, and we are currently in the process of seeking regulatory approval to add study sites in Germany which could potentially accelerate enrollment and reduce the risks inherent to single-country recruitment during the COVID-19 pandemic.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Haduvio is an oral extended release formulation of nalbuphine. Nalbuphine is a mixed κ-opioid receptor agonist and µ-opioid receptor antagonist that has been approved and marketed as an injectable for pain indications for more than 20 years in the United States and Europe. The κ- and µ-opioid receptors are known to be critical mediators of itch, cough and certain movement disorders. Nalbuphine’s mechanism of action also mitigates the risk of abuse associated with µ-opioid agonists because it antagonizes, or blocks, the µ-opioid receptor. Nalbuphine is currently the only opioid approved for marketing that is not classified as a controlled substance in the United States and most of Europe.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and scarring and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recent report published in the Journal of the American Academy of Dermatology estimated that up to 26% of the worldwide population will suffer from chronic pruritus at some point in their lives. According to the Global Pruritus Therapeutic Market Research Report issued in 2020, the market for pruritus therapeutics was $12.9 billion in 2020 and is expected to grow to $19.9 billion in 2026. Despite the large market opportunity and the severity of chronic pruritus, there are no drugs approved in the United States or Europe for the treatment of moderate to severe pruritus. Haduvio’s dual mechanism of action targets opioid receptors located in both the central and peripheral nervous systems, each of which plays a role in modulating the sensation of itch. We believe this makes Haduvio a promising potential therapy for the treatment of chronic pruritus.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completed clinical trials in two distinct and serious pruritic conditions, uremic pruritus and pruritus associated with prurigo nodularis, with over 400 patients treated with different doses of Haduvio in these trials. Uremic pruritus is a pruritic condition occurring in patients with chronic kidney disease typically receiving dialysis. Prurigo nodularis is an intensely pruritic dermatologic condition characterized by the presence of pruriginous lesions including nodules, papules or plaques. Among other endpoints, these trials measured the reduction in pruritus as reported on the worst itch numerical rating scale, or WI-NRS, which is a patient-reported assessment on an 11-point scale from 0 to 10 of the severity of the worst itch experienced in the last 24 hours.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our Phase 2b/3 clinical trial in uremic pruritus, we enrolled 373 patients with moderate to severe uremic pruritus. Patients were randomized to one of three arms: either 108 mg or 54 mg of Haduvio or placebo, each administered twice daily. The primary endpoint in the trial was the change from baseline in patients’ seven-day mean WI-NRS scores. The trial met its primary endpoint in the 108 mg arm, where patients reported a mean 3.49 point reduction in WI-NRS score from baseline to week eight as compared with a mean 2.80 point reduction in the placebo arm (p=0.017). Patients in the 54 mg arm reported a mean 3.10 point reduction in WI-NRS score from baseline, which was greater than the 2.80 point reduction in the placebo arm, although the difference was not statistically significant (p=0.441). The reduction in WI-NRS scores across the three arms of the trial demonstrated a dose response.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our Phase 2 clinical trial in prurigo nodularis, we enrolled 63 patients with prurigo nodularis who had moderate to severe pruritus. Patients were randomized to one of three arms: either 162 mg or 81 mg of Haduvio or placebo, each administered twice daily. The primary endpoint of the trial was the proportion of patients reporting at least a 30% reduction from baseline to week 10 in seven-day mean WI-NRS scores, patients who were defined as responders. In the 162 mg arm, patients reported a mean 2.51 point reduction in WI-NRS score from baseline as compared with a mean 1.75 point reduction in the placebo arm (p=0.083), with 44% of the patients in the 162 mg arm constituting responders as compared to 36% of the patients in the placebo arm (p=0.323). In the 81 mg arm, patients reported a mean 2.14 point reduction in WI-NRS score from baseline, with 27% of the patients in the arm constituting responders (p=0.779).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key secondary endpoint of the trial was the proportion of patients reporting at least a 50% reduction in WI-NRS score from baseline. In the 162 mg arm, 33% of patients reported at least a 50% reduction in WI-NRS score as compared to 18% of patients in the placebo arm (p=0.083). The trial met a key secondary efficacy endpoint, reduction of ItchyQoL™ scores, in the 162 mg arm compared to the placebo arm (p=0.022). ItchyQoL measures quality of life improvements from pruritus reduction. The secondary endpoints of the trial were not powered for statistical significance.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conducted a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analysis of the data from the 50 patients who completed the 10-week course of treatment in our Phase 2 clinical trial in prurigo nodularis. With the small number of patients enrolled in the trial, the number of patients discontinuing treatment prior to the end of the trial had a substantial impact on the results. Approximately 75% of the discontinuations in the Haduvio arms occurred during the initial two-week titration period among patients who had not reached the target dose of Haduvio. As a result, we believe that an analysis of the trial results in this subset of patients, whom we refer to as completers, provides informative data regarding Haduvio because it eliminates the effects of patient discontinuations. In the trial, a significantly greater number of patients reported improvement in WI-NRS with 50% of the completers in the 162 mg arm reported at least a 50% reduction in WI-NRS score from baseline, as compared to 20% of the completers in the placebo arm (p=0.028), although this analysis was not powered for statistical significance. Importantly, the patients in the 162 mg arm had a mean baseline WI-NRS score of 8.05; therefore a 50% reduction in WI-NRS score from baseline for patients in this arm was comparable to a 4-point reduction in WI-NRS score, the primary efficacy endpoint of our ongoing Phase 2b/3 PRISM trial.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While the primary endpoint of our Phase 2 clinical trial in prurigo nodularis demonstrated a numerical but not statistically significant difference in the 162 mg arm, we believe the results for the key secondary endpoint of the proportion of patients reporting at least a 50% reduction in WI-NRS score from baseline, and the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analysis, allow us to better understand the response of patients with prurigo nodularis to Haduvio and indicate that responders to Haduvio took the higher dose (162 mg) for longer (completers) and had a greater reduction in WI-NRS.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Based on the results of our prurigo nodularis and uremic pruritus trials and open label extension trials in both indications, and discussions with the FDA and European regulatory authorities we initiated our Phase 2b/3 Pruritus Relief through Itch Scratch Modulation, or Phase 2b/3 PRISM, trial of Haduvio 162 mg tablets in patients with severe pruritus associated with prurigo nodularis.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Phase 2b/3 PRISM trial consists of two parts. The first part of the trial is a randomized, double-blind, placebo-controlled, parallel, two-arm, 14-week treatment period that evaluates the safety and anti-pruritic efficacy of Haduvio 162 mg tablets. The second part of the trial is an open label extension to evaluate Haduvio’s long-term safety profile as well as its effects on key prurigo nodularis parameters, including itch and skin healing, over a further 38 weeks, resulting in a 52-week overall treatment period. The primary efficacy endpoint for the trial is the proportion of patients achieving at least a 4-point improvement from baseline with respect to their worst itch at week 14 as measured by WI-NRS. The trial also includes several secondary endpoints, including mean changes from baseline to week 14 in skin healing assessments and quality of life measurements, such as ItchyQoL. In designing the statistical plan for the trial, we considered the rates of patient discontinuations we experienced in our earlier trials. We believe that these discontinuation rates can be reduced through increased patient and physician education prior to the commencement of dosing.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trial was designed to be conducted in 240 subjects, subject to a sample size re-estimation, or SSRE, analysis to take place during the trial. In accordance with the protocol for the Phase 2b/3 PRISM trial, we conducted the SSRE analysis in July 2020, following such time as approximately 45% of the subjects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have increased the planned trial size to 360 subjects. The pace of enrollment in the trial has been impacted by the COVID-19 pandemic as new patient screening and most patient enrollment were temporarily halted. Patient screening restrictions have been lifted in the United States and Europe. Our sites began to restart patient screening and enrollment during May and June 2020. We also experienced slower recruitment activities worldwide through the latter part of 2020 and the beginning of 2021 due to the resurgence of the COVID-19 pandemic. We have increased the number of active sites to more than 60 globally and approximately 240 subjects have enrolled in the trial. Subject to the uncertainties associated with the COVID-19 pandemic, we expect to complete enrollment in the third quarter of 2021 and report top-line data from the 14-week blinded treatment period of the Phase 2b/3 PRISM trial in the fourth quarter of 2021. We believe we will need to conduct an additional Phase 3 clinical trial to support the submission of an NDA to the FDA and an MAA to the EMA.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result of nalbuphine’s ability to modulate the κ- and µ-opioid receptors, which are known to be involved in the pathophysiology of chronic cough in patients with IPF and in LID in patients with Parkinson’s disease, we are also pursuing the development of Haduvio for chronic cough in patients with IPF and evaluating the use of Haduvio in LID in patients with Parkinson’s disease.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conducting a Phase 2 clinical trial of Haduvio for chronic cough in patients with IPF which we refer to as the Phase 2 CANAL trial. There is preclinical and clinical evidence that mixed agonist-antagonist drugs can also be effective in treating cough. We believe Haduvio has the potential to be an effective treatment for chronic cough in patients with IPF. The Phase 2 CANAL trial is a randomized, double-blind, placebo controlled, two-treatment, two-period, crossover study designed to evaluate the efficacy, safety, tolerability and dosing of Haduvio for chronic cough in patients with IPF and is designed to enroll approximately 60 subjects with a goal to have 44 study completers. We are conducting the trial at multiple sites in the United Kingdom.  Due to the COVID-19 pandemic and the specific at-risk nature of IPF patients, our clinical sites halted their enrollment and treatment of patients in this trial. While patient screening and enrollment resumed at certain clinical trial sites in the fourth quarter of 2020, all sites in the trial paused screening again in December 2020 in response to a shelter in place directive from the U.K. government. Once sites are able to resume screening, some sites may take longer to resume their trial activity due to increased COVID-19 infection rates in the areas where they are located, and we expect other sites may cease to participate in the trial entirely.  We recently amended the study protocol to reduce the number of in-person visits and procedures to facilitate this study being completed in an at-risk patient population for COVID-19. We are currently in the process of seeking regulatory approval to add study sites in Germany which could potentially accelerate enrollment and reduce the risks inherent to single-country recruitment during the COVID-19 pandemic.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 respect to LID, we have written the protocol for a Phase 2 clinical trial for LID in patients with Parkinson’s disease. We plan to determine next steps in the program once we complete the Phase 2b/3 PRISM and Phase 2 CANAL trials.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currently focusing our cash and operational resources on completing the Phase 2b/3 PRISM and the Phase 2 CANAL trials. After we receive top-line data from both of these trials we will evaluate other additional indications for which we may choose to pursue development of Haduvio.</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Our Strategy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focused on the development and commercialization of Haduvio to treat serious neurologically mediated conditions. The key elements of our strategy are: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i/>
                <w:caps w:val="false"/>
                <w:smallCaps w:val="false"/>
                <w:color w:val="000000"/>
                <w:spacing w:val="0"/>
                <w:sz w:val="20"/>
              </w:rPr>
              <w:t>Complete the clinical development of Haduvio for the treatment of pruritus associated with prurigo nodularis.  </w:t>
            </w:r>
            <w:r>
              <w:rPr>
                <w:rFonts w:ascii="Times New Roman" w:hAnsi="Times New Roman"/>
                <w:b w:val="false"/>
                <w:i w:val="false"/>
                <w:caps w:val="false"/>
                <w:smallCaps w:val="false"/>
                <w:color w:val="000000"/>
                <w:spacing w:val="0"/>
                <w:sz w:val="20"/>
              </w:rPr>
              <w:t xml:space="preserve">We are conducting our Phase 2b/3 PRISM trial to evaluate the safety and anti-pruritic efficacy of Haduvio in patients with severe pruritus associated with prurigo nodularis. Considering the uncertainties associated with the COVID-19 pandemic, we expect to complete enrollment in the third quarter of 2021 and report top-line data from the 14-week blinded treatment period of the Phase 2b/3 PRISM trial in the fourth quarter of 2021. We believe we will need to conduct an additional Phase 3 clinical trial to support the submission of an NDA to the FDA and an MAA to the EMA.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i/>
                <w:caps w:val="false"/>
                <w:smallCaps w:val="false"/>
                <w:color w:val="000000"/>
                <w:spacing w:val="0"/>
                <w:sz w:val="20"/>
              </w:rPr>
              <w:t>Pursue continued development of Haduvio for additional pruritic conditions.</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Based on the proof of concept data in pruritus from our clinical trials in patients with prurigo nodularis and uremic pruritus, we plan to continue to develop Haduvio for the treatment of other pruritic conditions. We may seek to develop Haduvio for the treatment of pruritus associated with additional dermatology, oncology, hematology and neurology related conditions.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i/>
                <w:caps w:val="false"/>
                <w:smallCaps w:val="false"/>
                <w:color w:val="000000"/>
                <w:spacing w:val="0"/>
                <w:sz w:val="20"/>
              </w:rPr>
              <w:t>Leverage the dual mechanism of action of Haduvio to pursue other neurologically mediated conditions</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We intend to develop Haduvio to treat other serious neurologically mediated conditions that share a common pathophysiology mediated through opioid receptors in the central and peripheral nervous systems. We are conducting the Phase 2 CANAL trial to evaluate the safety of Haduvio in patients with IPF, and make an initial assessment of its efficacy on cough suppression. We have written the protocol for a Phase 2 clinical trial for LID in patients with Parkinson’s disease and plan to determine next steps in the program once we complete the Phase 2b/3 PRISM and Phase 2 CANAL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i/>
                <w:caps w:val="false"/>
                <w:smallCaps w:val="false"/>
                <w:color w:val="000000"/>
                <w:spacing w:val="0"/>
                <w:sz w:val="20"/>
              </w:rPr>
              <w:t>Maximize the commercial potential of Haduvio.</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 xml:space="preserve">We have retained worldwide commercial rights for Haduvio. If Haduvio receives marketing approval from the FDA for any of the indications we are currently pursuing, we plan to commercialize Haduvio in the United States with our own focused, specialty sales organization targeting the physicians specializing in these conditions. If Haduvio receives marketing approval for any of these indications outside the United States, we expect to utilize a variety of collaboration, distribution and other marketing arrangements with one or more third parties to commercialize Haduvio in such markets.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i/>
                <w:caps w:val="false"/>
                <w:smallCaps w:val="false"/>
                <w:color w:val="000000"/>
                <w:spacing w:val="0"/>
                <w:sz w:val="20"/>
              </w:rPr>
              <w:t>Evaluate business development opportunities and potential collaborations.</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We plan to evaluate the merits of entering into collaboration agreements with other pharmaceutical or biotechnology companies that may contribute to our ability to efficiently advance product candidates, build our product pipeline and concurrently advance a range of research and development programs.</w:t>
            </w:r>
            <w:r>
              <w:rPr>
                <w:rFonts w:ascii="Times New Roman" w:hAnsi="Times New Roman"/>
                <w:b w:val="false"/>
                <w:i w:val="false"/>
                <w:caps w:val="false"/>
                <w:smallCaps w:val="false"/>
                <w:color w:val="000000"/>
                <w:spacing w:val="0"/>
                <w:sz w:val="24"/>
              </w:rPr>
              <w:t xml:space="preserve"> </w:t>
            </w:r>
          </w:p>
        </w:tc>
      </w:tr>
    </w:tbl>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Nalbuphine Mechanistic Rationale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Nalbuphine is a mixed κ-opioid receptor agonist and µ-opioid receptor antagonist. Drugs targeting opioid receptors have been studied for decades and the biology and pharmacology of these receptors are well-understood. There are three types of opioid receptors, mu (“µ”), kappa (“κ”) and delta (“δ”), which are expressed in varying concentrations in many different tissues, including the central and peripheral nervous systems, airway and lung tissue, circulating immune and inflammatory cells and the skin.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Modulation of opioid receptors, either naturally or with drugs, results in multiple signaling actions at the cellular level. The receptor dynamics are complex and receptor signaling differs depending on whether the receptor is being exposed to an agonist or antagonist opioid drug. Agonists activate the receptors to which they bind,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antagonists bind to receptors, and can block the activity of agonists. In addition, opioid drugs of the same class may have different effects depending on their pharmacological properties.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κ-receptor activation on specific cells can antagonize µ-opioid receptor activation on other cells. As a result of these apparent network interaction dynamics between the κ- and µ-opioid receptors, we believe that simultaneously modulating both κ- and µ-opioid receptors with a single drug offers significant therapeutic potential in diseases that are mediated through these receptors.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Published research suggests that in certain diseases the concentration and expression of opioid receptors is different for people with the disease as compared to healthy individuals. For example, published research has shown that human skin tissue samples from patients with prurigo nodularis show a down regulation of µ-opioid receptor expression as compared to normal skin. In patients with Parkinson’s disease, multiple published studies have shown a reduction in opioid receptor density in the thalamus and basal ganglia regions of the brain in patients suffering from LID as compared to patients not suffering from dyskinesia. We believe these differences in opioid receptor concentration and expression between healthy individuals and people with disease suggest that opioid drugs targeting these receptors have the potential to offer therapeutic benefit to people suffering from these diseases.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shown in the diagram below, κ- and µ-opioid receptors are naturally concentrated in several areas of the body, including in the brain, brain stem, spinal cord, peripheral nerves, lungs and skin, which are the areas of the body involved in the physiology of chronic pruritus, chronic cough in IPF and LID. </w:t>
      </w:r>
    </w:p>
    <w:p>
      <w:pPr>
        <w:pStyle w:val="TextBody"/>
        <w:spacing w:before="0" w:after="0"/>
        <w:rPr/>
      </w:pPr>
      <w:r>
        <w:rPr/>
        <w:t> </w:t>
      </w:r>
    </w:p>
    <w:p>
      <w:pPr>
        <w:pStyle w:val="TextBody"/>
        <w:spacing w:before="0" w:after="0"/>
        <w:jc w:val="center"/>
        <w:rPr>
          <w:caps w:val="false"/>
          <w:smallCaps w:val="false"/>
          <w:color w:val="000000"/>
        </w:rPr>
      </w:pPr>
      <w:r>
        <w:rPr>
          <w:caps w:val="false"/>
          <w:smallCaps w:val="false"/>
          <w:color w:val="000000"/>
        </w:rPr>
        <w:drawing>
          <wp:inline distT="0" distB="0" distL="0" distR="0">
            <wp:extent cx="5295900" cy="430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95900" cy="4305300"/>
                    </a:xfrm>
                    <a:prstGeom prst="rect">
                      <a:avLst/>
                    </a:prstGeom>
                  </pic:spPr>
                </pic:pic>
              </a:graphicData>
            </a:graphic>
          </wp:inline>
        </w:drawing>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With respect to pruritus, the sensation of itch and the urge to scratch are known to be mediated by κ- and µ-opioid receptor expression in the reward centers of the brain as well as the spinal cord, skin and peripheral nervous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system. Published clinical trials of the κ- agonist nalfurafine have demonstrated effectiveness in reducing uremic pruritus and pruritus secondary to chronic hepatic disease. Nalfurafine is approved and marketed in Japan for both conditions. Korsuva, a selective κ- agonist, has also demonstrated in clinical trials effectiveness in reducing uremic pruritus. In addition, a number of published clinical trials have reported on the effectiveness of the µ-antagonist naltrexone in reducing pruritus related to hepatic disease and pruritus related to prurigo nodularis.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With respect to cough, κ- and µ-opioid receptors in the brain stem, lungs and the peripheral lung nerves are believed to be involved in mediating respiration and the cough reflex. While there are no approved opioid therapeutics for suppression of cough in humans, µ-agonist opioids have been used clinically to suppress cough. In addition, the mixed κ-agonist and µ-partial agonist butorphanol is approved and marketed for animals in a veterinary injection and tablet formulation for the relief of chronic non-productive cough and has been found to be 15 to 20 times more active in suppressing cough than either codeine or dextromethorphan. Further, in clinical trials, nalbuphine has demonstrated suppression of cough in fentanyl-induced cough during anesthetic induction in patients.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With respect to Parkinson’s disease, it is believed that opioid signaling in the thalamus and basal ganglia regions of the brain may play a role in mediating LID. Published research using a brain imaging technique has shown that Parkinson’s patients suffering from LID have reduced opioid receptor availability in the thalamus and the basal ganglia, as compared to Parkinson’s patients responding normally to levodopa therapy and not exhibiting LID. Additionally, there is an inverse correlation between the availability of these receptors and the severity of dyskinesia. This decrease in opioid receptor availability is believed to be due to heightened opioid transmission in these brain regions in patients with LID. In addition, a number of opioid components have been evaluated in preclinical animal models of LID and the data indicate that µ-antagonism has the most benefit, with κ-agonism also having desirable effects.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Haduvio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Haduvio is an oral extended release formulation of nalbuphine, a small molecule and a member of the opioid agonist-antagonist class of drugs. Nalbuphine acts as an agonist at the opioid κ-receptor while competitively antagonizing the µ-opioid receptor. Nalbuphine is a marketed drug currently available only as nalbuphine hydrochloride for injection, a generic equivalent to Nubain, which has been approved in the United States and Europe for use in the relief of moderate to severe pain for more than 20 years. Nalbuphine is not currently classified as a controlled substance in the United States or Europe and is not commercially available in an oral dosage form. We are developing Haduvio for the treatment of chronic pruritus associated with prurigo nodularis and chronic cough in patients with idiopathic pulmonary fibrosis, or IPF. We are also developing Haduvio in levodopa-induced dyskinesia, or LID, in patients with Parkinson’s disease.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leveraged the known mechanism and proven biological activity of nalbuphine in pain to expedite the clinical development of Haduvio. We have also drawn on the safety and tolerability data from eight prior clinical trials of Haduvio conducted by Penwest, from which we have licensed rights to Haduvio, including two Phase 2 clinical trials of Haduvio for the treatment of pain, to support our clinical development efforts. We believe that the established efficacy and safety profile of nalbuphine and the clinical experience with Haduvio provide a strong foundation for advancing Haduvio into late-stage clinical trials.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Our Haduvio Development Programs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Active Chronic Pruritus Programs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developing Haduvio for the treatment of chronic pruritus associated with various conditions. We have filed an IND with the FDA covering Haduvio in pruritus in prurigo nodularis and uremic pruritus. We have completed two double-blind, placebo-controlled clinical trials in patients with moderate to severe uremic pruritus and moderate to severe pruritus associated with prurigo nodularis that have established proof of concept in these indications. We believe that the pruritus associated with multiple distinct conditions, including prurigo nodularis and uremic pruritus, involves activation of a common neuronal pathway for itch signaling.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scarring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greatly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recent report published in the Journal of the American Academy of Dermatology estimated that up to 26% of the worldwide population will suffer from chronic pruritus at some point in their lives.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Despite its prevalence, chronic pruritus is not well addressed by current treatment options. Pruritic skin diseases are commonly treated with a multi-prong therapeutic approach. Skin barrier restoration and maintenance through application of topical moisturizers and treatment of skin lesions locally through the use of topical corticosteroids or other topical anti-inflammatory agents are the predominant first-line therapies for many pruritic skin diseases. Phototherapy and systemic immunomodulators, including biologics, are frequently used for more severe disease conditions. These treatment options may reduce pruritus to some degree in addition to their effects on skin health and inflammation. Yet many patients with chronic pruritus still report high levels of pruritus despite active topical or systemic therapy. This significant medical need is reflected by the widespread use of therapies intended to address pruritus specifically, such as oral antihistamines, despite evidence demonstrating their relative lack of efficacy, as well as concerns regarding their safety and tolerability. According to the Global Pruritus Therapeutic Market Research Report issued in 2020, the market for pruritus therapeutics was $12.9 billion in 2020 and is expected to grow to $19.9 billion in 2026.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Prurigo Nodularis Program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Overview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Prurigo nodularis is an intensely pruritic dermatologic condition that constitutes a distinct dermatologic diagnosis. The core symptoms and criteria for diagnosis of prurigo nodularis are chronic pruritus, a history and/or signs of repeated scratching, and the presence of multiple pruriginous lesions. The presence and persistence of these pruriginous lesions are hallmarks of prurigo nodularis and aid in its diagnosis. These lesions are generally symmetrically distributed, intensely itchy papules, nodules or plaques, which may be associated with excoriations and ulcerations. As illustrated below, prurigo nodularis can arise from itch caused by a number of pre-existing conditions, with the initial scratching beginning a vicious itch-scratch cycle that results in the nodules that are characteristic of the distinct and separate disease of prurigo nodularis. </w:t>
      </w:r>
    </w:p>
    <w:p>
      <w:pPr>
        <w:pStyle w:val="TextBody"/>
        <w:spacing w:before="0" w:after="0"/>
        <w:rPr/>
      </w:pPr>
      <w:r>
        <w:rPr/>
        <w:t> </w:t>
      </w:r>
    </w:p>
    <w:p>
      <w:pPr>
        <w:pStyle w:val="TextBody"/>
        <w:spacing w:before="0" w:after="0"/>
        <w:rPr>
          <w:caps w:val="false"/>
          <w:smallCaps w:val="false"/>
          <w:color w:val="000000"/>
        </w:rPr>
      </w:pPr>
      <w:r>
        <w:rPr>
          <w:caps w:val="false"/>
          <w:smallCaps w:val="false"/>
          <w:color w:val="000000"/>
        </w:rPr>
        <w:t> </w:t>
      </w:r>
    </w:p>
    <w:p>
      <w:pPr>
        <w:pStyle w:val="TextBody"/>
        <w:spacing w:before="0" w:after="0"/>
        <w:jc w:val="center"/>
        <w:rPr>
          <w:caps w:val="false"/>
          <w:smallCaps w:val="false"/>
          <w:color w:val="000000"/>
        </w:rPr>
      </w:pPr>
      <w:r>
        <w:rPr>
          <w:caps w:val="false"/>
          <w:smallCaps w:val="false"/>
          <w:color w:val="000000"/>
        </w:rPr>
        <w:drawing>
          <wp:inline distT="0" distB="0" distL="0" distR="0">
            <wp:extent cx="4257675" cy="2876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57675" cy="2876550"/>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pruritus associated with prurigo nodularis is generally considered to be one of the most severe and treatment-resistant forms of pruritus. In a retrospective study of 108 prurigo nodularis patients published in 2013 in the Journal of the European Academy of Dermatology and Venereology, patients rating their most severe itch over the prior 24 hours on the WI-NRS reported a median WI-NRS score of 8 and a mean and median duration of prurigo nodularis of 77.5 and 36 months, respectively. As illustrated in the diagram below, the WI-NRS is a patient-reported assessment on an 11-point scale from 0 to 10 of the severity of the worst itch experienced in the last 24 hours, and scores of 7 or more are considered to indicate severe itch. </w:t>
      </w:r>
    </w:p>
    <w:p>
      <w:pPr>
        <w:pStyle w:val="TextBody"/>
        <w:spacing w:before="0" w:after="0"/>
        <w:rPr>
          <w:caps w:val="false"/>
          <w:smallCaps w:val="false"/>
          <w:color w:val="000000"/>
        </w:rPr>
      </w:pPr>
      <w:r>
        <w:rPr>
          <w:caps w:val="false"/>
          <w:smallCaps w:val="false"/>
          <w:color w:val="000000"/>
        </w:rPr>
        <w:t> </w:t>
      </w:r>
    </w:p>
    <w:p>
      <w:pPr>
        <w:pStyle w:val="TextBody"/>
        <w:spacing w:before="0" w:after="0"/>
        <w:rPr>
          <w:caps w:val="false"/>
          <w:smallCaps w:val="false"/>
          <w:color w:val="000000"/>
        </w:rPr>
      </w:pPr>
      <w:r>
        <w:rPr>
          <w:caps w:val="false"/>
          <w:smallCaps w:val="false"/>
          <w:color w:val="000000"/>
        </w:rPr>
        <w:t> </w:t>
      </w:r>
    </w:p>
    <w:p>
      <w:pPr>
        <w:pStyle w:val="TextBody"/>
        <w:spacing w:before="0" w:after="0"/>
        <w:jc w:val="center"/>
        <w:rPr>
          <w:caps w:val="false"/>
          <w:smallCaps w:val="false"/>
          <w:color w:val="000000"/>
        </w:rPr>
      </w:pPr>
      <w:r>
        <w:rPr>
          <w:caps w:val="false"/>
          <w:smallCaps w:val="false"/>
          <w:color w:val="000000"/>
        </w:rPr>
        <w:drawing>
          <wp:inline distT="0" distB="0" distL="0" distR="0">
            <wp:extent cx="4724400" cy="1438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24400" cy="1438275"/>
                    </a:xfrm>
                    <a:prstGeom prst="rect">
                      <a:avLst/>
                    </a:prstGeom>
                  </pic:spPr>
                </pic:pic>
              </a:graphicData>
            </a:graphic>
          </wp:inline>
        </w:drawing>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with prurigo nodularis also typically experience a significant negative impact on their overall quality of life, including severe negative impacts on their confidence at work and in social activities. In a natural history study in 593 patients with prurigo nodularis at the Itch Center, University of Münster in Germany, it was shown that all of the patients in the study had a severe impairment of quality of life, as measured by the Dermatology Life Quality Index, or DLQI, a specific validated quality-of-life measurement that has been used in many different skin condition trials. With increasing intensity of pruritus, the quality of life worsened and DLQI values increased.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believe there are approximately 300,000 prurigo nodularis patients in the United States and approximately 430,000 additional prurigo nodularis patients outside the United States. No treatment for chronic pruritus associated with prurigo nodularis has been approved in the United States or Europe. Treatment of prurigo nodularis typically involves a multifaceted approach to treat the lesions and reduce pruritus. Therapies may include corticosteroids and other immunosuppressive or anti-inflammatory treatments, phototherapy and drugs such as gabapentin and Lyrica (pregabalin), prescription medicines approved for the treatment of seizures and neuropathic pain. Prurigo nodularis is often treatment-resistant with high recurrence rates.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Clinical Development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conducted a Phase 2 clinical trial and an open label extension study of Haduvio in pruritus in patients with prurigo nodularis and are currently conducting our Phase 2b/3 PRISM trial for Haduvio for the treatment of pruritus associated with prurigo nodularis. If successful, we expect that we will use the Phase 2b/3 PRISM trial and an additional Phase 3 clinical trial that we believe we will need to conduct to support the submission of an NDA to the FDA and an MAA to the EMA. </w:t>
      </w:r>
    </w:p>
    <w:p>
      <w:pPr>
        <w:pStyle w:val="TextBody"/>
        <w:spacing w:before="3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Phase 2 Clinical Trial</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completed a Phase 2 clinical trial in August 2016 evaluating the safety and efficacy of Haduvio as compared to placebo in patients with pruritus associated with prurigo nodularis. The trial was a multicenter, randomized, double-blind trial conducted at eight sites in the United States and Europe. The trial enrolled a total of 63 adult patients who had prurigo nodularis for at least six weeks and seven-day mean WI-NRS scores of at least 5, indicating moderate to severe pruritus. The patients were randomized across three treatment arms: either 162 mg or 81 mg of Haduvio or placebo, each administered twice daily. The baseline seven-day mean WI-NRS scores for the three treatment arms were comparable: 8.05 for the 162 mg arm, 8.46 for the 81 mg arm and 7.96 for the placebo arm. There were three dosing periods in the trial, all of which were blinded: an initial two-week titration period during which patients received gradually increasing doses of Haduvio or placebo, reaching the final assigned dose on day 15; an eight-week fixed dosing period; and a two-week off-treatment safety observation period.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primary endpoint of the trial was the proportion of patients reporting at least a 30% reduction from baseline to week 10 in seven-day mean WI-NRS scores. We refer to these patients as 30% responders. Key secondary endpoints included: </w:t>
      </w:r>
    </w:p>
    <w:tbl>
      <w:tblPr>
        <w:tblW w:w="6250" w:type="dxa"/>
        <w:jc w:val="left"/>
        <w:tblInd w:w="0" w:type="dxa"/>
        <w:tblCellMar>
          <w:top w:w="0" w:type="dxa"/>
          <w:left w:w="0" w:type="dxa"/>
          <w:bottom w:w="0" w:type="dxa"/>
          <w:right w:w="0" w:type="dxa"/>
        </w:tblCellMar>
      </w:tblPr>
      <w:tblGrid>
        <w:gridCol w:w="60"/>
        <w:gridCol w:w="110"/>
        <w:gridCol w:w="60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0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mean change in seven-day mean WI-NRS scores from baseline to week 10;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proportion of patients reporting at least a 50% reduction in seven-day mean WI-NRS score from baseline to week 10, whom we refer to as 50% responders, which reduction was comparable to a 4-point reduction in WI-NRS score, the primary efficacy endpoint for our Phase 2b/3 PRISM trial, for patients in the 162 mg arm due to such patients having a mean baseline WI-NRS score of 8.05;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mean change from baseline to week 10 in total ItchyQoL score, a 22-question assessment using a severity scale of 1 to 5 that measures how pruritus affects patients’ quality of life based on symptoms related to the pruritic condition, their functional limitations, their emotions and observations about their skin disease. </w:t>
            </w:r>
          </w:p>
        </w:tc>
      </w:tr>
    </w:tbl>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Efficacy Results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summarizes the outcomes of the trial at week 10 for the primary endpoint and key secondary endpoints. The table below also includes results from a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analysis of the 50 patients who completed the 10-week course of treatment, who we refer to as completers. We believe this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analysis provides informative data as it eliminates the effects of patient discontinuations. With the small number of patients enrolled in the trial, the number of patients discontinuing treatment prior to the end of the trial had a substantial impact on the results, even though the number of discontinuations was small in absolute terms. Approximately 75% of the discontinuations in the Haduvio arms occurred in the titration period among patients who had not reached the target dose of Haduvio. During the trial, the discontinuation rate declined as enrollment progressed, which we believe was due to trial sites and investigators gaining experience with Haduvio and the trial. We believe that these discontinuation rates can be reduced in future trials through increased patient and physician education prior to the commencement of dosing as the adverse events leading to these discontinuations were mild in nature and transient. </w:t>
      </w:r>
    </w:p>
    <w:p>
      <w:pPr>
        <w:pStyle w:val="TextBody"/>
        <w:spacing w:before="0" w:after="0"/>
        <w:rPr/>
      </w:pPr>
      <w:r>
        <w:rPr/>
        <w:t> </w:t>
      </w:r>
    </w:p>
    <w:tbl>
      <w:tblPr>
        <w:tblW w:w="8900" w:type="dxa"/>
        <w:jc w:val="center"/>
        <w:tblInd w:w="0" w:type="dxa"/>
        <w:tblCellMar>
          <w:top w:w="0" w:type="dxa"/>
          <w:left w:w="0" w:type="dxa"/>
          <w:bottom w:w="0" w:type="dxa"/>
          <w:right w:w="0" w:type="dxa"/>
        </w:tblCellMar>
      </w:tblPr>
      <w:tblGrid>
        <w:gridCol w:w="3575"/>
        <w:gridCol w:w="60"/>
        <w:gridCol w:w="78"/>
        <w:gridCol w:w="300"/>
        <w:gridCol w:w="241"/>
        <w:gridCol w:w="78"/>
        <w:gridCol w:w="986"/>
        <w:gridCol w:w="60"/>
        <w:gridCol w:w="76"/>
        <w:gridCol w:w="292"/>
        <w:gridCol w:w="235"/>
        <w:gridCol w:w="76"/>
        <w:gridCol w:w="959"/>
        <w:gridCol w:w="60"/>
        <w:gridCol w:w="337"/>
        <w:gridCol w:w="1302"/>
        <w:gridCol w:w="185"/>
      </w:tblGrid>
      <w:tr>
        <w:trPr/>
        <w:tc>
          <w:tcPr>
            <w:tcW w:w="357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3" w:type="dxa"/>
            <w:gridSpan w:val="5"/>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162 mg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8" w:type="dxa"/>
            <w:gridSpan w:val="5"/>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81 mg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Placebo</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Endpoint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3" w:type="dxa"/>
            <w:gridSpan w:val="5"/>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n=18</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Completers(2) :     n=12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8" w:type="dxa"/>
            <w:gridSpan w:val="5"/>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n=22</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Completers(2) :    n=18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n=22</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Completers(2) :    n=20</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4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top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p-value(3)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9" w:type="dxa"/>
            <w:tcBorders>
              <w:top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p-value(3)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2"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CFF0FC" w:val="clear"/>
          </w:tcPr>
          <w:p>
            <w:pPr>
              <w:pStyle w:val="TableContents"/>
              <w:spacing w:before="0" w:after="0"/>
              <w:ind w:left="0" w:right="0" w:hanging="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Responder Analyses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FFFFFF" w:val="cle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 responders in mITT population(4)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24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p=0.323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23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p=0.779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75" w:type="dxa"/>
            <w:tcBorders/>
            <w:shd w:fill="CFF0FC" w:val="cle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Post hoc </w:t>
            </w:r>
            <w:r>
              <w:rPr>
                <w:rFonts w:ascii="Times New Roman" w:hAnsi="Times New Roman"/>
                <w:b w:val="false"/>
                <w:i w:val="false"/>
                <w:caps w:val="false"/>
                <w:smallCaps w:val="false"/>
                <w:color w:val="000000"/>
                <w:sz w:val="20"/>
              </w:rPr>
              <w:t>analysis of 30% responders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completer population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w:t>
            </w:r>
          </w:p>
        </w:tc>
        <w:tc>
          <w:tcPr>
            <w:tcW w:w="24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p=0.026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2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p=0.723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 responders in mITT population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24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p=0.083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23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p=0.981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75" w:type="dxa"/>
            <w:tcBorders/>
            <w:shd w:fill="CFF0FC" w:val="cle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Post hoc </w:t>
            </w:r>
            <w:r>
              <w:rPr>
                <w:rFonts w:ascii="Times New Roman" w:hAnsi="Times New Roman"/>
                <w:b w:val="false"/>
                <w:i w:val="false"/>
                <w:caps w:val="false"/>
                <w:smallCaps w:val="false"/>
                <w:color w:val="000000"/>
                <w:sz w:val="20"/>
              </w:rPr>
              <w:t>analysis of 50% responders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completer population (comparable in 162</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mg arm to a 4-point reduction in WI-NRS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score)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24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p=0.028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2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p=0.649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tbl>
      <w:tblPr>
        <w:tblW w:w="8734" w:type="dxa"/>
        <w:jc w:val="center"/>
        <w:tblInd w:w="0" w:type="dxa"/>
        <w:tblCellMar>
          <w:top w:w="0" w:type="dxa"/>
          <w:left w:w="0" w:type="dxa"/>
          <w:bottom w:w="0" w:type="dxa"/>
          <w:right w:w="0" w:type="dxa"/>
        </w:tblCellMar>
      </w:tblPr>
      <w:tblGrid>
        <w:gridCol w:w="3470"/>
        <w:gridCol w:w="60"/>
        <w:gridCol w:w="67"/>
        <w:gridCol w:w="612"/>
        <w:gridCol w:w="89"/>
        <w:gridCol w:w="67"/>
        <w:gridCol w:w="848"/>
        <w:gridCol w:w="60"/>
        <w:gridCol w:w="72"/>
        <w:gridCol w:w="531"/>
        <w:gridCol w:w="96"/>
        <w:gridCol w:w="72"/>
        <w:gridCol w:w="911"/>
        <w:gridCol w:w="60"/>
        <w:gridCol w:w="194"/>
        <w:gridCol w:w="1445"/>
        <w:gridCol w:w="80"/>
      </w:tblGrid>
      <w:tr>
        <w:trPr/>
        <w:tc>
          <w:tcPr>
            <w:tcW w:w="347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3" w:type="dxa"/>
            <w:gridSpan w:val="5"/>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162 mg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2" w:type="dxa"/>
            <w:gridSpan w:val="5"/>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81mg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Placebo</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Endpoint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3" w:type="dxa"/>
            <w:gridSpan w:val="5"/>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n=18</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Completers(2) :     n=12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2" w:type="dxa"/>
            <w:gridSpan w:val="5"/>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n=22</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Completers(2 ) :    n=18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n=22</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Completers(2) :    n=20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top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8" w:type="dxa"/>
            <w:tcBorders>
              <w:top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p-value(3)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top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p-value(3)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shd w:fill="CFF0FC" w:val="clear"/>
          </w:tcPr>
          <w:p>
            <w:pPr>
              <w:pStyle w:val="TableContents"/>
              <w:spacing w:before="0" w:after="0"/>
              <w:ind w:left="0" w:right="0" w:hanging="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Other Key Analyses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Mean change in seven-day mean WI-NRS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scores in mITT population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(2.51</w:t>
            </w:r>
          </w:p>
        </w:tc>
        <w:tc>
          <w:tcPr>
            <w:tcW w:w="89"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p=0.083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w:t>
            </w:r>
          </w:p>
        </w:tc>
        <w:tc>
          <w:tcPr>
            <w:tcW w:w="96"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p=0.354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70" w:type="dxa"/>
            <w:tcBorders/>
            <w:shd w:fill="CFF0FC" w:val="cle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Post hoc </w:t>
            </w:r>
            <w:r>
              <w:rPr>
                <w:rFonts w:ascii="Times New Roman" w:hAnsi="Times New Roman"/>
                <w:b w:val="false"/>
                <w:i w:val="false"/>
                <w:caps w:val="false"/>
                <w:smallCaps w:val="false"/>
                <w:color w:val="000000"/>
                <w:sz w:val="20"/>
              </w:rPr>
              <w:t>analysis of mean change in seven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-day mean WI-NRS scores in completer</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population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(3.43</w:t>
            </w:r>
          </w:p>
        </w:tc>
        <w:tc>
          <w:tcPr>
            <w:tcW w:w="89"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p=0.025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(2.52</w:t>
            </w:r>
          </w:p>
        </w:tc>
        <w:tc>
          <w:tcPr>
            <w:tcW w:w="96"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p=0.491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7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Mean change in total ItchyQoL score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mITT population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(13.83</w:t>
            </w:r>
          </w:p>
        </w:tc>
        <w:tc>
          <w:tcPr>
            <w:tcW w:w="89"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(7.79</w:t>
            </w:r>
          </w:p>
        </w:tc>
        <w:tc>
          <w:tcPr>
            <w:tcW w:w="96"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p=0.373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pBdr>
          <w:bottom w:val="single" w:sz="6" w:space="1" w:color="000000"/>
        </w:pBdr>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967"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Represents the modified intention to treat population, which consists of all of the patients who were randomized and commenced dosing. </w:t>
            </w:r>
          </w:p>
        </w:tc>
      </w:tr>
    </w:tbl>
    <w:tbl>
      <w:tblPr>
        <w:tblW w:w="6160" w:type="dxa"/>
        <w:jc w:val="left"/>
        <w:tblInd w:w="0" w:type="dxa"/>
        <w:tblCellMar>
          <w:top w:w="0" w:type="dxa"/>
          <w:left w:w="0" w:type="dxa"/>
          <w:bottom w:w="0" w:type="dxa"/>
          <w:right w:w="0" w:type="dxa"/>
        </w:tblCellMar>
      </w:tblPr>
      <w:tblGrid>
        <w:gridCol w:w="245"/>
        <w:gridCol w:w="5915"/>
      </w:tblGrid>
      <w:tr>
        <w:trPr/>
        <w:tc>
          <w:tcPr>
            <w:tcW w:w="24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591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Consists of the patients who completed the 10-week course of treatment.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tbl>
      <w:tblPr>
        <w:tblW w:w="46" w:type="dxa"/>
        <w:jc w:val="left"/>
        <w:tblInd w:w="0" w:type="dxa"/>
        <w:tblCellMar>
          <w:top w:w="0" w:type="dxa"/>
          <w:left w:w="0" w:type="dxa"/>
          <w:bottom w:w="0" w:type="dxa"/>
          <w:right w:w="0" w:type="dxa"/>
        </w:tblCellMar>
      </w:tblPr>
      <w:tblGrid>
        <w:gridCol w:w="23"/>
        <w:gridCol w:w="23"/>
      </w:tblGrid>
      <w:tr>
        <w:trPr/>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9775" w:type="dxa"/>
        <w:jc w:val="left"/>
        <w:tblInd w:w="0" w:type="dxa"/>
        <w:tblCellMar>
          <w:top w:w="0" w:type="dxa"/>
          <w:left w:w="0" w:type="dxa"/>
          <w:bottom w:w="0" w:type="dxa"/>
          <w:right w:w="0" w:type="dxa"/>
        </w:tblCellMar>
      </w:tblPr>
      <w:tblGrid>
        <w:gridCol w:w="245"/>
        <w:gridCol w:w="9530"/>
      </w:tblGrid>
      <w:tr>
        <w:trPr/>
        <w:tc>
          <w:tcPr>
            <w:tcW w:w="24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9530"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All p-values compare treatment group to placebo. Only the primary endpoint was powered for statistical significance. </w:t>
            </w:r>
          </w:p>
        </w:tc>
      </w:tr>
    </w:tbl>
    <w:tbl>
      <w:tblPr>
        <w:tblW w:w="2650" w:type="dxa"/>
        <w:jc w:val="left"/>
        <w:tblInd w:w="0" w:type="dxa"/>
        <w:tblCellMar>
          <w:top w:w="0" w:type="dxa"/>
          <w:left w:w="0" w:type="dxa"/>
          <w:bottom w:w="0" w:type="dxa"/>
          <w:right w:w="0" w:type="dxa"/>
        </w:tblCellMar>
      </w:tblPr>
      <w:tblGrid>
        <w:gridCol w:w="245"/>
        <w:gridCol w:w="2405"/>
      </w:tblGrid>
      <w:tr>
        <w:trPr/>
        <w:tc>
          <w:tcPr>
            <w:tcW w:w="24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240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Primary endpoint of the trial. </w:t>
            </w:r>
          </w:p>
        </w:tc>
      </w:tr>
    </w:tbl>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Safety Results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Haduvio was well tolerated in the trial. No serious adverse events, or SAEs, were assessed as definitely, probably or possibly related to Haduvio. Two patients experienced SAEs that were assessed as unlikely to be related to Haduvio, including one patient in the Haduvio 81 mg arm of the trial whose SAEs occurred in connection with a car accident and one patient in the placebo arm with acute myeloid leukemia by bone marrow who experienced leukocytosis. The majority of treatment emergent adverse events, or TEAEs, occurred during the titration period. During the titration period, 73% of Haduvio-treated patients experienced one or more adverse events, as compared to 46% of patients receiving placebo.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summarizes the most common TEAEs experienced by patients in the trial, indicating the percentage of the modified intention to treat, or mITT, population of each arm that reported each such TEAE, subdivided by the grade of the reported TEAEs. Grade refers to the severity of the TEAE, with grade 1 TEAEs generally including mild or asymptomatic conditions or clinical or diagnostic observations only, grade 2 TEAEs generally including moderate events or minimal, local or noninvasive intervention events and grade 3 TEAEs generally including severe or medically significant events that are not immediately life-threatening, events requiring hospitalization or prolongation of hospitalization or disabling events. There were no grade 4 or grade 5 TEAEs reported in the trial, which would generally include life-threatening or urgent intervention events and deaths. Patients were able to report multiple TEAEs and, as a result, the percentages specified below for each arm or grade do not necessarily represent the percentage of patients in the arm that experienced any TEAE or any grade of any TEAE. </w:t>
      </w:r>
    </w:p>
    <w:p>
      <w:pPr>
        <w:pStyle w:val="TextBody"/>
        <w:spacing w:before="0" w:after="0"/>
        <w:rPr/>
      </w:pPr>
      <w:r>
        <w:rPr/>
        <w:t> </w:t>
      </w:r>
    </w:p>
    <w:tbl>
      <w:tblPr>
        <w:tblW w:w="5560" w:type="dxa"/>
        <w:jc w:val="center"/>
        <w:tblInd w:w="0" w:type="dxa"/>
        <w:tblCellMar>
          <w:top w:w="0" w:type="dxa"/>
          <w:left w:w="0" w:type="dxa"/>
          <w:bottom w:w="28" w:type="dxa"/>
          <w:right w:w="0" w:type="dxa"/>
        </w:tblCellMar>
      </w:tblPr>
      <w:tblGrid>
        <w:gridCol w:w="815"/>
        <w:gridCol w:w="60"/>
        <w:gridCol w:w="60"/>
        <w:gridCol w:w="230"/>
        <w:gridCol w:w="185"/>
        <w:gridCol w:w="60"/>
        <w:gridCol w:w="60"/>
        <w:gridCol w:w="260"/>
        <w:gridCol w:w="185"/>
        <w:gridCol w:w="60"/>
        <w:gridCol w:w="60"/>
        <w:gridCol w:w="260"/>
        <w:gridCol w:w="60"/>
        <w:gridCol w:w="60"/>
        <w:gridCol w:w="60"/>
        <w:gridCol w:w="230"/>
        <w:gridCol w:w="185"/>
        <w:gridCol w:w="60"/>
        <w:gridCol w:w="60"/>
        <w:gridCol w:w="230"/>
        <w:gridCol w:w="185"/>
        <w:gridCol w:w="60"/>
        <w:gridCol w:w="60"/>
        <w:gridCol w:w="260"/>
        <w:gridCol w:w="185"/>
        <w:gridCol w:w="60"/>
        <w:gridCol w:w="60"/>
        <w:gridCol w:w="260"/>
        <w:gridCol w:w="185"/>
        <w:gridCol w:w="60"/>
        <w:gridCol w:w="60"/>
        <w:gridCol w:w="260"/>
        <w:gridCol w:w="185"/>
        <w:gridCol w:w="60"/>
        <w:gridCol w:w="60"/>
        <w:gridCol w:w="260"/>
        <w:gridCol w:w="60"/>
      </w:tblGrid>
      <w:tr>
        <w:trPr/>
        <w:tc>
          <w:tcPr>
            <w:tcW w:w="81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TEAE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162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81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(n=22)</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Placebo</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Grade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Dizziness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Nausea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Headache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Fatigue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Open Label Extension Study</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completed a one-year open label extension study of our Phase 2 clinical trial in patients with prurigo nodularis in July 2017. Patients who completed the Phase 2 clinical trial were able to enroll in the extension study following a safety washout period. Patients who enrolled in the extension study who had WI-NRS scores of at least 5 were immediately admitted to the active treatment period of the study. Patients with WI-NRS scores of less than 5 entered an observation period for up to 12 weeks. Patients in this observation period began to receive active treatment only following their first reported WI-NRS score of at least 5, or if they reached the end of the 12-week observation period and their WI-NRS scores remained below 5, they were required to leave the study.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in the active treatment period received Haduvio at a dose determined by self-titration (both up and down) to tolerance, ranging from 27 mg, once daily, up to 162 mg, twice daily, for up to 50 weeks. The variable-length observation period resulted in an active treatment period that could range from 38 to 50 weeks, depending on when the patient moved from the observation period to the active treatment period. The open label extension study enrolled 41 patients and of these 36 were admitted to the active treatment period. Of the patients admitted to the active treatment period, 20 patients completed at least 26 weeks of treatment and 16 patients completed 50 weeks of treatment, which are periods that correspond to guidelines of the International Council for Harmonisation of Technical Requirements for the Registration of Pharmaceuticals for Human Use to assess safety over periods of approximately six months and one year.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observed mean changes in WI-NRS score from commencement of the active treatment period to week 26 and week 50 of -3.9 and -4.2, respectively, and a mean change in total ItchyQoL score from commencement of the active treatment period to week 26 and week 50 of -16.0 and -12.5, respectively. In the Verbal Rating Scale, a patient self-assessment of the presence and intensity of three distinct skin sensations (itching, burning and stinging) on a 5-category numeric assessment scale ranging from 0 to 4, over half of the patients reported at least a 1-category improvement from commencement of the active treatment period to their last observed study visit. In addition, we observed improvement at weeks 26 and 50 with respect to pruriginous lesions observed in Prurigo Activity Score, or PAS, assessments, which include physician assessments of skin lesions on a 0% to 100% scale, divided into five categories of 20% each, with respect to each of two parameters: percentage of excoriations/crusting and percentage of healed lesions. For the subsets of patients who completed 26 or 50 weeks of treatment and who had a PAS exam reported at both baseline and week 26 or 50, 13 of 19 patients at week 26, and 9 of 15 patients at week 50, showed at a least a 1-category improvement in excoriations/crusts; and 11 of 19 patients at week 26, and 7 of 15 patients at week 50, showed at least a 1-category improvement in healed lesions. We believe these data suggest that with continued longer-term treatment, both ongoing reduction in pruritus and improvement in the pruriginous lesions themselves may be observed in a meaningful proportion of patients.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Haduvio was well-tolerated in the open label extension study. The most frequent adverse events related to study drug were nausea and dizziness, which were reported in seven patients (19%) each, and fatigue, which was reported in six patients (17%). There were no treatment emergent SAEs reported that were considered related to study drug and the majority of adverse events were grade 1 or grade 2 in severity. There were no deaths reported in the study.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Hepatic Impairment Study</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conducted a Phase 1b clinical trial in patients with chronic liver disease to evaluate the safety and pharmacokinetics, or PK, of Haduvio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moderate and severe hepatic impairment and there were no serious adverse events reported in the trial.  After reviewing the safety and PK data generated in the single ascending dose portion of the trial, we believe that these data are sufficient to support further investigation of Haduvio in potential future safety and efficacy studies in patients with relevant liver diseases without the need to conduct the multiple ascending dose portion of the trial. We intend to use the data from the hepatic impairment study to support an NDA submission for Haduvio for pruritus in prurigo nodularis.</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Ongoing Phase 2b/3 PRISM Clinical Trial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Following completion of the Phase 2 clinical trial described above, we met with the FDA and European regulatory authorities to discuss the registration pathway for Haduvio for pruritus associated with prurigo nodularis and the design of our Phase 2b/3 PRISM trial, including the target population, dose, duration and primary efficacy endpoint. Based on these discussions and the results of our prurigo nodularis and uremic pruritus trials we initiated our Phase 2b/3 PRISM trial of Haduvio 162 mg tablets in subjects with severe pruritus associated with prurigo nodularis.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Phase 2b/3 PRISM trial consists of two parts. The first part of the trial is a randomized, double-blind, placebo-controlled, parallel, two-arm, 14-week treatment period that is evaluating the safety and anti-pruritic efficacy of Haduvio 162 mg tablets. The second part of the trial is an open label extension to evaluate Haduvio’s long-term safety profile as well as its effects on key prurigo nodularis parameters, including itch and skin healing, over a further 38 weeks, resulting in a 52-week overall treatment period.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will be dosed over two periods in the blinded portion of the trial: an initial two-week titration period during which patients receive gradually increasing doses of Haduvio or placebo, reaching the final assigned dose on day 15, followed by a 12-week fixed-dosing period. Following the initial 14-week treatment period, patients will continue into another two-week blinded titration period during which patients from the placebo arm will cross over to active drug with a standard escalating titration schedule, while patients from the Haduvio arm remain at a stable dose of 162 mg twice daily. This blinded two-week period will be followed by 36 weeks of stable dosing at 162 mg twice daily of open label Haduvio for all participants. The open label extension will conclude with a final two-week off-treatment washout and safety observation period for all patients.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primary efficacy endpoint for the trial is the proportion of patients achieving at least a 4-point improvement from baseline with respect to their worst itch at week 14 as measured by WI-NRS. Key secondary endpoints include the mean changes from baseline to week 14 in WI-NRS and ItchyQoL scores and the difference in percentage of patients having a 1-category improvement in the percentage of pruriginous lesions with excoriations or crusts on the PAS at week 14.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Eligible patients for this trial are adults with prurigo nodularis, defined by having at least ten pruriginous nodules, with predominantly nodular lesions overall, over at least two anatomically distinct body areas, with baseline seven-day mean WI-NRS scores of at least 7, indicating severe pruritus. The trial was designed to be conducted in 240 subjects, subject to a sample size re-estimation, or SSRE, analysis to take place during the trial. In accordance with the protocol for the Phase 2b/3 PRISM trial, we conducted the SSRE analysis in July 2020, following such time as approximately 45% of the patients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have increased the planned trial size to 360 subjects. The pace of enrollment in the trial has been impacted by the COVID-19 pandemic as new patient screening and most patient enrollment were temporarily halted in March 2020. Patient screening restrictions have been lifted in the United States and Europe. Our sites began to restart patient screening and enrollment during May and June 2020. We also experienced slower recruitment activities worldwide through the latter part of 2020 and the beginning of 2021 due to the resurgence of the COVID-19 pandemic. If the Phase 2b/3 PRISM trial is successful, we expect that we will use the Phase 2b/3 PRISM trial and an additional Phase 3 clinical trial that we believe we will need to conduct to support the submission of an NDA to FDA and an MAA to the EMA for Haduvio for the treatment of pruritus associated with prurigo nodularis.</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Next Steps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the results of the Phase 2b/3 PRISM trial and the additional Phase 3 clinical trial that we believe we need to conduct are positive, and the data from the other required supportive trials are also favorable, we would plan to seek approval for Haduvio for pruritus associated with prurigo nodularis by submitting to the FDA a Section 505(b)(2) New Drug Application, which would rely on the FDA’s previous findings for the safety and effectiveness of nalbuphine, in addition to the data we generate regarding Haduvio.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also obtained scientific guidance from regulatory authorities in two European countries, Sweden and Germany with respect to regulatory paths supporting submission of an MAA for pruritus associated with prurigo nodularis. We have also initiated discussions of a Pediatric Investigational Plan with European health authorities. </w:t>
      </w:r>
    </w:p>
    <w:p>
      <w:pPr>
        <w:pStyle w:val="TextBody"/>
        <w:spacing w:before="160" w:after="0"/>
        <w:rPr/>
      </w:pPr>
      <w:r>
        <w:rPr/>
        <w:t> </w:t>
      </w:r>
    </w:p>
    <w:p>
      <w:pPr>
        <w:pStyle w:val="TextBody"/>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Chronic Cough in Idiopathic Pulmonary Fibrosis Program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Idiopathic pulmonary fibrosis, or IPF, is a rare, chronic, progressive lung disease, characterized by scarring and thickening of lung tissue leading to an irreversible loss of lung function and reduced life expectancy. Most patients diagnosed with IPF suffer from a dry, non-productive chronic cough that interrupts their daily living and significantly contributes to poor quality of life. Chronic coughing can have a debilitating physical and psychosocial burden, exacerbate concomitant respiratory disease, cause loss of sleep and reduce mobility. Cough is an independent predictor of disease progression in IPF, and therefore we believe cough may contribute to the progression of the underlying disease.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Approximately 130,000 adults in the United States and greater than 1 million adults worldwide are believed to have IPF. In addition, 70% to 85% of IPF patients are reported to suffer from chronic cough. These patients can cough over 50 times per hour, which can lead to other morbidities. There are no approved therapies for the treatment of chronic cough in patients suffering with IPF.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opioid class of drugs has demonstrated the ability to suppress cough and is used in the clinical management of cough. There is also preclinical and clinical evidence that mixed agonist-antagonist drugs can also be effective in treating cough. We believe Haduvio has the potential to be an effective treatment for chronic cough in patients with IPF.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Phase 2 CANAL trial is a randomized, double-blind, placebo controlled, two-treatment, two-period, crossover study designed to evaluate the efficacy, safety, tolerability and dosing of Haduvio for chronic cough in patients with IPF and is designed to enroll approximately 60 subjects with a goal to have 44 study completers. We are conducting the trial at sites in the United Kingdom. Due to the COVID-19 pandemic and the specific at-risk nature of IPF patients, our clinical sites halted their enrollment and treatment of patients in this trial. While patient screening and enrollment resumed at certain clinical trial sites in the fourth quarter of 2020, all sites in the trial paused screening again in December 2020 in response to a shelter in place directive from the U.K. government. Once sites are able to resume screening, some sites may take longer to resume their trial activity due to increased COVID-19 infection rates in the areas where they are located, and we expect other sites may cease to participate in the trial entirely.  We recently amended the study protocol to reduce the number of in-person visits and procedures to facilitate this study being completed in an at-risk patient population for COVID-19.  We are currently in the process of seeking regulatory approval to add study sites in Germany which could potentially accelerate enrollment and reduce the risks inherent to single-country recruitment during the COVID-19 pandemic.</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will be randomized into one of two treatment arms. The patients in the first treatment arm will receive Haduvio for three weeks, which period will be followed by a two-week washout period and then a three-week treatment period during which they will receive placebo. The patients in the second treatment arm will receive placebo during the first three-week treatment period, and following a two-week washout period, will receive Haduvio during the second three-week treatment period. During the active treatment periods, Haduvio will be studied over a dosing range starting at 27 mg once daily and titrated in steps to 162 mg twice daily. The primary efficacy endpoint of the trial is mean percent change in daytime cough frequency as measured by a cough monitor as compared in the Haduvio treatment periods and the placebo treatment periods. Secondary endpoints in the trial include assessments of fatigue, dyspnea or shortness of breath and cough severity.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Levodopa-Induced Dyskinesia in Parkinson’s Disease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Parkinson’s disease is a chronic neurodegenerative disorder that primarily affects motor function. Levodopa, which replaces lost dopamine, is considered the “gold standard” and the most effective therapy for Parkinson’s disease. Over time, patients with Parkinson’s disease require increasingly higher or more frequent doses of levodopa to avoid recurrent periods when levodopa therapy is ineffective, which are characterized by slowness of movement, rigidity, impaired walking, tremors, and postural instability, and during which the underlying symptoms of Parkinson’s disease return. Extended treatment of Parkinson’s disease with levodopa frequently results in dyskinesia, which is characterized by involuntary movements that are non-rhythmic, purposeless and unpredictable, negatively impacting patients’ daily lives.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According to the Parkinson’s Foundation, Parkinson’s disease affects approximately one million patients in the United States and 10 million patients worldwide. Approximately 62% of Parkinson’s disease patients in the United States are treated with levodopa, and as Parkinson’s disease progresses, approximately 50% and 90% of patients on levodopa therapy experience debilitating dyskinesia after five and 15 years of levodopa therapy, respectively. We estimate that there are approximately 150,000 patients with LID in the United States. The only approved treatments for the treatment of LID in patients with Parkinson’s disease are amantadine, Gocovri, an extended release capsule formulation of amantadine, and Osmolex, an extended release capsule formulation of amantadine, both marketed by Adamas Pharmaceuticals.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is significant preclinical evidence in animal models that stimulating κ-opioid receptors and antagonizing µ-opioid receptors represses LID. In the same preclinical model in non-human primates that showed the effect of Gocovri on LID, nalbuphine demonstrated statistically significant reduction of dyskinesia in non-human primates, maintaining anti-LID activity with chronic administration and in a dose dependent manner, and was safe and well tolerated. We believe the dual mechanism of action of Haduvio could be effective in treating LID in patients with Parkinson’s disease. We have written the protocol for a Phase 2 clinical trial for LID in patients with Parkinson’s disease.  We plan to determine the next steps in the program once we complete the Phase 2b/3 PRISM and Phase 2 CANAL trials.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Other Chronic Pruritus Programs</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Uremic Pruritus Program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Overview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Chronic kidney disease-associated pruritus, also known as uremic pruritus, can occur in patients with chronic kidney disease and is most often seen in patients receiving hemodialysis. Uremic pruritus is one of the most common conditions affecting end-stage renal disease, or ESRD, patients undergoing hemodialysis. Studies report that itchy and dry skin, symptoms of pruritus, affect 40% to 90% of ESRD patients. Yet, in clinical practice the condition is often underdiagnosed resulting in inadequate management and an underappreciated impact on patient outcomes. Data from the Dialysis Outcomes and Practice Patterns Study, or DOPPS, in 2017 demonstrated that 70% of hemodialysis patients experienced some pruritus, with 42% reporting moderate to extreme pruritus. The DOPPS started in 1996 and has tracked over 120,000 patients on hemodialysis and peritoneal dialysis and with chronic kidney disease over 20 countries.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estimate that there are more than 650,000 patients in the United States and approximately 2 million patients worldwide who are affected by ESRD and that, among these patients, approximately 260,000 patients in the United States and 800,000 patients worldwide suffer from pruritus.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No treatment for uremic pruritus has been approved in the United States or Europe, but nalfurafine (marketed as Remitch) is approved in Japan for uremic pruritus. Treatment of uremic pruritus may include optimizing dialysis procedures as well as off-label treatments such as corticosteroids and other immunosuppressive or anti-inflammatory treatments, phototherapy and drugs such as gabapentin and Lyrica (pregabalin), prescription medicines approved for the treatment of seizures and neuropathic pain.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Clinical Development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conducted three clinical trials of Haduvio in patients with uremic pruritus, including a Phase 2b/3 clinical trial in 373 patients with moderate to severe uremic pruritus, an open label extension of the Phase 2b/3 clinical trial and a Phase 1b clinical trial in 14 hemodialysis patients with uremic pruritus and eight healthy subjects. </w:t>
      </w:r>
    </w:p>
    <w:p>
      <w:pPr>
        <w:pStyle w:val="TextBody"/>
        <w:spacing w:before="3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Phase 2b/3 Clinical Trial</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completed a Phase 2b/3 clinical trial in June 2015 to evaluate the safety and efficacy of Haduvio versus placebo in patients with uremic pruritus. The trial was a multicenter, randomized, double-blind trial conducted at 41 sites in the United States and Europe. The trial enrolled a total of 373 adult patients who had uremic pruritus, had been receiving in-center hemodialysis for at least three months, were on a schedule of three dialysis visits per week and had mean WI-NRS scores of at least 4.5 (indicating moderate to severe pruritus) over their last three dialysis visits. The patients were randomized across three treatment arms: either 108 mg or 54 mg of Haduvio or placebo, each administered twice daily. The baseline mean WI-NRS scores for the three treatment arms were comparable: 6.94 for the 108 mg arm, 6.87 for the 54 mg arm and 6.75 for the placebo arm. There were three dosing periods in the trial, all of which were blinded: an initial two-week titration period during which patients received gradually increasing doses of Haduvio or placebo, reaching the final assigned dose on day 15; a six-week fixed-dosing period; and a two-week off-treatment safety observation period.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primary endpoint of the trial was the mean change in WI-NRS score at baseline to WI-NRS score over the last two weeks of the fixed-dosing period (weeks seven and eight), which we refer to as the Evaluation Period. Key secondary endpoint analyses included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change from baseline to the Evaluation Period in total Skindex-10 score, which is a questionnaire-based score assessing quality of life across 10 questions, grouped into three categories, or domains, with three questions relating to disease symptoms, three questions relating to mood and emotional distress and four questions relating to effects on social functioning;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change from baseline to the Evaluation Period in Itch Medical Outcomes Study, or IMOS, Sleep Scale score, which is a questionnaire-based score developed for hemodialysis patients assessing overall quality of sleep.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Efficacy Results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summarizes the outcomes of the trial for the primary endpoint and key secondary endpoints. The table below also includes results from a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analysis of change from baseline to the Evaluation Period in score for only the disease domain questions of the Skindex-10 assessment and a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analysis of the subset of patients who entered the trial with severe itch, defined as a baseline WI-NRS score of at least 7, which we believe is notable as it shows a greater response in patients with more severe itch. </w:t>
      </w:r>
    </w:p>
    <w:p>
      <w:pPr>
        <w:pStyle w:val="TextBody"/>
        <w:spacing w:before="0" w:after="0"/>
        <w:rPr/>
      </w:pPr>
      <w:r>
        <w:rPr/>
        <w:t> </w:t>
      </w:r>
    </w:p>
    <w:tbl>
      <w:tblPr>
        <w:tblW w:w="9185" w:type="dxa"/>
        <w:jc w:val="center"/>
        <w:tblInd w:w="0" w:type="dxa"/>
        <w:tblCellMar>
          <w:top w:w="0" w:type="dxa"/>
          <w:left w:w="0" w:type="dxa"/>
          <w:bottom w:w="0" w:type="dxa"/>
          <w:right w:w="0" w:type="dxa"/>
        </w:tblCellMar>
      </w:tblPr>
      <w:tblGrid>
        <w:gridCol w:w="3740"/>
        <w:gridCol w:w="60"/>
        <w:gridCol w:w="68"/>
        <w:gridCol w:w="623"/>
        <w:gridCol w:w="91"/>
        <w:gridCol w:w="68"/>
        <w:gridCol w:w="863"/>
        <w:gridCol w:w="60"/>
        <w:gridCol w:w="68"/>
        <w:gridCol w:w="623"/>
        <w:gridCol w:w="91"/>
        <w:gridCol w:w="68"/>
        <w:gridCol w:w="863"/>
        <w:gridCol w:w="60"/>
        <w:gridCol w:w="174"/>
        <w:gridCol w:w="1585"/>
        <w:gridCol w:w="80"/>
      </w:tblGrid>
      <w:tr>
        <w:trPr/>
        <w:tc>
          <w:tcPr>
            <w:tcW w:w="37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3" w:type="dxa"/>
            <w:gridSpan w:val="5"/>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108mg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3" w:type="dxa"/>
            <w:gridSpan w:val="5"/>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Haduvio 54 mg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Placebo</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Endpoint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13" w:type="dxa"/>
            <w:gridSpan w:val="5"/>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n=120</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Severe itch(2) :    n=61</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13" w:type="dxa"/>
            <w:gridSpan w:val="5"/>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n=128</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Severe itch(2) :    n=63</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59" w:type="dxa"/>
            <w:gridSpan w:val="2"/>
            <w:tcBorders>
              <w:bottom w:val="single" w:sz="6" w:space="0" w:color="000000"/>
            </w:tcBorders>
            <w:shd w:fill="FFFFFF" w:val="clear"/>
            <w:tcMar>
              <w:bottom w:w="28" w:type="dxa"/>
            </w:tcMar>
            <w:vAlign w:val="bottom"/>
          </w:tcPr>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mITT(1):              n=123</w:t>
            </w:r>
          </w:p>
          <w:p>
            <w:pPr>
              <w:pStyle w:val="TableContents"/>
              <w:spacing w:lineRule="auto" w:line="288" w:before="0" w:after="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Severe itch(2) :    n=55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p-value(3)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p-value(3)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CFF0FC" w:val="clear"/>
          </w:tcPr>
          <w:p>
            <w:pPr>
              <w:pStyle w:val="TableContents"/>
              <w:spacing w:before="0" w:after="0"/>
              <w:ind w:left="0" w:right="0" w:hanging="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Primary Endpoint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Mean change in WI-NRS score from baseline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to Evaluation Period in mITT population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(3.49</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p=0.017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p=0.441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40" w:type="dxa"/>
            <w:tcBorders/>
            <w:shd w:fill="CFF0FC" w:val="clear"/>
          </w:tcPr>
          <w:p>
            <w:pPr>
              <w:pStyle w:val="TableContents"/>
              <w:spacing w:before="0" w:after="0"/>
              <w:ind w:left="0" w:right="0" w:hanging="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Post Hoc Analyses and Key Secondary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caps w:val="false"/>
                <w:smallCaps w:val="false"/>
                <w:color w:val="000000"/>
                <w:sz w:val="20"/>
              </w:rPr>
              <w:t>Endpoints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40" w:type="dxa"/>
            <w:tcBorders/>
            <w:shd w:fill="FFFFFF" w:val="cle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Post hoc </w:t>
            </w:r>
            <w:r>
              <w:rPr>
                <w:rFonts w:ascii="Times New Roman" w:hAnsi="Times New Roman"/>
                <w:b w:val="false"/>
                <w:i w:val="false"/>
                <w:caps w:val="false"/>
                <w:smallCaps w:val="false"/>
                <w:color w:val="000000"/>
                <w:sz w:val="20"/>
              </w:rPr>
              <w:t>analysis of mean change in WI-NRS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scores from baseline to Evaluation Period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 severe itch population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(4.48</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p=0.007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(3.44</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p=0.521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4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from baseline to Evaluation Period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total Skindex-10 score in mITT population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(16.99</w:t>
            </w:r>
          </w:p>
        </w:tc>
        <w:tc>
          <w:tcPr>
            <w:tcW w:w="9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p=0.246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(13.82</w:t>
            </w:r>
          </w:p>
        </w:tc>
        <w:tc>
          <w:tcPr>
            <w:tcW w:w="9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p=0.863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(15.01</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40" w:type="dxa"/>
            <w:tcBorders/>
            <w:shd w:fill="FFFFFF" w:val="cle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Post hoc </w:t>
            </w:r>
            <w:r>
              <w:rPr>
                <w:rFonts w:ascii="Times New Roman" w:hAnsi="Times New Roman"/>
                <w:b w:val="false"/>
                <w:i w:val="false"/>
                <w:caps w:val="false"/>
                <w:smallCaps w:val="false"/>
                <w:color w:val="000000"/>
                <w:sz w:val="20"/>
              </w:rPr>
              <w:t>analysis of change from baseline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Evaluation Period in Skindex-10 disease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domain sub-score in mITT population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(6.40</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p=0.053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(5.32</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p=0.456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(5.18</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4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IMOS Sleep Scale score from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baseline to the Evaluation Period in mITT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population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(15.99</w:t>
            </w:r>
          </w:p>
        </w:tc>
        <w:tc>
          <w:tcPr>
            <w:tcW w:w="9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p=0.062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(13.85</w:t>
            </w:r>
          </w:p>
        </w:tc>
        <w:tc>
          <w:tcPr>
            <w:tcW w:w="91"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p=0.893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40" w:type="dxa"/>
            <w:tcBorders/>
            <w:shd w:fill="FFFFFF" w:val="clear"/>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Post hoc </w:t>
            </w:r>
            <w:r>
              <w:rPr>
                <w:rFonts w:ascii="Times New Roman" w:hAnsi="Times New Roman"/>
                <w:b w:val="false"/>
                <w:i w:val="false"/>
                <w:caps w:val="false"/>
                <w:smallCaps w:val="false"/>
                <w:color w:val="000000"/>
                <w:sz w:val="20"/>
              </w:rPr>
              <w:t>analysis of mean change in IMOS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Sleep Scale score from baseline to the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Evaluation Period in severe itch population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(21.59</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p=0.006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(15.02</w:t>
            </w:r>
          </w:p>
        </w:tc>
        <w:tc>
          <w:tcPr>
            <w:tcW w:w="9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p=0.506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(11.40</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pBdr>
          <w:bottom w:val="single" w:sz="6"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967"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Represents the modified intention to treat population, which consists of all of the patients who were randomized and commenced dosing. </w:t>
            </w:r>
          </w:p>
        </w:tc>
      </w:tr>
    </w:tbl>
    <w:tbl>
      <w:tblPr>
        <w:tblW w:w="4420" w:type="dxa"/>
        <w:jc w:val="left"/>
        <w:tblInd w:w="0" w:type="dxa"/>
        <w:tblCellMar>
          <w:top w:w="0" w:type="dxa"/>
          <w:left w:w="0" w:type="dxa"/>
          <w:bottom w:w="0" w:type="dxa"/>
          <w:right w:w="0" w:type="dxa"/>
        </w:tblCellMar>
      </w:tblPr>
      <w:tblGrid>
        <w:gridCol w:w="245"/>
        <w:gridCol w:w="4175"/>
      </w:tblGrid>
      <w:tr>
        <w:trPr/>
        <w:tc>
          <w:tcPr>
            <w:tcW w:w="24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417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with a baseline WI-NRS score of at least 7. </w:t>
            </w:r>
          </w:p>
        </w:tc>
      </w:tr>
    </w:tbl>
    <w:tbl>
      <w:tblPr>
        <w:tblW w:w="9775" w:type="dxa"/>
        <w:jc w:val="left"/>
        <w:tblInd w:w="0" w:type="dxa"/>
        <w:tblCellMar>
          <w:top w:w="0" w:type="dxa"/>
          <w:left w:w="0" w:type="dxa"/>
          <w:bottom w:w="0" w:type="dxa"/>
          <w:right w:w="0" w:type="dxa"/>
        </w:tblCellMar>
      </w:tblPr>
      <w:tblGrid>
        <w:gridCol w:w="245"/>
        <w:gridCol w:w="9530"/>
      </w:tblGrid>
      <w:tr>
        <w:trPr/>
        <w:tc>
          <w:tcPr>
            <w:tcW w:w="245"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9530" w:type="dxa"/>
            <w:tcBorders/>
            <w:shd w:fill="auto" w:val="clear"/>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All p-values compare treatment group to placebo. Only the primary endpoint was powered for statistical significance. </w:t>
            </w:r>
          </w:p>
        </w:tc>
      </w:tr>
    </w:tbl>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Safety Results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overall profile of the safety observations in the trial reflected the high rates of concomitant disease in the patient population, which is common for patients suffering from chronic renal failure. At baseline, the patient population had the following rates of serious concomitant diseases: hypertension, 98%; dyslipidemia/hyperlipidemia, 58%; diabetes, 52%; congestive heart failure, 29%; peripheral neuropathy, 28%; history of supraventricular tachycardia, 16%; history of peripheral vascular disease, 14%; history of prior myocardial infarction, 12%; and history of prior stroke, 10%.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this trial, SAEs were frequent but were primarily related to the serious concomitant diseases associated with patients on hemodialysis or to procedural complications related to hemodialysis. During the trial, one patient on placebo died from sepsis; no other deaths occurred. Overall, 43 patients experienced at least one SAE during the eight weeks of trial dosing. Of the SAEs reported, a case of grade 3 vertigo was the only SAE considered related to study drug. The most common SAEs that were considered unrelated to study drug included congestive cardiac failure, non-cardiac chest pain, fluid overload, chronic obstructive pulmonary disease, gastrointestinal hemorrhage and hypotension. TEAEs occurred in 73%, 75% and 61% of the patients in the 108 mg, 54 mg and placebo arms, respectively. The higher rates of TEAEs in the Haduvio arms as compared to placebo appeared to be primarily attributable to higher rates of TEAEs in the Haduvio arms during the initial two-week titration period. During the titration period, 55% of Haduvio-treated patients experienced TEAEs, as compared to 28% of patients receiving placebo. During the eight-week fixed-dosing period, 37% of Haduvio-treated patients experienced TEAEs, as compared to 42% of patients receiving placebo.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summarizes the most common TEAEs experienced by patients in each of the two weeks of the titration period, as well as in the fixed-dosing period, indicating the percentage of the mITT population of each arm that reported each such TEAE. </w:t>
      </w:r>
    </w:p>
    <w:p>
      <w:pPr>
        <w:pStyle w:val="TextBody"/>
        <w:spacing w:before="0" w:after="0"/>
        <w:rPr/>
      </w:pPr>
      <w:r>
        <w:rPr/>
        <w:t> </w:t>
      </w:r>
    </w:p>
    <w:tbl>
      <w:tblPr>
        <w:tblW w:w="9537" w:type="dxa"/>
        <w:jc w:val="center"/>
        <w:tblInd w:w="0" w:type="dxa"/>
        <w:tblCellMar>
          <w:top w:w="0" w:type="dxa"/>
          <w:left w:w="0" w:type="dxa"/>
          <w:bottom w:w="28" w:type="dxa"/>
          <w:right w:w="0" w:type="dxa"/>
        </w:tblCellMar>
      </w:tblPr>
      <w:tblGrid>
        <w:gridCol w:w="1025"/>
        <w:gridCol w:w="60"/>
        <w:gridCol w:w="121"/>
        <w:gridCol w:w="468"/>
        <w:gridCol w:w="298"/>
        <w:gridCol w:w="96"/>
        <w:gridCol w:w="121"/>
        <w:gridCol w:w="468"/>
        <w:gridCol w:w="298"/>
        <w:gridCol w:w="96"/>
        <w:gridCol w:w="108"/>
        <w:gridCol w:w="482"/>
        <w:gridCol w:w="185"/>
        <w:gridCol w:w="60"/>
        <w:gridCol w:w="191"/>
        <w:gridCol w:w="398"/>
        <w:gridCol w:w="377"/>
        <w:gridCol w:w="122"/>
        <w:gridCol w:w="191"/>
        <w:gridCol w:w="398"/>
        <w:gridCol w:w="377"/>
        <w:gridCol w:w="122"/>
        <w:gridCol w:w="122"/>
        <w:gridCol w:w="533"/>
        <w:gridCol w:w="185"/>
        <w:gridCol w:w="60"/>
        <w:gridCol w:w="191"/>
        <w:gridCol w:w="398"/>
        <w:gridCol w:w="235"/>
        <w:gridCol w:w="76"/>
        <w:gridCol w:w="191"/>
        <w:gridCol w:w="398"/>
        <w:gridCol w:w="235"/>
        <w:gridCol w:w="76"/>
        <w:gridCol w:w="110"/>
        <w:gridCol w:w="480"/>
        <w:gridCol w:w="185"/>
      </w:tblGrid>
      <w:tr>
        <w:trPr/>
        <w:tc>
          <w:tcPr>
            <w:tcW w:w="102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56"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First Week of Titration Period</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31"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Second Week of Titration Period</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Fixed-Dosing Period</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TEAE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108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(n=120)</w:t>
            </w:r>
          </w:p>
        </w:tc>
        <w:tc>
          <w:tcPr>
            <w:tcW w:w="2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54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(n=128)</w:t>
            </w:r>
          </w:p>
        </w:tc>
        <w:tc>
          <w:tcPr>
            <w:tcW w:w="2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Placebo</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(n=123)</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108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(n=120)</w:t>
            </w:r>
          </w:p>
        </w:tc>
        <w:tc>
          <w:tcPr>
            <w:tcW w:w="3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54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(n=128)</w:t>
            </w:r>
          </w:p>
        </w:tc>
        <w:tc>
          <w:tcPr>
            <w:tcW w:w="3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Placebo</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(n=123)</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108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(n=120)</w:t>
            </w:r>
          </w:p>
        </w:tc>
        <w:tc>
          <w:tcPr>
            <w:tcW w:w="2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54 mg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(n=128)</w:t>
            </w:r>
          </w:p>
        </w:tc>
        <w:tc>
          <w:tcPr>
            <w:tcW w:w="2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Placebo</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(n=123)</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2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Nausea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2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2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37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37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23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23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0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Vomiting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2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2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3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3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23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23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0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Somnolence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2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2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37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37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23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23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Dizziness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2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2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3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3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23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23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While we believe that this trial established proof of concept for Haduvio in the treatment of pruritus, we are not actively developing Haduvio for uremic pruritus at this time based on our evaluation of the market dynamics, but may consider resuming development in the future. </w:t>
      </w:r>
    </w:p>
    <w:p>
      <w:pPr>
        <w:pStyle w:val="TextBody"/>
        <w:spacing w:before="3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Open Label Extension Study</w:t>
      </w:r>
      <w:r>
        <w:rPr>
          <w:rFonts w:ascii="Times New Roman" w:hAnsi="Times New Roman"/>
          <w:b w:val="false"/>
          <w:i w:val="false"/>
          <w:caps w:val="false"/>
          <w:smallCaps w:val="false"/>
          <w:color w:val="000000"/>
          <w:sz w:val="20"/>
        </w:rPr>
        <w:t xml:space="preserv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completed a six-month (24-week) open label extension study of our Phase 2b/3 clinical trial in patients with uremic pruritus in November 2015. Patients who completed the Phase 2b/3 clinical trial were able to enroll in the extension study following a safety washout period. Patients who enrolled in the extension study who had WI-NRS scores of greater than 2 were immediately admitted to the active treatment period of the study. Patients with WI-NRS scores of 2 or less entered an observation period for up to 12 weeks. Patients in this observation period began to receive active treatment only following their first WI-NRS score that was greater than 2; if they reached the end of the 12-week observation period and their WI-NRS scores remained at or below 2, they were required to leave the study.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in the active treatment period received Haduvio with an initial titration over three weeks according to the evolution of their itch response, at doses ranging from 27 mg, once daily, up to a maximum dose of 108 mg, twice daily, followed by up to 21 additional weeks of treatment. The variable-length observation period resulted in an active treatment period that could range from 12 to 24 weeks (including the initial titration period), depending on when the patient moved from the observation period to the active treatment period. After the initial titration period, patients were permitted one down-titration, and if their itch increased with the reduced dose, they could then return to their initial fixed dose in the study. The open label extension study enrolled 184 patients. Of these, 167 were admitted to the active treatment cohort and 51 of these patients had WI-NRS scores of at least 7, indicative of severe itch, a group we refer to as the severe itch population. Of the patients admitted to the active treatment cohort, 101 completed the open label extension study, including 31 of the patients in the severe itch population.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patients admitted to the active treatment cohort had a mean baseline WI-NRS score of 5.59 (recorded in 166 of the 167 patients admitted) and the mean WI-NRS score at week 24 of the patients who completed the study was 2.78, amounting to a reduction of 2.70. The severe itch population had a mean baseline WI-NRS score of 8.27 and the mean WI-NRS score at week 24 of the patients in the severe itch population who completed the study was 3.48, amounting to a reduction of 4.73.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patients admitted to the active treatment cohort had a mean baseline total Skindex-10 score of 27.63 (recorded in 166 of the 167 patients admitted) and the mean total Skindex-10 score at week 24 of the patients who completed the study was 16.61, amounting to a reduction of 10.56. The severe itch population had a mean baseline total Skindex-10 score of 40.29 and the mean total Skindex-10 score at week 24 of the patients in the severe itch population who completed the study was 18.58, amounting to a reduction of 19.97.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patients admitted to the active treatment cohort had a mean baseline IMOS Sleep Scale score of 48.50 (recorded in 165 of the 167 patients admitted) and the mean IMOS Sleep Scale score at week 24 of the patients who completed the study was 38.54, amounting to a reduction of 8.75. The severe itch population had a mean Sleep Scale score at week 24 of the patients in the severe itch population who completed the study was 43.47, amounting to a reduction of 18.42.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also assessed changes from baseline to week 24 in mean score for the depression-related questions of the Hospital Anxiety and Depression Scale, or HADS, which is a questionnaire-based 4-category numeric assessment scale ranging from 0 to 3 over 14 questions, with seven questions relating to anxiety and seven questions relating to depression. The patients admitted to the active treatment cohort had a mean baseline HADS depression subscale score of 6.03 (recorded in 165 of the 167 patients admitted) and the mean HADS depression subscale score at week 24 of the patients who completed the study was 4.78, amounting to a reduction of 1.15. The severe itch population had a mean baseline HADS depression subscale score of 6.80 and the mean HADS depression subscale score at week 24 of the patients in the severe itch population who completed the study was 4.77, amounting to a reduction of 1.71.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Safety observations in the extension study reflected the underlying severity of illness in the patients in the study, all of whom were on hemodialysis. Four deaths occurred during the study among the 184 enrolled patients. The primary causes of death in these four patients were: cardiac arrest, sudden death, myocardial infarction and hypertensive emergency and massive cerebral hemorrhage in the basal ganglia. The overall mortality rate, and incidence of cardiac deaths specifically, observed in the trial was consistent with the normal rates for this patient population. Among the 54 patients who reported one or more SAEs, three patients reported SAEs that were considered possibly related to study drug: one case of grade 2 gastritis that occurred in association with systemic inflammatory response syndrome; one case of grade 2 constipation that occurred in the setting of associated fluid overload; and one case of grade 2 headache that occurred in the setting of grade 2 hypotension. None of these patients died. Of the adverse effects that are commonly associated with the opiate drug class use (vertigo, constipation, nausea, vomiting, dizziness, somnolence and sedation), only nausea (occurring in 25.7% of patients) and vomiting (occurring in 19.8% of patients), occurred in greater than 10% of patients.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Other Ongoing Development Work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plan to conduct a human abuse liability study to further characterize the abuse potential of nalbuphine. We also anticipate conducting additional standard pharmacokinetics studies required for any NDA submission including studies in specific populations, cardiovascular safety, food effect and dose proportionality studies, and other studies as needed to support marketing applications for regulatory approval in the United States and Europe.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Competition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biopharmaceutical industry is intensely competitive and is subject to rapid and significant change. While we believe that our technology, knowledge, experience and scientific resources provide us with competitive advantages, we face potential competition from many sources, including major pharmaceutical, specialty pharmaceutical and biotechnology companies. If we are able to successfully develop and commercialize Haduvio, it would compete with existing therapies and new therapies that may become available in the future.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Chronic Pruritus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developing Haduvio for the treatment of pruritus associated with prurigo nodularis. Currently, there are no products approved in the United States or Europe for the treatment of pruritus associated with prurigo nodularis, however there are many products that are used to help manage pruritus associated with prurigo nodularis with which we expect that Haduvio would compete if it is approved in this indication. If Haduvio is approved for the treatment of pruritus associated with prurigo nodularis, we expect that it would compete with a number of therapeutics that are used off-label to treat prurigo nodularis, including anti-itch creams and emollients as well as oral or injectable antihistamines. All of these products have limited degrees of efficacy and are available generically. Additionally, patients may try several other agents such as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generally with limited success. We also expect that Haduvio might compete with product candidates currently in clinical development in this indication, including nemolizumab, an anti-interleukin-31 receptor; a humanized monoclonal antibody being developed by Galderma; KPL-716, a monoclonal antibody targeting oncostatin M receptor beta being developed by Kiniksa Pharmaceuticals;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pruritus associated with prurigo nodularis could face competition from these product candidates, including tradipitant, an oral neurokinin-1 receptor antagonist that was in Phase 3 development by Vanda Pharmaceuticals but which is currently on hold.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Chronic Cough in Idiopathic Pulmonary Fibrosis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Haduvio is approved for the treatment of chronic cough associated with IPF, we expect that it would compete with product candidates currently in clinical development for the treatment of chronic cough associated with IPF, such as ifenprodil, which is being developed by Algernon Pharmaceuticals, and orvepitant which is being developed by Nerre Therapeutics, and expect that it might also compete with other product candidates currently in development or submitted for approval to the FDA for the treatment of chronic refractory cough and unexplained chronic cough by companies including Merck, Shionogi, Bellus Health and Bayer. In addition, it is possible that product candidates currently in development for the treatment of IPF could, if approved, reduce the need for therapies to treat chronic cough associated with IPF.</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Levodopa-Induced Dyskinesia in Parkinson’s Disease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is approved for the treatment of LID in patients with Parkinson’s disease, we expect that it would compete with Gocovri and Osmolex, which are extended release capsule formulations of amantadine marketed by Adamas Pharmaceuticals,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of our competitors and potential competitors, either alone or with their strategic partners, have substantially greater financial, technical and human resources and significantly greater experience in the discovery and development of product candidates, obtaining FDA and other regulatory approvals of products and commercializing products than we do.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enrolling patients for clinical trials,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that Haduvio,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commercial opportunity could be reduced or eliminated if our competitors develop and commercialize products that are safer, more effective, have fewer or less severe side effects, are more convenient or are less expensive than Haduvio. Our competitors also may obtain FDA or other regulatory approval for their products more rapidly than we may obtain approval for Haduvio, which could result in our competitors establishing a strong market position before we are able to enter the market.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License Agreements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Exclusive License Agreement with Endo Pharmaceuticals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May 2011, we entered into an agreement with Penwest (subsequently merged into its parent, Endo Pharmaceuticals Inc., or Endo) for an exclusive, worldwide, sublicenseable license under certain patent rights and know-how controlled by Penwest to develop and commercialize products incorporating nalbuphine hydrochloride in any formulation, including an extended release formulation such as Haduvio, in all fields and for any use.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license agreement, we paid Penwest a non-creditable, non-refundable upfront license fee of $25,000. We may also become obligated to make milestone payments to Endo of $250,000, which would become due upon the successful completion of the first Phase 3 clinical trial of a licensed product candidate, such as our Phase 2b/3 PRISM trial, and $750,000, which would become due upon the marketing approval of a licensed product in the United States, and to pay mid-single-digit royalties based on net sales of the licensed products by us, our affiliates and sublicensees. In addition, we are obligated to pay Endo a low-to-mid double-digit percentage of certain income we receive from sublicensees, based on the date of the definitive agreement under which the sublicense was granted.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agreement, we have granted Endo a non-exclusive, royalty-free (except for pass-through payments to third parties), sublicenseable license under our relevant patent rights, to use any improvement we make to Endo’s controlled release technology, for any product other than the products under which we are licensed by Endo.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Both we and Endo have the right to terminate the agreement if the other party materially breaches the agreement and fails to cure the breach within specified cure periods. Endo also has the right to terminate in the event we undergo specified bankruptcy, insolvency or liquidation events, and we have the right to terminate the agreement for our convenience at any time on 180 days’ notice to Endo.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will be revoked.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Upon termination of the agreement, we must transfer to Endo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 circumstances, we will be deemed to have granted Endo a perpetual, royalty-free (except for pass-through payments to third parties), worldwide, exclusive, sublicensable license, under any improvements we made to the licensed know-how, and any related patent rights we have, to manufacture and commercialize the licensed products.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Exclusive License Agreement with Rutgers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November 2018, we entered into an agreement with Rutgers, The State University of New Jersey, or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license agreement, we paid Rutgers a minimal upfront license issue fee and agreed to pay Rutgers a minimal annual license fee. We may become obligated to make milestone payments to Rutgers in the aggregate of up to $330,500 based on the achievement of certain clinical, regulatory and sales milestones. We have also agreed to pay Rutgers a low single-digit percentage of certain income we receive from sublicensees and to pay tiered low single-digit royalties based on net sales of licensed products by us, our affiliates and sublicensees.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us under the agreement shall become perpetual, fully paid-up, irrevocable and royalty-free in such country. The royalty is subject to reduction in certain circumstances.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agreement, Rutgers retains the right to practice under the patent rights for its own non-commercial educational and research purposes, including the right to provide the patent rights to governmental laboratories and to perform research for non-commercial purposes (provided such research is not sponsored by any for-profit entity), and to publish the research results.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Both we and Rutgers have the right to terminate the agreement upon a specified period of written notice if the other party breaches the agreement and fails to cure the breach within such specified cure period. Rutgers also has the right to terminate the agreement in the event we undergo specified bankruptcy, insolvency or liquidation events, and we have the right to terminate the agreement for our convenience at any time on 90 days’ written notice to Rutgers.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diligence and reporting obligations under the agreement that require us to use commercially reasonable efforts to commercialize at least one licensed product in one major market country. Rutgers has asserted that we are not in compliance with our diligence obligations under our license agreement and could seek to terminate the license agreement if we are unable to resolve the matter.</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if we do not meet certain clinical milestones within the specified time frames, we may extend the diligence period by making a payment of a low five-digit dollar amount to Rutgers. Thereafter, if we do not fulfill such clinical milestones within the specified time frames, Rutgers may terminate the agreement.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Manufacturing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currently contract with third parties for the supply of nalbuphine hydrochloride drug substance and the manufacture of Haduvio tablets for clinical trials and intend to do so for clinical and commercial supply in the future. We do not own or operate facilities for the production of clinical or commercial quantities of drug substance or drug product. We currently have no plans to build our own clinical or commercial scale manufacturing capabilities. Although we rely on contract manufacturers, we have personnel with experience to oversee our relationships with contract manufacturers.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Haduvio is manufactured from readily available starting materials using established, scalable processes that do not require any special equipment or technology. Nalbuphine hydrochloride drug substance is commercially available and manufactured at production scale. Haduvio tablets are currently manufactured at a scale sufficient for use in clinical trials. Process development work is also being planned.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believe that our current suppliers and manufacturers have the capacity to support commercial scale production of Haduvio,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could result in additional cost or delay.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Commercial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light of our stage of development, we have not yet established a marketing and sales organization. We have retained worldwide development and commercial rights for Haduvio. If Haduvio is approved by the FDA for any of our target indications, we intend to market and commercialize Haduvio in the United States by developing our own focused, specialty sales organization targeting the physicians specializing in such conditions. In the case of prurigo nodularis, we expect that we would target a subset of the dermatologists in the United States. For chronic cough related to IPF, we expect that we would target the pulmonologists who specialize in IPF, which is a subset of the pulmonologists practicing in the United States. For LID in patients with Parkinson’s disease, we expect that we would target the movement disorders specialists and high-volume neurologists in the United States. For markets outside of the United States, we expect to utilize a variety of types of collaboration, distribution and other marketing arrangements with one or more third parties to commercialize Haduvio.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Intellectual Property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commercial success depends in part on our ability to obtain and maintain proprietary protection for Haduvio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2020, we owned four U.S. patents, three foreign patents and multiple pending U.S. and foreign patent applications that include claims relating to methods of use of Haduvio. The issued patents expire between 2032 and 2033 and the patent applications, if issued as patents, would expire between 2032 and 2041.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we are party to an exclusive license agreement with Endo under which we have licensed patent rights and know-how to develop and commercialize products incorporating nalbuphine hydrochloride in any formulation, including Haduvio. As of December 31, 2020, the intellectual property in-licensed under this agreement included seven U.S. patents and four foreign patents, which include granted European patent rights that have been validated in various E.U. member states. The licensed patents from Endo include claims relating to the formulation of Haduvio. These patents expire between 2026 and 2029.</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under our exclusive license agreement with Rutgers, we have in-licensed three issued U.S. patents, one issued European patent, one Japanese patent and additional pending applications in the United States and Canada. These patents relate to the use of nalbuphine in various movement disorders, including LID. The U.S. patents expire in 2032 and the patents issuing from the pending applications, if granted, will expire in 2032. The Japanese and European patents expire in 2032.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own or exclusively license any composition of matter patents for Haduvio.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terms of individual patents depend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Similar provisions are available in the European Union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Haduvio or any future product candidate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Government Regulation and Product Approvals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Government authorities in the United States, at the federal, state and local levels, and in other countries and jurisdictions, including the European Union,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Approval and Regulation of Drugs in the United States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 applicant seeking approval to market and distribute a new drug in the United States generally must satisfactorily complete each of the following steps before the FDA will consider approving the product candidate: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preclinical testing including laboratory tests, animal studies and formulation studies, which must be performed in accordance with the FDA’s good laboratory practice, or GLP, regulations and standards;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completion of the manufacture, under current Good Manufacturing Practices, or cGMP, conditions, of the drug substance and drug product that the sponsor intends to use in human clinical trials along with required analytical and stability testing;</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submission to the FDA of an IND for human clinical testing, which must become effective before human clinical trials may begin;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approval by an independent institutional review board, or IRB, representing each clinical site before each clinical trial may be initiated;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performance of adequate and well-controlled human clinical trials to establish the safety, potency and purity of the product candidate for each proposed indication, in accordance with current good clinical practices, or GCP;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preparation and submission to the FDA of an NDA for a drug product which includes not only the results of the clinical trials, but also, detailed information on the chemistry of and manufacture and quality controls for the product candidate and proposed labelling for one or more proposed indication(s); </w:t>
            </w:r>
          </w:p>
        </w:tc>
      </w:tr>
    </w:tbl>
    <w:tbl>
      <w:tblPr>
        <w:tblW w:w="8245" w:type="dxa"/>
        <w:jc w:val="left"/>
        <w:tblInd w:w="0" w:type="dxa"/>
        <w:tblCellMar>
          <w:top w:w="0" w:type="dxa"/>
          <w:left w:w="0" w:type="dxa"/>
          <w:bottom w:w="0" w:type="dxa"/>
          <w:right w:w="0" w:type="dxa"/>
        </w:tblCellMar>
      </w:tblPr>
      <w:tblGrid>
        <w:gridCol w:w="60"/>
        <w:gridCol w:w="110"/>
        <w:gridCol w:w="80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0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review of the product candidate by an FDA advisory committee, where appropriate or if applicable;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satisfactory completion of any FDA audits of the non-clinical and clinical trial sites to assure compliance with GCPs and the integrity of clinical data in support of the NDA; </w:t>
            </w:r>
          </w:p>
        </w:tc>
      </w:tr>
    </w:tbl>
    <w:tbl>
      <w:tblPr>
        <w:tblW w:w="9070" w:type="dxa"/>
        <w:jc w:val="left"/>
        <w:tblInd w:w="0" w:type="dxa"/>
        <w:tblCellMar>
          <w:top w:w="0" w:type="dxa"/>
          <w:left w:w="0" w:type="dxa"/>
          <w:bottom w:w="0" w:type="dxa"/>
          <w:right w:w="0" w:type="dxa"/>
        </w:tblCellMar>
      </w:tblPr>
      <w:tblGrid>
        <w:gridCol w:w="60"/>
        <w:gridCol w:w="110"/>
        <w:gridCol w:w="89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9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payment of user fees and securing FDA approval of the NDA to allow marketing of the new drug product;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compliance with any post-approval requirements, including the potential requirement to implement a Risk Evaluation and Mitigation Strategy, or REMS and the potential requirement to conduct any post-approval studies required by the FDA.</w:t>
            </w:r>
          </w:p>
        </w:tc>
      </w:tr>
    </w:tbl>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Preclinical Studies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Before an applicant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The IND and IRB Processes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sponsor may choose, but is not required, to conduct a foreign clinical study under an IND. When a foreign clinical study is conducted under an IND, all IND requirements must be met unless waived by the FDA.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subjects.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Additionally, some trials are overseen by an independent group of qualified experts organized by the trial sponsor, known as a data safety monitoring board, or DSMB. This group provides authorization as to whether or not a trial may move forward at designated checkpoints based on review of available data from the study, to which only the DSMB maintains access. Suspension or termination of development during any phase of a clinical trial can occur if the DSMB determines that the participants or patients are being exposed to an unacceptable health risk. Other reasons for suspension or termination may be made by us based on evolving business objectives and/or competitive climate.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Information about clinical trials must be submitted within specific timeframes to the National Institutes of Health, or NIH, for public dissemination on its ClinicalTrials.gov website.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Expanded Access to an Investigational Drug for Treatment Use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is no obligation for a sponsor to make its drug products available for expanded access; however, as required by the 21st Century Cures Act , or Cures Act, passed in 2016, if a sponsor has a policy regarding how it responds to expanded access requests, it must make that policy publicly available.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Human Clinical Trials in Support of an NDA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Human clinical trials are typically conducted in three sequential phases, but the phases may overlap or be combined. Additional studies may also be required after approval.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Phase 1 </w:t>
      </w:r>
      <w:r>
        <w:rPr>
          <w:rFonts w:ascii="Times New Roman" w:hAnsi="Times New Roman"/>
          <w:b w:val="false"/>
          <w:i w:val="false"/>
          <w:caps w:val="false"/>
          <w:smallCaps w:val="false"/>
          <w:color w:val="000000"/>
          <w:sz w:val="20"/>
        </w:rPr>
        <w:t xml:space="preserve">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product candidate’s pharmacokinetics and pharmacological effects may be obtained to permit the design of well-controlled and scientifically valid Phase 2 clinical trials.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Phase 2 </w:t>
      </w:r>
      <w:r>
        <w:rPr>
          <w:rFonts w:ascii="Times New Roman" w:hAnsi="Times New Roman"/>
          <w:b w:val="false"/>
          <w:i w:val="false"/>
          <w:caps w:val="false"/>
          <w:smallCaps w:val="false"/>
          <w:color w:val="000000"/>
          <w:sz w:val="20"/>
        </w:rPr>
        <w:t xml:space="preserve">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well-controlled and closely monitored.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Phase 3 </w:t>
      </w:r>
      <w:r>
        <w:rPr>
          <w:rFonts w:ascii="Times New Roman" w:hAnsi="Times New Roman"/>
          <w:b w:val="false"/>
          <w:i w:val="false"/>
          <w:caps w:val="false"/>
          <w:smallCaps w:val="false"/>
          <w:color w:val="000000"/>
          <w:sz w:val="20"/>
        </w:rPr>
        <w:t>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w:t>
      </w:r>
      <w:r>
        <w:rPr>
          <w:rFonts w:ascii="Times New Roman" w:hAnsi="Times New Roman"/>
          <w:b w:val="false"/>
          <w:i/>
          <w:caps w:val="false"/>
          <w:smallCaps w:val="false"/>
          <w:color w:val="000000"/>
          <w:sz w:val="20"/>
        </w:rPr>
        <w:t xml:space="preserve"> </w:t>
      </w:r>
      <w:r>
        <w:rPr>
          <w:rFonts w:ascii="Times New Roman" w:hAnsi="Times New Roman"/>
          <w:b w:val="false"/>
          <w:i w:val="false"/>
          <w:caps w:val="false"/>
          <w:smallCaps w:val="false"/>
          <w:color w:val="000000"/>
          <w:sz w:val="20"/>
        </w:rPr>
        <w:t xml:space="preserve">to approve, and, if approved, how to appropriately label a drug. Such Phase 3 clinical trials are referred to as “pivotal” trials.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hAnsi="Times New Roman"/>
          <w:b w:val="false"/>
          <w:i/>
          <w:caps w:val="false"/>
          <w:smallCaps w:val="false"/>
          <w:color w:val="000000"/>
          <w:sz w:val="20"/>
        </w:rPr>
        <w:t>in vitro</w:t>
      </w:r>
      <w:r>
        <w:rPr>
          <w:rFonts w:ascii="Times New Roman" w:hAnsi="Times New Roman"/>
          <w:b w:val="false"/>
          <w:i w:val="false"/>
          <w:caps w:val="false"/>
          <w:smallCaps w:val="false"/>
          <w:color w:val="000000"/>
          <w:sz w:val="20"/>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Pediatric Studies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agreed plan, which may include a request for deferral or waiver of PREA requirements, is a requirement for submission of an NDA. The FDA or the applicant may request an amendment to the plan at any time.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 investigational products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or FDASIA. The FDA maintains a list of diseases that are exempt from PREA requirements due to low prevalence of disease in the pediatric population. In 2017, with passage of the FDA Reauthorization Act of 2017, or FDARA, Congress further modified these provisions. Previously, drugs that had been granted orphan drug designation were exempt from the requirements of the Pediatric Research Equity Act.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Submission and Review of an NDA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order to obtain approval to market a drug product in the United States, a marketing application must be submitted to the FDA that provides sufficient data establishing the safety, purity and potency of the product candidate for its intended indication. The 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2021 is $2,875,842 for an application requiring clinical data. The sponsor of an approved NDA is also subject to an annual program fee, which for fiscal year 2021 is $336,432. Certain exceptions and waivers are available for some of these fees, such as a waiver for certain small businesses. </w:t>
      </w:r>
    </w:p>
    <w:p>
      <w:pPr>
        <w:pStyle w:val="TextBody"/>
        <w:spacing w:lineRule="auto" w:line="288"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Following submission of an NDA, the FDA conducts a preliminary review of the application generally within 60 calendar days of its receipt and strives to inform the sponsor by the 74th day after the FDA’s receipt of the submission whether the application is sufficiently complete to permit substantive review. The FDA may request additional information rather than accept the application for filing. In this event, the application must be resubmitted with the requested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Expedited Review Programs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is authorized to expedite the review of NDAs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Breakthrough therapy designation. </w:t>
      </w:r>
      <w:r>
        <w:rPr>
          <w:rFonts w:ascii="Times New Roman" w:hAnsi="Times New Roman"/>
          <w:b w:val="false"/>
          <w:i w:val="false"/>
          <w:caps w:val="false"/>
          <w:smallCaps w:val="false"/>
          <w:color w:val="000000"/>
          <w:sz w:val="20"/>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Priority review. </w:t>
      </w:r>
      <w:r>
        <w:rPr>
          <w:rFonts w:ascii="Times New Roman" w:hAnsi="Times New Roman"/>
          <w:b w:val="false"/>
          <w:i w:val="false"/>
          <w:caps w:val="false"/>
          <w:smallCaps w:val="false"/>
          <w:color w:val="000000"/>
          <w:sz w:val="20"/>
        </w:rPr>
        <w:t>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Accelerated approval. </w:t>
      </w:r>
      <w:r>
        <w:rPr>
          <w:rFonts w:ascii="Times New Roman" w:hAnsi="Times New Roman"/>
          <w:b w:val="false"/>
          <w:i w:val="false"/>
          <w:caps w:val="false"/>
          <w:smallCaps w:val="false"/>
          <w:color w:val="000000"/>
          <w:sz w:val="20"/>
        </w:rPr>
        <w:t>Drug or 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Regenerative advanced therapy. </w:t>
      </w:r>
      <w:r>
        <w:rPr>
          <w:rFonts w:ascii="Times New Roman" w:hAnsi="Times New Roman"/>
          <w:b w:val="false"/>
          <w:i w:val="false"/>
          <w:caps w:val="false"/>
          <w:smallCaps w:val="false"/>
          <w:color w:val="000000"/>
          <w:sz w:val="20"/>
        </w:rPr>
        <w:t xml:space="preserve">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 of these expedited programs change the standards for approval but they may help expedite the development or approval process of product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The FDA’s Decision on an NDA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the basis of the FDA’s evaluation of an NDA and accompanying information, including the results of the inspection of the manufacturing facilities, the FDA may issue an approval letter or a complete response letter, or CRL. An approval letter authorizes commercial marketing of the product with specific prescribing information for specific indications. 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the FDA approves a new product, it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Post-Approval Regulation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the marketing or manufacturing of the product, complete withdrawal of the product from the market or product recalls; </w:t>
            </w:r>
          </w:p>
        </w:tc>
      </w:tr>
    </w:tbl>
    <w:tbl>
      <w:tblPr>
        <w:tblW w:w="5215" w:type="dxa"/>
        <w:jc w:val="left"/>
        <w:tblInd w:w="0" w:type="dxa"/>
        <w:tblCellMar>
          <w:top w:w="0" w:type="dxa"/>
          <w:left w:w="0" w:type="dxa"/>
          <w:bottom w:w="0" w:type="dxa"/>
          <w:right w:w="0" w:type="dxa"/>
        </w:tblCellMar>
      </w:tblPr>
      <w:tblGrid>
        <w:gridCol w:w="60"/>
        <w:gridCol w:w="110"/>
        <w:gridCol w:w="50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0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fines, warning letters or holds on post-approval clinical trials;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refusal of the FDA to approve pending applications or supplements to approved applications, or suspension or revocation of product license approvals; </w:t>
            </w:r>
          </w:p>
        </w:tc>
      </w:tr>
    </w:tbl>
    <w:tbl>
      <w:tblPr>
        <w:tblW w:w="7030" w:type="dxa"/>
        <w:jc w:val="left"/>
        <w:tblInd w:w="0" w:type="dxa"/>
        <w:tblCellMar>
          <w:top w:w="0" w:type="dxa"/>
          <w:left w:w="0" w:type="dxa"/>
          <w:bottom w:w="0" w:type="dxa"/>
          <w:right w:w="0" w:type="dxa"/>
        </w:tblCellMar>
      </w:tblPr>
      <w:tblGrid>
        <w:gridCol w:w="60"/>
        <w:gridCol w:w="110"/>
        <w:gridCol w:w="68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8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product seizure or detention, or refusal to permit the import or export of products; or </w:t>
            </w:r>
          </w:p>
        </w:tc>
      </w:tr>
    </w:tbl>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8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injunctions or the imposition of civil or criminal penalties.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Section 505(b)(2) NDAs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Thus, Section 505(b)(2) authorizes the FDA to approve an NDA based on safety and effectiveness data that were not developed by or for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Abbreviated New Drug Applications for Generic Drugs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Hatch-Waxman Act, the FDA may not approve an ANDA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Hatch-Waxman Act Patent Certification and the 30-Month Stay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Specifically, the applicant must certify with respect to each patent that: </w:t>
      </w:r>
    </w:p>
    <w:tbl>
      <w:tblPr>
        <w:tblW w:w="4315" w:type="dxa"/>
        <w:jc w:val="left"/>
        <w:tblInd w:w="0" w:type="dxa"/>
        <w:tblCellMar>
          <w:top w:w="0" w:type="dxa"/>
          <w:left w:w="0" w:type="dxa"/>
          <w:bottom w:w="0" w:type="dxa"/>
          <w:right w:w="0" w:type="dxa"/>
        </w:tblCellMar>
      </w:tblPr>
      <w:tblGrid>
        <w:gridCol w:w="60"/>
        <w:gridCol w:w="110"/>
        <w:gridCol w:w="41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1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required patent information has not been filed; </w:t>
            </w:r>
          </w:p>
        </w:tc>
      </w:tr>
    </w:tbl>
    <w:tbl>
      <w:tblPr>
        <w:tblW w:w="2575" w:type="dxa"/>
        <w:jc w:val="left"/>
        <w:tblInd w:w="0" w:type="dxa"/>
        <w:tblCellMar>
          <w:top w:w="0" w:type="dxa"/>
          <w:left w:w="0" w:type="dxa"/>
          <w:bottom w:w="0" w:type="dxa"/>
          <w:right w:w="0" w:type="dxa"/>
        </w:tblCellMar>
      </w:tblPr>
      <w:tblGrid>
        <w:gridCol w:w="60"/>
        <w:gridCol w:w="110"/>
        <w:gridCol w:w="24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4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listed patent has expired; </w:t>
            </w:r>
          </w:p>
        </w:tc>
      </w:tr>
    </w:tbl>
    <w:tbl>
      <w:tblPr>
        <w:tblW w:w="9715" w:type="dxa"/>
        <w:jc w:val="left"/>
        <w:tblInd w:w="0" w:type="dxa"/>
        <w:tblCellMar>
          <w:top w:w="0" w:type="dxa"/>
          <w:left w:w="0" w:type="dxa"/>
          <w:bottom w:w="0" w:type="dxa"/>
          <w:right w:w="0" w:type="dxa"/>
        </w:tblCellMar>
      </w:tblPr>
      <w:tblGrid>
        <w:gridCol w:w="60"/>
        <w:gridCol w:w="110"/>
        <w:gridCol w:w="95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5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listed patent has not expired, but will expire on a particular date and approval is sought after patent expiration; or </w:t>
            </w:r>
          </w:p>
        </w:tc>
      </w:tr>
    </w:tbl>
    <w:tbl>
      <w:tblPr>
        <w:tblW w:w="7345" w:type="dxa"/>
        <w:jc w:val="left"/>
        <w:tblInd w:w="0" w:type="dxa"/>
        <w:tblCellMar>
          <w:top w:w="0" w:type="dxa"/>
          <w:left w:w="0" w:type="dxa"/>
          <w:bottom w:w="0" w:type="dxa"/>
          <w:right w:w="0" w:type="dxa"/>
        </w:tblCellMar>
      </w:tblPr>
      <w:tblGrid>
        <w:gridCol w:w="60"/>
        <w:gridCol w:w="110"/>
        <w:gridCol w:w="71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1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listed patent is invalid, is unenforceable or will not be infringed by the new product.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applicant is not seeking approval).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earliest of 30 months after the receipt of the Paragraph IV notice, expiration of the patent and a decision in the infringement case that is favorable to the ANDA applicant.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earliest of 30 months, settlement of the lawsuit and a decision in the infringement case that is favorable to the Section 505(b)(2) applicant.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Pediatric Exclusivity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Pediatric exclusivity is a type of non-patent marketing exclusivity in the United States and, if granted, provides for the attachment of an additional six months of marketing protection to the term of any existing regulatory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a similar product.</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Patent Term Restoration and Extension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Health Care Law and Regulation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Restrictions under applicable federal and state health care laws and regulations, include 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the Foreign Corrupt Practices Act, or FCPA, which prohibits companies and their intermediaries from making, or offering or promising to make, improper payments to non-U.S. officials for the purpose of obtaining or retaining business or otherwise seeking favorable treatment; and the federal transparency requirements known as the federal Physician Payments Sunshine Act,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Pharmaceutical Insurance Coverage and Health Care Reform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March 2010, the United States Congress enacted the ACA, which, among other things, includes changes to the coverage and payment for drug products under government health care programs.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DOJ’s support for this lawsuit.  A ruling by the Court is expected sometime this year. Litigation and legislation over the ACA are likely to continue, with unpredictable and uncertain results.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costs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five executive orders intended to lower the costs of prescription drug products but it is unclear whether, and to what extent, these orders will remain in force under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Review and Approval of Medicinal Products in the European Union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European Union.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Clinical Trial Approval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Clinical Trials Directive 2001/20/EC, the Directive 2005/28/EC on Good Clinical Practice, or GCP, and the related national implementing provisions of the individual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April 2014, the new Clinical Trials Regulation, (EU) No 536/2014, or the Clinical Trials Regulation, was adopted. The Clinical Trial Regulation will be directly applicable in all the EU member states, repealing the current Clinical Trials Directive 2001/20/EC and replacing any national legislation that was put in place to implement the Directive.  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or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  In January 2020, the website of the European Commission reported that the implementation of the new Clinical Trials Regulation was dependent on the development of a fully functional clinical trials portal and database, which would be confirmed by an independent audit which was conducted in December 2020, and that the new legislation would come into effect six months after the European Commission publishes a notice of this confirmation. The Clinical Trials Regulation becomes applicable six months after the European Commission publishes notice of this confirmation and has published an expected system “go live” in December 2021.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in the United States, similar requirements for posting clinical trial information are present in the European Union (EudraCT) website: https://eudract.ema.europa.eu/ and other countries.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PRIME Designation in the European Union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Marketing Authorization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To obtain a marketing authorization for a product under E.U. regulatory systems, an applicant must submit an MAA either under a centralized procedure administered by the EMA or one of the procedures administered by competent authorities in the E.U. Member States (either a decentralized procedure, national procedure or mutual recognition procedure). A marketing authorization may be granted only to an applicant established in the European Union.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(i) a product-specific waiver, (ii) a class waiver or (iii) a deferral for one or more of the measures included in the PIP.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centralized procedure provides for the grant of a single marketing authorization by the European Commission that is valid across the European Economic Area (i.e. the European Union,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also be used in certain other cases at the request of the applicant. We anticipate that the centralized procedure will be mandatory for the product candidates we are developing.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centralized procedure,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European Union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European Commission may grant a so-called “marketing authorization under exceptional circumstances”. Such authorization is intended for products for which the applicant can demonstrate that it is unable to provide comprehensive data on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applicant must complete an identified program of studies within a time period specified by the competent authority, the results of which form the basis of a reassessment of the benefit/risk profile;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medicinal product in question may be supplied on medical prescription only and may in certain cases be administered only under strict medical supervision, possibly in a hospital and in the case of a radiopharmaceutical, by an authorized person;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package leaflet and any medical information must draw the attention of the medical practitioner to the fact that the particulars available concerning the medicinal product in question are as yet inadequate in certain specified respects.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Regulatory Data Protection in the European Union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Patent Term Extensions in the European Union and Other Jurisdictions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Periods of Authorization and Renewals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Pediatric Studies and Exclusivity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a company actually complied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Regulatory Requirements after a Marketing Authorization has been Obtained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case an authorization for a medicinal product in the European Union is obtained, the holder of the marketing authorization is required to comply with a range of requirements applicable to the manufacturing, marketing, promotion and sale of medicinal products. These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Compliance with the European Union’s stringent pharmacovigilance or safety reporting rules must be ensured. These rules can impose post-authorization studies and additional monitoring obligations.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European Union with the intention to import the active pharmaceutical ingredients into the European Union.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 Direct-to-consumer advertising of prescription medicines is prohibited across the European Union. </w:t>
            </w:r>
          </w:p>
        </w:tc>
      </w:tr>
    </w:tbl>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Brexit and the Regulatory Framework in the United Kingdom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June 23, 2016, the electorate in the United Kingdom voted in favor of leaving the EU, commonly referred to as Brexit. Following protracted negotiations, the United Kingdom left the EU on January 31, 2020. Under the withdrawal agreement, there is a transitional period until December 31, 2020 (extendable by up to two years). On December 24, 2020, the United Kingdom and the European Union entered into a Trade and Cooperation Agreement. The agreement sets out certain procedures for approval and recognition of medical products in each jurisdiction.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UK, as the UK legislation now has the potential to diverge from EU legislation. It remains to be seen how Brexit will impact regulatory requirements for product candidates and products in the UK in the long-term. The MHRA has recently published detailed guidance for industry and organizations to follow from January 1, 2021 now that the transition period is over, which will be updated as the UK’s regulatory position on medicinal products evolves over time.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Furthermore, while the Data Protection Act of 2018 in the United Kingdom that “implements” and complements the EU General Data Protection Regulation, or GDPR, is now effective in the United Kingdom, it is still unclear whether transfer of data from the EEA to the United Kingdom will remain lawful under GDPR. The Trade and Cooperation Agreement provides for a transitional period during which the United Kingdom will be treated like an EU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 The United Kingdom has already determined that it considers all of the European Union and EEA member states to be adequate for the purposes of data protection, ensuring that data flows from the United Kingdom to the European Union and EEA remain unaffected.  We may, however, incur liabilities, expenses, costs, and other operational losses under GDPR and applicable EU Member States and the United Kingdom privacy laws in connection with any measures we take to comply with them.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General Data Protection Regulation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collection, use, disclosure, transfer or other processing of personal data of individuals in the European Union, including personal health data, is governed by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Compliance with the GDPR will be a rigorous and time-intensive process that may increase our cost of doing business.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Pricing Decisions for Approved Products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 care expenditures, especially in light of the severe fiscal and debt crises experienced by many countries in the European Union.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Employees and Human Capital Resources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2020, we had 22 employees, with 14 employees engaged in research and development and the remaining 8 engaged in general management and administration, including finance and facilities. None of our employees are represented by labor unions or covered by collective bargaining agreements. We believe that we maintain good relations with our employees.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ways that are aligned with the interests of our stockholders. We value our employees and regularly benchmark total rewards we provide, such as short and long term compensation, 401(k) contributions, health, welfare and quality of life benefits, paid time off and personal leave, against our industry peers to ensure we remain competitive and attractive to potential new hires.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Our Corporate Information </w:t>
      </w:r>
    </w:p>
    <w:p>
      <w:pPr>
        <w:pStyle w:val="TextBody"/>
        <w:spacing w:lineRule="auto" w:line="288"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were incorporated under the laws of the State of Delaware on March 17, 2011 under the name Trevi Therapeutics, Inc. Our principal executive offices are located at 195 Church Street, 14th Floor, New Haven, Connecticut 06510, and our telephone number is (203) 304-2499. Our website address is www.trevitherapeutics.com. The information contained on, or that can be accessed through, our website is not a part of this Annual Report on Form 10-K. We have included our website address in this Annual Report on Form 10-K solely as an inactive textual reference.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360" w:after="0"/>
        <w:rPr>
          <w:rFonts w:ascii="Times New Roman" w:hAnsi="Times New Roman"/>
          <w:b/>
          <w:i w:val="false"/>
          <w:caps w:val="false"/>
          <w:smallCaps w:val="false"/>
          <w:color w:val="000000"/>
          <w:sz w:val="20"/>
        </w:rPr>
      </w:pPr>
      <w:bookmarkStart w:id="7" w:name="ITEM_1A_RISK_FACTORS"/>
      <w:bookmarkEnd w:id="7"/>
      <w:r>
        <w:rPr>
          <w:rFonts w:ascii="Times New Roman" w:hAnsi="Times New Roman"/>
          <w:b/>
          <w:i w:val="false"/>
          <w:caps w:val="false"/>
          <w:smallCaps w:val="false"/>
          <w:color w:val="000000"/>
          <w:sz w:val="20"/>
        </w:rPr>
        <w:t xml:space="preserve">Item 1A. Risk Factors. </w:t>
      </w:r>
    </w:p>
    <w:p>
      <w:pPr>
        <w:pStyle w:val="TextBody"/>
        <w:spacing w:before="120" w:after="0"/>
        <w:rPr>
          <w:rFonts w:ascii="Times New Roman" w:hAnsi="Times New Roman"/>
          <w:b w:val="false"/>
          <w:i/>
          <w:caps w:val="false"/>
          <w:smallCaps w:val="false"/>
          <w:color w:val="000000"/>
          <w:sz w:val="20"/>
        </w:rPr>
      </w:pPr>
      <w:bookmarkStart w:id="8" w:name="_Hlk63248329"/>
      <w:bookmarkEnd w:id="8"/>
      <w:r>
        <w:rPr>
          <w:rFonts w:ascii="Times New Roman" w:hAnsi="Times New Roman"/>
          <w:b w:val="false"/>
          <w:i/>
          <w:caps w:val="false"/>
          <w:smallCaps w:val="false"/>
          <w:color w:val="000000"/>
          <w:sz w:val="20"/>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spacing w:before="360" w:after="0"/>
        <w:rPr>
          <w:rFonts w:ascii="Times New Roman" w:hAnsi="Times New Roman"/>
          <w:b/>
          <w:i w:val="false"/>
          <w:caps w:val="false"/>
          <w:smallCaps w:val="false"/>
          <w:color w:val="000000"/>
          <w:sz w:val="20"/>
        </w:rPr>
      </w:pPr>
      <w:bookmarkStart w:id="9" w:name="_cp_text_1_185"/>
      <w:bookmarkEnd w:id="9"/>
      <w:r>
        <w:rPr>
          <w:rFonts w:ascii="Times New Roman" w:hAnsi="Times New Roman"/>
          <w:b/>
          <w:i w:val="false"/>
          <w:caps w:val="false"/>
          <w:smallCaps w:val="false"/>
          <w:color w:val="000000"/>
          <w:sz w:val="20"/>
        </w:rPr>
        <w:t>Risks Related to Our Business Operations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face risks related to health epidemics and other widespread outbreaks of contagious disease, including the novel coronavirus pandemic, or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this pandemic has caused substantial disruption in the financial markets and economies worldwide, which could result in adverse effects on our business and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Significant outbreaks of contagious diseases, such as the COVID-19 pandemic, and other adverse public health developments, could have a material impact on our business operations and operating results.  </w:t>
      </w:r>
    </w:p>
    <w:p>
      <w:pPr>
        <w:pStyle w:val="TextBody"/>
        <w:spacing w:before="240" w:after="0"/>
        <w:rPr>
          <w:rFonts w:ascii="Times New Roman" w:hAnsi="Times New Roman"/>
          <w:b w:val="false"/>
          <w:i w:val="false"/>
          <w:caps w:val="false"/>
          <w:smallCaps w:val="false"/>
          <w:color w:val="000000"/>
          <w:sz w:val="20"/>
        </w:rPr>
      </w:pPr>
      <w:bookmarkStart w:id="10" w:name="_cp_text_4_2041"/>
      <w:bookmarkStart w:id="11" w:name="_cp_text_1_2031"/>
      <w:bookmarkStart w:id="12" w:name="_cp_text_4_2021"/>
      <w:bookmarkStart w:id="13" w:name="_cp_text_1_2011"/>
      <w:bookmarkEnd w:id="10"/>
      <w:bookmarkEnd w:id="11"/>
      <w:bookmarkEnd w:id="12"/>
      <w:bookmarkEnd w:id="13"/>
      <w:r>
        <w:rPr>
          <w:rFonts w:ascii="Times New Roman" w:hAnsi="Times New Roman"/>
          <w:b w:val="false"/>
          <w:i w:val="false"/>
          <w:caps w:val="false"/>
          <w:smallCaps w:val="false"/>
          <w:color w:val="000000"/>
          <w:sz w:val="20"/>
        </w:rPr>
        <w:t>The COVID-19 pandemic</w:t>
      </w:r>
      <w:bookmarkStart w:id="14" w:name="_cp_text_1_201"/>
      <w:bookmarkEnd w:id="14"/>
      <w:r>
        <w:rPr>
          <w:rFonts w:ascii="Times New Roman" w:hAnsi="Times New Roman"/>
          <w:b w:val="false"/>
          <w:i w:val="false"/>
          <w:caps w:val="false"/>
          <w:smallCaps w:val="false"/>
          <w:color w:val="000000"/>
          <w:sz w:val="20"/>
        </w:rPr>
        <w:t xml:space="preserve">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w:t>
      </w:r>
      <w:bookmarkStart w:id="15" w:name="_cp_text_4_202"/>
      <w:bookmarkEnd w:id="15"/>
      <w:r>
        <w:rPr>
          <w:rFonts w:ascii="Times New Roman" w:hAnsi="Times New Roman"/>
          <w:b w:val="false"/>
          <w:i w:val="false"/>
          <w:caps w:val="false"/>
          <w:smallCaps w:val="false"/>
          <w:color w:val="000000"/>
          <w:sz w:val="20"/>
        </w:rPr>
        <w:t xml:space="preserve">. For example, in our ongoing </w:t>
      </w:r>
      <w:bookmarkStart w:id="16" w:name="_cp_text_1_203"/>
      <w:bookmarkEnd w:id="16"/>
      <w:r>
        <w:rPr>
          <w:rFonts w:ascii="Times New Roman" w:hAnsi="Times New Roman"/>
          <w:b w:val="false"/>
          <w:i w:val="false"/>
          <w:caps w:val="false"/>
          <w:smallCaps w:val="false"/>
          <w:color w:val="000000"/>
          <w:sz w:val="20"/>
        </w:rPr>
        <w:t>Phase 2b/3 trial of Haduvio for the treatment of pruritus associated with prurigo nodularis, which we refer to as our Phase 2b/3 PRISM trial, new patient screening and most enrollment was temporarily halted in March 2020 due to the COVID-19 pandemic. After resuming screening and enrollment, multiple sites in the Phase 2b/3 PRISM trial have begun requiring remote monitoring of patient data. We also experienced slower recruitment activities worldwide through the latter part of 2020 and the beginning of 2021 due to the resurgence of the COVID-19 pandemic. In addition, the clinical sites in our ongoing Phase 2 trial for chronic cough in patients with idiopathic pulmonary fibrosis, or IPF, which we refer to as the Phase 2 CANAL trial, suspended enrollment and treatment of patients in the trial due to the vulnerability of IPF patients to COVID-19 and as a result, we amended the protocol for the trial to reduce the number of in-person patient visits and procedures. While patient screening and enrollment for our Phase 2 CANAL trial resumed at certain clinical trial sites in the fourth quarter of 2020, all sites in the trial paused screening again in December 2020 in response to a shelter in place directive from the U.K. government. Once sites are able to resume screening, some sites may take longer to resume their trial activity</w:t>
      </w:r>
      <w:bookmarkStart w:id="17" w:name="_cp_text_4_204"/>
      <w:bookmarkEnd w:id="17"/>
      <w:r>
        <w:rPr>
          <w:rFonts w:ascii="Times New Roman" w:hAnsi="Times New Roman"/>
          <w:b w:val="false"/>
          <w:i w:val="false"/>
          <w:caps w:val="false"/>
          <w:smallCaps w:val="false"/>
          <w:color w:val="000000"/>
          <w:sz w:val="20"/>
        </w:rPr>
        <w:t xml:space="preserve"> due to increased COVID-19 infection rates in the areas where they are located, and we expect other sites may cease to participate in the trial entirely.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suspending all non-essential travel worldwide for our employees and discouraging employee attendance at industry events, each of which could negatively affect our business.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cannot presently predict the scope and severity of the disruptions we may experience or continue to experience as a result of the COVID-19 pandemic. If we or any of the third parties with whom we engage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Our Financial Position and Need for Additional Capital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have incurred significant losses since inception, expect to incur significant and increasing losses for the foreseeable future, and may never achieve or maintain profitability.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incurred significant annual net losses every year since our inception. We expect to continue to incur significant and increasing net losses for at least the next several years. Our net losses were $32.8 million and $26.1 million for the years ended December 31, 2020 and 2019, respectively. As of December 31, 2020, we had an accumulated deficit of $147.0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borrowings under our prior term loan facility, our initial public offering and concurrent private placement completed in May 2019, sales of our common stock pursuant to the ATM Sales Agreement we entered into in June 2020, which we refer to as the ATM Sales Agreement, and the term loan facility with Silicon Valley Bank that we entered into in August 2020, which we refer to as the SVB Term Loan.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to continue to incur significant expenses and increasing operating losses for the foreseeable future. We anticipate that our expenses will increase substantially if and as we: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0"/>
              </w:rPr>
              <w:t>continue to develop and conduct clinical trials of Haduvio, including our ongoing Phase 2b/3 PRISM trial and our ongoing Phase 2 CANAL trial;</w:t>
            </w:r>
            <w:r>
              <w:rPr>
                <w:rFonts w:ascii="Times New Roman" w:hAnsi="Times New Roman"/>
                <w:b w:val="false"/>
                <w:i w:val="false"/>
                <w:caps w:val="false"/>
                <w:smallCaps w:val="false"/>
                <w:color w:val="000000"/>
                <w:spacing w:val="0"/>
                <w:sz w:val="24"/>
              </w:rPr>
              <w: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significantly increase the number of subjects in the Phase 2b/3 PRISM trial to a total of 360 patients based on the sample size re-estimation, or SSRE, analysis;</w:t>
            </w:r>
          </w:p>
        </w:tc>
      </w:tr>
    </w:tbl>
    <w:tbl>
      <w:tblPr>
        <w:tblW w:w="4045" w:type="dxa"/>
        <w:jc w:val="left"/>
        <w:tblInd w:w="0" w:type="dxa"/>
        <w:tblCellMar>
          <w:top w:w="0" w:type="dxa"/>
          <w:left w:w="0" w:type="dxa"/>
          <w:bottom w:w="0" w:type="dxa"/>
          <w:right w:w="0" w:type="dxa"/>
        </w:tblCellMar>
      </w:tblPr>
      <w:tblGrid>
        <w:gridCol w:w="60"/>
        <w:gridCol w:w="110"/>
        <w:gridCol w:w="38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expand the Phase 2 CANAL trial into Germany;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complete other development work required for the filing of a new drug application, or NDA, with the U.S. Food and Drug Administration, or FDA, and the filing of a marketing authorization application, or MAA, with the European Medicines Agency, or EMA, for Haduvio for the treatment of pruritus associated with prurigo nodularis, including completing our Phase 2b/3 PRISM trial and at least one additional Phase 3 clinical trial in this indication;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seek regulatory and marketing approvals for Haduvio for the treatment of pruritus associated with prurigo nodularis or for other serious neurologically mediated conditions or for any future product candidate that successfully completes clinical trials, if any; </w:t>
            </w:r>
          </w:p>
        </w:tc>
      </w:tr>
    </w:tbl>
    <w:tbl>
      <w:tblPr>
        <w:tblW w:w="8185" w:type="dxa"/>
        <w:jc w:val="left"/>
        <w:tblInd w:w="0" w:type="dxa"/>
        <w:tblCellMar>
          <w:top w:w="0" w:type="dxa"/>
          <w:left w:w="0" w:type="dxa"/>
          <w:bottom w:w="0" w:type="dxa"/>
          <w:right w:w="0" w:type="dxa"/>
        </w:tblCellMar>
      </w:tblPr>
      <w:tblGrid>
        <w:gridCol w:w="60"/>
        <w:gridCol w:w="110"/>
        <w:gridCol w:w="80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0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negotiate and execute pediatric development plans and complete any post-approval commitments;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 sales, marketing, distribution and other commercial infrastructure to commercialize any products for which we may obtain marketing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 the manufacture of larger quantities of Haduvio or any future product candidate for clinical development and, potentially, commercialization; </w:t>
            </w:r>
          </w:p>
        </w:tc>
      </w:tr>
    </w:tbl>
    <w:tbl>
      <w:tblPr>
        <w:tblW w:w="6805" w:type="dxa"/>
        <w:jc w:val="left"/>
        <w:tblInd w:w="0" w:type="dxa"/>
        <w:tblCellMar>
          <w:top w:w="0" w:type="dxa"/>
          <w:left w:w="0" w:type="dxa"/>
          <w:bottom w:w="0" w:type="dxa"/>
          <w:right w:w="0" w:type="dxa"/>
        </w:tblCellMar>
      </w:tblPr>
      <w:tblGrid>
        <w:gridCol w:w="60"/>
        <w:gridCol w:w="110"/>
        <w:gridCol w:w="66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6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acquire or in-license rights to other potential product candidates or technologies; </w:t>
            </w:r>
          </w:p>
        </w:tc>
      </w:tr>
    </w:tbl>
    <w:tbl>
      <w:tblPr>
        <w:tblW w:w="8995" w:type="dxa"/>
        <w:jc w:val="left"/>
        <w:tblInd w:w="0" w:type="dxa"/>
        <w:tblCellMar>
          <w:top w:w="0" w:type="dxa"/>
          <w:left w:w="0" w:type="dxa"/>
          <w:bottom w:w="0" w:type="dxa"/>
          <w:right w:w="0" w:type="dxa"/>
        </w:tblCellMar>
      </w:tblPr>
      <w:tblGrid>
        <w:gridCol w:w="60"/>
        <w:gridCol w:w="110"/>
        <w:gridCol w:w="88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8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initiate and conduct research, preclinical and clinical development efforts for any future product candidates; </w:t>
            </w:r>
          </w:p>
        </w:tc>
      </w:tr>
    </w:tbl>
    <w:tbl>
      <w:tblPr>
        <w:tblW w:w="5455" w:type="dxa"/>
        <w:jc w:val="left"/>
        <w:tblInd w:w="0" w:type="dxa"/>
        <w:tblCellMar>
          <w:top w:w="0" w:type="dxa"/>
          <w:left w:w="0" w:type="dxa"/>
          <w:bottom w:w="0" w:type="dxa"/>
          <w:right w:w="0" w:type="dxa"/>
        </w:tblCellMar>
      </w:tblPr>
      <w:tblGrid>
        <w:gridCol w:w="60"/>
        <w:gridCol w:w="110"/>
        <w:gridCol w:w="52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2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maintain, expand and protect our intellectual property portfolio;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7435" w:type="dxa"/>
        <w:jc w:val="left"/>
        <w:tblInd w:w="0" w:type="dxa"/>
        <w:tblCellMar>
          <w:top w:w="0" w:type="dxa"/>
          <w:left w:w="0" w:type="dxa"/>
          <w:bottom w:w="0" w:type="dxa"/>
          <w:right w:w="0" w:type="dxa"/>
        </w:tblCellMar>
      </w:tblPr>
      <w:tblGrid>
        <w:gridCol w:w="60"/>
        <w:gridCol w:w="110"/>
        <w:gridCol w:w="72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2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hire and retain additional personnel, such as clinical, regulatory and scientific personnel;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add operational, financial and management information systems and personnel, including personnel to support our product development and commercialization efforts, and to help us comply with our obligations as a public company;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add equipment and physical infrastructure to support our development program for Haduvio and for any future product candidates.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we may incur additional expenses as a result of the COVID-19 pandemic and resulting clinical trial delays and interruptions. 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have a limited operating history and no products approved for commercial sale, which may make it difficult to evaluate the prospects for our future success and viability.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encounter unforeseen expenses, difficulties, complications, delays and other known or unknown factors in achieving our business objectives. If we are able to obtain marketing approval for Haduvio or any future product candidate, we will need to transition from a company focused on clinical development to a company capable of supporting commercial activities. We may not be successful in effectuating such a transition.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will need substantial additional funding, and if we are unable to raise sufficient capital when needed on acceptable terms, or at all, we could be forced to delay, reduce or abandon our product development programs or commercialization efforts.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2020 and 2019, we used net cash of $29.0 million and $23.1 million, respectively, in our operating activities, substantially all of which related to development activities for Haduvio. As of December 31, 2020, our cash and cash equivalents were $45.0 million. We expect our expenses to increase substantially in connection with our ongoing activities, particularly as we continue to develop and conduct clinical trials of Haduvio, including our ongoing Phase 2b/3 PRISM trial and the additional Phase 3 clinical trial we believe we will need to conduct for Haduvio for the treatment of pruritus associated with prurigo nodularis and our other ongoing clinical trials, acquire or in-license rights to other potential product candidates or technologies and seek regulatory and marketing approvals for Haduvio or any future product candidate that successfully completes clinical trials, if any. In addition, we may incur additional expenses as a result of the COVID-19 pandemic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plan to use our existing cash and cash equivalents to fund the development of Haduvio for the treatment of pruritus associated with prurigo nodularis and the treatment of chronic cough in patients with IPF and for working capital and other general corporate purposes. We will be required to expend significant funds in order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believe that our existing cash and cash equivalents will enable us to fund our operating expenses and capital expenditure requirements into the second quarter of 2022.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0"/>
              </w:rPr>
              <w:t>the scope, progress, timing, costs and results of clinical trials of Haduvio for the treatment of pruritus associated with prurigo nodularis, as well as the scope, progress, timing, costs and results of clinical trials of Haduvio for other serious neurologically mediated conditions,</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 xml:space="preserve">including our ongoing Phase 2 CANAL trial, as well as any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impacts of the COVID-19 pandemic on the scope, progress, timing, costs and results of our ongoing and planned clinical trials of Haduvio;</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number and characteristics of indications for which we seek to develop Haduvio or any future product candidates, and their respective development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outcome, timing and costs of clinical and nonclinical trials and of seeking regulatory approvals, including the costs of supportive clinical studies such as our planned human abuse liability, or HAL, study and our planned Thorough QT, or TQT, studies;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associated with the manufacture of necessary quantities of Haduvio or any future product candidate for clinical development in connection with regulatory submissions;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subject to receipt of marketing approvals, revenue, if any, received from commercial sales of Haduvio for the treatment of pruritus associated with prurigo nodularis or for any other serious neurologically mediated conditions or from any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extent to which we acquire or in-license rights to other potential product candidates or technologies, and the terms and timing of any such acquisition or licensing arrangements;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headcount growth and associated costs as we expand our research and development activities and establish a commercial infrastructure;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of preparing, filing and prosecuting patent applications, maintaining, expanding and protecting our intellectual property rights and defending against intellectual property-related claims; </w:t>
            </w:r>
          </w:p>
        </w:tc>
      </w:tr>
    </w:tbl>
    <w:tbl>
      <w:tblPr>
        <w:tblW w:w="5395" w:type="dxa"/>
        <w:jc w:val="left"/>
        <w:tblInd w:w="0" w:type="dxa"/>
        <w:tblCellMar>
          <w:top w:w="0" w:type="dxa"/>
          <w:left w:w="0" w:type="dxa"/>
          <w:bottom w:w="0" w:type="dxa"/>
          <w:right w:w="0" w:type="dxa"/>
        </w:tblCellMar>
      </w:tblPr>
      <w:tblGrid>
        <w:gridCol w:w="60"/>
        <w:gridCol w:w="110"/>
        <w:gridCol w:w="52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2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effect of competing technologies and market developments; </w:t>
            </w:r>
          </w:p>
        </w:tc>
      </w:tr>
    </w:tbl>
    <w:tbl>
      <w:tblPr>
        <w:tblW w:w="8950" w:type="dxa"/>
        <w:jc w:val="left"/>
        <w:tblInd w:w="0" w:type="dxa"/>
        <w:tblCellMar>
          <w:top w:w="0" w:type="dxa"/>
          <w:left w:w="0" w:type="dxa"/>
          <w:bottom w:w="0" w:type="dxa"/>
          <w:right w:w="0" w:type="dxa"/>
        </w:tblCellMar>
      </w:tblPr>
      <w:tblGrid>
        <w:gridCol w:w="60"/>
        <w:gridCol w:w="110"/>
        <w:gridCol w:w="87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7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establish and maintain healthcare coverage and adequate reimbursement for our products; and </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of operating as a public company. </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indebtedness could adversely affect our financial condition or restrict our future operations.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August 13, 2020, we entered into a Loan and Security Agreement, or the SVB Loan Agreement, with Silicon Valley Bank, or SVB, pursuant to which SVB provided a term loan to us in the original principal amount of $14.0 million. The SVB Term Loan bears interest at a floating rate per annum equal to the greater of (A) the prime rate plus 1.00% and (B) 4.25%. If SVB receives evidence satisfactory to it that the Company has (i) received positive data for the Phase 2b/3 PRISM trial sufficient to advance Haduvio into a second Phase 3 clinical trial for prurigo nodularis, and (ii) raised sufficient financing to fund such Phase 3 clinical trial and the Company’s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 Additionally, if we fail to meet certain equity raise requirements under the SVB Loan Agreement, we will be required to deposit unrestricted and unencumbered cash equal to 100% of the principal amount of the SVB Term Loan then outstanding in a cash collateral account with SVB, which can be used by SVB to prepay the SVB Term Loan at any time.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debt combined with our other financial obligations and contractual commitments could have significant adverse consequences,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requiring us to dedicate a substantial portion of our cash and cash equivalents to the payment of interest on, and principal of, our debt, or maintain a substantial portion of our cash and cash equivalents in cash collateral accounts controlled by our lenders to secure repayment of our debt (which may be used by our lenders to prepay the debt if certain requirements relating to raising equity are not met), which will reduce the amounts available to fund working capital, capital expenditures, product development efforts and other general corporate purposes;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obligating us to negative covenants restricting our activities, including the negative covenants to which we are subject under the SVB Loan Agreement; and</w:t>
            </w:r>
          </w:p>
        </w:tc>
      </w:tr>
    </w:tbl>
    <w:tbl>
      <w:tblPr>
        <w:tblW w:w="7900" w:type="dxa"/>
        <w:jc w:val="left"/>
        <w:tblInd w:w="0" w:type="dxa"/>
        <w:tblCellMar>
          <w:top w:w="0" w:type="dxa"/>
          <w:left w:w="0" w:type="dxa"/>
          <w:bottom w:w="0" w:type="dxa"/>
          <w:right w:w="0" w:type="dxa"/>
        </w:tblCellMar>
      </w:tblPr>
      <w:tblGrid>
        <w:gridCol w:w="60"/>
        <w:gridCol w:w="110"/>
        <w:gridCol w:w="77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7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limiting our flexibility in planning for, or reacting to, changes in our business and our industry.</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intend to satisfy our debt service obligations with our existing cash and cash equivalents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 failure to comply with certain equity raise requirements in the SVB Loan Agreement could result in us having to deposit unrestricted and unencumbered cash equal to 100% of the principal amount of the SVB Term Loan then outstanding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of our assets, excluding our intellectual property (which is subject to a negative pledge under the SVB Loan Agreement), as collateral on the SVB Term Loan may limit our ability to obtain additional debt financing. </w:t>
      </w:r>
    </w:p>
    <w:p>
      <w:pPr>
        <w:pStyle w:val="TextBody"/>
        <w:spacing w:before="0" w:after="0"/>
        <w:rPr/>
      </w:pPr>
      <w:r>
        <w:rPr/>
        <w:t> </w:t>
      </w:r>
    </w:p>
    <w:p>
      <w:pPr>
        <w:pStyle w:val="TextBody"/>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Raising additional capital may cause dilution to our stockholders, restrict our operations or require us to relinquish rights to our product candidates.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our expenses to increase substantially in connection with our planned operations, particularly as we conduct our ongoing Phase 2b/3 PRISM trial and our other ongoing clinical trials as well as the additional Phase 3 clinical trial we believe we will need to conduct for Haduvio for the treatment of pruritus associated with prurigo nodularis and develop Haduvio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ability to obtain further debt financing may be limited by the covenants under the SVB Loan Agreement, which include a covenant not to incur additional indebtedness as well as the pledge of substantially all of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the Development and Commercialization of Haduvio and Any Future Product Candidates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currently have no products approved for sale and are investing substantially all of our efforts and financial resources to fund the development of Haduvio for multiple serious neurologically mediated conditions.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most advanced program is the development of Haduvio for the treatment of pruritus associated with prurigo nodularis, as our efforts to develop Haduvio for other serious neurologically mediated conditions are only at an early stage. As a result, if our efforts to develop and commercialize Haduvio for the treatment of pruritus associated with prurigo nodularis are unsuccessful, or we experience significant delays in doing so, our business could also be substantially harmed.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success of Haduvio for the treatment of pruritus associated with prurigo nodularis, as well as for other serious neurologically mediated conditions, will depend on several factors,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successfully recruiting, enrolling and retaining patients in and completing our Phase 2b/3 PRISM trial, including the additional 120 patients we intend to enroll based on the SSRE analysis;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initiating and successfully recruiting, enrolling and retaining patients in and completing additional clinical and nonclinical trials, including the additional Phase 3 clinical trial we believe we will need to conduct for Haduvio for the treatment of pruritus associated with prurigo nodularis and other supportive clinical studies such as our planned HAL study and TQT studies;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demonstrating safety, tolerability and efficacy profiles that are satisfactory to the FDA, EMA and other comparable regulatory authorities for marketing approval; </w:t>
            </w:r>
          </w:p>
        </w:tc>
      </w:tr>
    </w:tbl>
    <w:tbl>
      <w:tblPr>
        <w:tblW w:w="6460" w:type="dxa"/>
        <w:jc w:val="left"/>
        <w:tblInd w:w="0" w:type="dxa"/>
        <w:tblCellMar>
          <w:top w:w="0" w:type="dxa"/>
          <w:left w:w="0" w:type="dxa"/>
          <w:bottom w:w="0" w:type="dxa"/>
          <w:right w:w="0" w:type="dxa"/>
        </w:tblCellMar>
      </w:tblPr>
      <w:tblGrid>
        <w:gridCol w:w="60"/>
        <w:gridCol w:w="110"/>
        <w:gridCol w:w="62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2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receiving timely marketing approvals from applicable regulatory authorities; </w:t>
            </w:r>
          </w:p>
        </w:tc>
      </w:tr>
    </w:tbl>
    <w:tbl>
      <w:tblPr>
        <w:tblW w:w="10045" w:type="dxa"/>
        <w:jc w:val="left"/>
        <w:tblInd w:w="0" w:type="dxa"/>
        <w:tblCellMar>
          <w:top w:w="0" w:type="dxa"/>
          <w:left w:w="0" w:type="dxa"/>
          <w:bottom w:w="0" w:type="dxa"/>
          <w:right w:w="0" w:type="dxa"/>
        </w:tblCellMar>
      </w:tblPr>
      <w:tblGrid>
        <w:gridCol w:w="60"/>
        <w:gridCol w:w="110"/>
        <w:gridCol w:w="98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8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managing the extent and cost of any required post-marketing approval commitments to applicable regulatory authorities; </w:t>
            </w:r>
          </w:p>
        </w:tc>
      </w:tr>
    </w:tbl>
    <w:tbl>
      <w:tblPr>
        <w:tblW w:w="8620" w:type="dxa"/>
        <w:jc w:val="left"/>
        <w:tblInd w:w="0" w:type="dxa"/>
        <w:tblCellMar>
          <w:top w:w="0" w:type="dxa"/>
          <w:left w:w="0" w:type="dxa"/>
          <w:bottom w:w="0" w:type="dxa"/>
          <w:right w:w="0" w:type="dxa"/>
        </w:tblCellMar>
      </w:tblPr>
      <w:tblGrid>
        <w:gridCol w:w="60"/>
        <w:gridCol w:w="110"/>
        <w:gridCol w:w="84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establishing and maintaining arrangements with our third-party supplier of drug substance for Haduvio;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establishing and maintaining arrangements with third-party manufacturers of Haduvio, including developing, validating and maintaining a commercially viable manufacturing process that is compliant with current good manufacturing practices, or cGMPs;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obtaining, maintaining and protecting our patents, trade secrets and regulatory exclusivity in the United States and other countries;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establishing a focused, specialty sales organization in the United States and successfully launching commercial sales following any marketing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obtaining commercial acceptance of our products, if approved, by patients, the medical community and third-party payors and obtaining and maintaining healthcare coverage and adequate reimbursement;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tbl>
      <w:tblPr>
        <w:tblW w:w="6715" w:type="dxa"/>
        <w:jc w:val="left"/>
        <w:tblInd w:w="0" w:type="dxa"/>
        <w:tblCellMar>
          <w:top w:w="0" w:type="dxa"/>
          <w:left w:w="0" w:type="dxa"/>
          <w:bottom w:w="0" w:type="dxa"/>
          <w:right w:w="0" w:type="dxa"/>
        </w:tblCellMar>
      </w:tblPr>
      <w:tblGrid>
        <w:gridCol w:w="60"/>
        <w:gridCol w:w="110"/>
        <w:gridCol w:w="65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5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maintaining an acceptable safety profile following any marketing approval; and </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compete with other therapies.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approach to the development and commercialization of Haduvio to treat serious neurologically mediated conditions is unproven.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currently focused on the development and commercialization of Haduvio to treat serious neurologically mediated conditions. Haduvio is an oral extended release formulation of nalbuphine, the active drug ingredient in Haduvio,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and other serious neurologically mediated conditions, and that Haduvio has the potential to be safe and well-tolerated, nalbuphine has not been approved in any indications other than pain. Additionally, Haduvio has not been approved in any indication, including the treatment of pruritus associated with prurigo nodularis, the lead indication for which we are pursuing clinical development of Haduvio. No therapies have been approved in the United States or Europe for the treatment of moderate to severe pruritus,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Clinical drug development involves a lengthy and expensive process with an uncertain outcome.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 </w:t>
      </w:r>
    </w:p>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clinical trials may produce unfavorable or inconclusive results;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decide, or regulators may require us, to restructure clinical trials, conduct additional clinical and nonclinical trials or abandon product development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number of patients required for clinical trials may be larger than we anticipate, such as with the increase of the target number of enrolled patients for our Phase 2b/3 PRISM trial from 240 to 360 subjects as a result of the SSRE analysis;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patient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Haduvio for the treatment of pruritus associated with prurigo nodularis;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 of planned clinical trials may be greater than we anticipate, as we have experienced in our Phase 2b/3 PRISM trial as we added additional sites, increased the target number of enrolled patients as a result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0"/>
              </w:rPr>
              <w:t>of</w:t>
            </w:r>
            <w:r>
              <w:rPr>
                <w:rFonts w:ascii="Times New Roman" w:hAnsi="Times New Roman"/>
                <w:b w:val="false"/>
                <w:i w:val="false"/>
                <w:caps w:val="false"/>
                <w:smallCaps w:val="false"/>
                <w:color w:val="000000"/>
                <w:spacing w:val="0"/>
                <w:sz w:val="24"/>
              </w:rPr>
              <w:t xml:space="preserve"> </w:t>
            </w:r>
            <w:r>
              <w:rPr>
                <w:rFonts w:ascii="Times New Roman" w:hAnsi="Times New Roman"/>
                <w:b w:val="false"/>
                <w:i w:val="false"/>
                <w:caps w:val="false"/>
                <w:smallCaps w:val="false"/>
                <w:color w:val="000000"/>
                <w:spacing w:val="0"/>
                <w:sz w:val="20"/>
              </w:rPr>
              <w:t xml:space="preserve">the SSRE analysis, enrollment has taken longer than expected and we have used and expect to continue to use additional incentive strategies to address site activation and enrollment; </w:t>
            </w:r>
          </w:p>
        </w:tc>
      </w:tr>
    </w:tbl>
    <w:tbl>
      <w:tblPr>
        <w:tblW w:w="8530" w:type="dxa"/>
        <w:jc w:val="left"/>
        <w:tblInd w:w="0" w:type="dxa"/>
        <w:tblCellMar>
          <w:top w:w="0" w:type="dxa"/>
          <w:left w:w="0" w:type="dxa"/>
          <w:bottom w:w="0" w:type="dxa"/>
          <w:right w:w="0" w:type="dxa"/>
        </w:tblCellMar>
      </w:tblPr>
      <w:tblGrid>
        <w:gridCol w:w="60"/>
        <w:gridCol w:w="110"/>
        <w:gridCol w:w="83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3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clinical trials sites may not have adequate staff and resources to support our trials on a timely basis;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regulators or institutional review boards may not authorize us or our investigators to commence a clinical trial or conduct a clinical trial at a prospective trial site;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experience delays in reaching or fail to reach agreement on acceptable clinical trial contracts or clinical trial protocols with prospective trial sites;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have to delay, suspend or terminate clinical trials for various reasons, including a finding that the participants are being exposed to unacceptable health risks, undesirable side effects, or other unexpected characteristics of a product candidate;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FDA or comparable foreign regulatory authorities may disagree with our clinical trial designs or our interpretation of data from preclinical studies and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FDA or comparable foreign regulatory authorities may fail to approve or subsequently find fault with the manufacturing processes or facilities of third-party manufacturers with which we enter into agreements for clinical and commercial supplies;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approval policies or regulations of the FDA or comparable foreign regulatory authorities may significantly change or the landscape of available, approved therapies could change in a manner rendering our clinical data insufficient to obtain marketing approvals;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 </w:t>
            </w:r>
          </w:p>
        </w:tc>
      </w:tr>
    </w:tbl>
    <w:p>
      <w:pPr>
        <w:pStyle w:val="TextBody"/>
        <w:spacing w:before="240" w:after="0"/>
        <w:rPr>
          <w:rFonts w:ascii="Times New Roman" w:hAnsi="Times New Roman"/>
          <w:b w:val="false"/>
          <w:i w:val="false"/>
          <w:caps w:val="false"/>
          <w:smallCaps w:val="false"/>
          <w:color w:val="000000"/>
          <w:sz w:val="20"/>
        </w:rPr>
      </w:pPr>
      <w:bookmarkStart w:id="18" w:name="_cp_text_4_231"/>
      <w:bookmarkStart w:id="19" w:name="_cp_text_1_2401"/>
      <w:bookmarkStart w:id="20" w:name="_cp_text_4_2391"/>
      <w:bookmarkStart w:id="21" w:name="_cp_text_1_2381"/>
      <w:bookmarkStart w:id="22" w:name="_cp_text_4_2371"/>
      <w:bookmarkStart w:id="23" w:name="_cp_text_1_2361"/>
      <w:bookmarkStart w:id="24" w:name="_cp_text_4_2351"/>
      <w:bookmarkStart w:id="25" w:name="_cp_text_4_2341"/>
      <w:bookmarkStart w:id="26" w:name="_cp_text_1_2331"/>
      <w:bookmarkStart w:id="27" w:name="_cp_text_4_2321"/>
      <w:bookmarkStart w:id="28" w:name="_cp_text_1_230"/>
      <w:bookmarkEnd w:id="18"/>
      <w:bookmarkEnd w:id="19"/>
      <w:bookmarkEnd w:id="20"/>
      <w:bookmarkEnd w:id="21"/>
      <w:bookmarkEnd w:id="22"/>
      <w:bookmarkEnd w:id="23"/>
      <w:bookmarkEnd w:id="24"/>
      <w:bookmarkEnd w:id="25"/>
      <w:bookmarkEnd w:id="26"/>
      <w:bookmarkEnd w:id="27"/>
      <w:bookmarkEnd w:id="28"/>
      <w:r>
        <w:rPr>
          <w:rFonts w:ascii="Times New Roman" w:hAnsi="Times New Roman"/>
          <w:b w:val="false"/>
          <w:i w:val="false"/>
          <w:caps w:val="false"/>
          <w:smallCaps w:val="false"/>
          <w:color w:val="000000"/>
          <w:sz w:val="20"/>
        </w:rPr>
        <w:t xml:space="preserve">In addition to the above, the </w:t>
      </w:r>
      <w:bookmarkStart w:id="29" w:name="_cp_text_4_232"/>
      <w:bookmarkEnd w:id="29"/>
      <w:r>
        <w:rPr>
          <w:rFonts w:ascii="Times New Roman" w:hAnsi="Times New Roman"/>
          <w:b w:val="false"/>
          <w:i w:val="false"/>
          <w:caps w:val="false"/>
          <w:smallCaps w:val="false"/>
          <w:color w:val="000000"/>
          <w:sz w:val="20"/>
        </w:rPr>
        <w:t xml:space="preserve">continued spread of COVID-19 globally could </w:t>
      </w:r>
      <w:bookmarkStart w:id="30" w:name="_cp_text_1_233"/>
      <w:bookmarkEnd w:id="30"/>
      <w:r>
        <w:rPr>
          <w:rFonts w:ascii="Times New Roman" w:hAnsi="Times New Roman"/>
          <w:b w:val="false"/>
          <w:i w:val="false"/>
          <w:caps w:val="false"/>
          <w:smallCaps w:val="false"/>
          <w:color w:val="000000"/>
          <w:sz w:val="20"/>
        </w:rPr>
        <w:t xml:space="preserve">adversely affect our clinical trial operations </w:t>
      </w:r>
      <w:bookmarkStart w:id="31" w:name="_cp_text_4_234"/>
      <w:bookmarkEnd w:id="31"/>
      <w:r>
        <w:rPr>
          <w:rFonts w:ascii="Times New Roman" w:hAnsi="Times New Roman"/>
          <w:b w:val="false"/>
          <w:i w:val="false"/>
          <w:caps w:val="false"/>
          <w:smallCaps w:val="false"/>
          <w:color w:val="000000"/>
          <w:sz w:val="20"/>
        </w:rPr>
        <w:t>worldwide</w:t>
      </w:r>
      <w:bookmarkStart w:id="32" w:name="_cp_text_4_235"/>
      <w:bookmarkEnd w:id="32"/>
      <w:r>
        <w:rPr>
          <w:rFonts w:ascii="Times New Roman" w:hAnsi="Times New Roman"/>
          <w:b w:val="false"/>
          <w:i w:val="false"/>
          <w:caps w:val="false"/>
          <w:smallCaps w:val="false"/>
          <w:color w:val="000000"/>
          <w:sz w:val="20"/>
        </w:rPr>
        <w:t>, including our ability to recruit and retain  </w:t>
      </w:r>
      <w:bookmarkStart w:id="33" w:name="_cp_text_1_236"/>
      <w:bookmarkEnd w:id="33"/>
      <w:r>
        <w:rPr>
          <w:rFonts w:ascii="Times New Roman" w:hAnsi="Times New Roman"/>
          <w:b w:val="false"/>
          <w:i w:val="false"/>
          <w:caps w:val="false"/>
          <w:smallCaps w:val="false"/>
          <w:color w:val="000000"/>
          <w:sz w:val="20"/>
        </w:rPr>
        <w:t>principal investigators and site staff who, as healthcare providers, may have heightened exposure to COVID-19 if an outbreak occurs in their geography</w:t>
      </w:r>
      <w:bookmarkStart w:id="34" w:name="_cp_text_4_237"/>
      <w:bookmarkEnd w:id="34"/>
      <w:r>
        <w:rPr>
          <w:rFonts w:ascii="Times New Roman" w:hAnsi="Times New Roman"/>
          <w:b w:val="false"/>
          <w:i w:val="false"/>
          <w:caps w:val="false"/>
          <w:smallCaps w:val="false"/>
          <w:color w:val="000000"/>
          <w:sz w:val="20"/>
        </w:rPr>
        <w:t xml:space="preserve">, and </w:t>
      </w:r>
      <w:bookmarkStart w:id="35" w:name="_cp_text_1_238"/>
      <w:bookmarkEnd w:id="35"/>
      <w:r>
        <w:rPr>
          <w:rFonts w:ascii="Times New Roman" w:hAnsi="Times New Roman"/>
          <w:b w:val="false"/>
          <w:i w:val="false"/>
          <w:caps w:val="false"/>
          <w:smallCaps w:val="false"/>
          <w:color w:val="000000"/>
          <w:sz w:val="20"/>
        </w:rPr>
        <w:t xml:space="preserve">result in </w:t>
      </w:r>
      <w:bookmarkStart w:id="36" w:name="_cp_text_4_239"/>
      <w:bookmarkEnd w:id="36"/>
      <w:r>
        <w:rPr>
          <w:rFonts w:ascii="Times New Roman" w:hAnsi="Times New Roman"/>
          <w:b w:val="false"/>
          <w:i w:val="false"/>
          <w:caps w:val="false"/>
          <w:smallCaps w:val="false"/>
          <w:color w:val="000000"/>
          <w:sz w:val="20"/>
        </w:rPr>
        <w:t xml:space="preserve">further </w:t>
      </w:r>
      <w:bookmarkStart w:id="37" w:name="_cp_text_1_240"/>
      <w:bookmarkEnd w:id="37"/>
      <w:r>
        <w:rPr>
          <w:rFonts w:ascii="Times New Roman" w:hAnsi="Times New Roman"/>
          <w:b w:val="false"/>
          <w:i w:val="false"/>
          <w:caps w:val="false"/>
          <w:smallCaps w:val="false"/>
          <w:color w:val="000000"/>
          <w:sz w:val="20"/>
        </w:rPr>
        <w:t>delays in our clinical trials due to prioritization of hospital and medical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incur additional unplanned costs, which may exceed the resources that we have available or are able to obtain on reasonable terms;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 </w:t>
            </w:r>
          </w:p>
        </w:tc>
      </w:tr>
    </w:tbl>
    <w:tbl>
      <w:tblPr>
        <w:tblW w:w="3430" w:type="dxa"/>
        <w:jc w:val="left"/>
        <w:tblInd w:w="0" w:type="dxa"/>
        <w:tblCellMar>
          <w:top w:w="0" w:type="dxa"/>
          <w:left w:w="0" w:type="dxa"/>
          <w:bottom w:w="0" w:type="dxa"/>
          <w:right w:w="0" w:type="dxa"/>
        </w:tblCellMar>
      </w:tblPr>
      <w:tblGrid>
        <w:gridCol w:w="60"/>
        <w:gridCol w:w="110"/>
        <w:gridCol w:w="32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fail to obtain marketing approval at all; </w:t>
            </w:r>
          </w:p>
        </w:tc>
      </w:tr>
    </w:tbl>
    <w:tbl>
      <w:tblPr>
        <w:tblW w:w="10150" w:type="dxa"/>
        <w:jc w:val="left"/>
        <w:tblInd w:w="0" w:type="dxa"/>
        <w:tblCellMar>
          <w:top w:w="0" w:type="dxa"/>
          <w:left w:w="0" w:type="dxa"/>
          <w:bottom w:w="0" w:type="dxa"/>
          <w:right w:w="0" w:type="dxa"/>
        </w:tblCellMar>
      </w:tblPr>
      <w:tblGrid>
        <w:gridCol w:w="60"/>
        <w:gridCol w:w="110"/>
        <w:gridCol w:w="99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9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obtain marketing approval for indications or patient populations that are not as broad as we originally intended or desired;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obtain marketing approval with labeling that includes significant use or distribution restrictions or significant safety warnings, including boxed warnings; </w:t>
            </w:r>
          </w:p>
        </w:tc>
      </w:tr>
    </w:tbl>
    <w:tbl>
      <w:tblPr>
        <w:tblW w:w="6070" w:type="dxa"/>
        <w:jc w:val="left"/>
        <w:tblInd w:w="0" w:type="dxa"/>
        <w:tblCellMar>
          <w:top w:w="0" w:type="dxa"/>
          <w:left w:w="0" w:type="dxa"/>
          <w:bottom w:w="0" w:type="dxa"/>
          <w:right w:w="0" w:type="dxa"/>
        </w:tblCellMar>
      </w:tblPr>
      <w:tblGrid>
        <w:gridCol w:w="60"/>
        <w:gridCol w:w="110"/>
        <w:gridCol w:w="59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9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be subject to additional post-marketing testing or other requirements; or </w:t>
            </w:r>
          </w:p>
        </w:tc>
      </w:tr>
    </w:tbl>
    <w:tbl>
      <w:tblPr>
        <w:tblW w:w="7225" w:type="dxa"/>
        <w:jc w:val="left"/>
        <w:tblInd w:w="0" w:type="dxa"/>
        <w:tblCellMar>
          <w:top w:w="0" w:type="dxa"/>
          <w:left w:w="0" w:type="dxa"/>
          <w:bottom w:w="0" w:type="dxa"/>
          <w:right w:w="0" w:type="dxa"/>
        </w:tblCellMar>
      </w:tblPr>
      <w:tblGrid>
        <w:gridCol w:w="60"/>
        <w:gridCol w:w="110"/>
        <w:gridCol w:w="70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be required to remove the product from the market after obtaining marketing approval.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failure to successfully and timely complete clinical trials of Haduvio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clinical trials may fail to demonstrate adequately the safety and efficacy of Haduvio or any future product candidates, which would likely prevent or delay regulatory approval and commercialization.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Phase 2b/3 PRISM trial require that enrolled patients not be suffering from any active, uncontrolled dermatoses other than prurigo nodularis, it is possible that the FDA could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Phase 2b/3 PRISM trial, or the FDA does not otherwise believe that the results of the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pruritus associated with prurigo nodularis.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Use of patient-reported outcome assessments, or PROs, in our clinical trials and high placebo response rates may delay or impair the development of Haduvio or adversely impact our clinical trials.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Phase 2b/3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experience delays or difficulties in the enrollment of patients in clinical trials, our receipt of necessary regulatory approvals could be delayed or prevented.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 </w:t>
      </w:r>
    </w:p>
    <w:tbl>
      <w:tblPr>
        <w:tblW w:w="3415" w:type="dxa"/>
        <w:jc w:val="left"/>
        <w:tblInd w:w="0" w:type="dxa"/>
        <w:tblCellMar>
          <w:top w:w="0" w:type="dxa"/>
          <w:left w:w="0" w:type="dxa"/>
          <w:bottom w:w="0" w:type="dxa"/>
          <w:right w:w="0" w:type="dxa"/>
        </w:tblCellMar>
      </w:tblPr>
      <w:tblGrid>
        <w:gridCol w:w="60"/>
        <w:gridCol w:w="110"/>
        <w:gridCol w:w="32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impact of the COVID-19 pandemic; </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size and nature of the eligible patient population; </w:t>
            </w:r>
          </w:p>
        </w:tc>
      </w:tr>
    </w:tbl>
    <w:tbl>
      <w:tblPr>
        <w:tblW w:w="4015" w:type="dxa"/>
        <w:jc w:val="left"/>
        <w:tblInd w:w="0" w:type="dxa"/>
        <w:tblCellMar>
          <w:top w:w="0" w:type="dxa"/>
          <w:left w:w="0" w:type="dxa"/>
          <w:bottom w:w="0" w:type="dxa"/>
          <w:right w:w="0" w:type="dxa"/>
        </w:tblCellMar>
      </w:tblPr>
      <w:tblGrid>
        <w:gridCol w:w="60"/>
        <w:gridCol w:w="110"/>
        <w:gridCol w:w="38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severity of the disease under investigation;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4255" w:type="dxa"/>
        <w:jc w:val="left"/>
        <w:tblInd w:w="0" w:type="dxa"/>
        <w:tblCellMar>
          <w:top w:w="0" w:type="dxa"/>
          <w:left w:w="0" w:type="dxa"/>
          <w:bottom w:w="0" w:type="dxa"/>
          <w:right w:w="0" w:type="dxa"/>
        </w:tblCellMar>
      </w:tblPr>
      <w:tblGrid>
        <w:gridCol w:w="60"/>
        <w:gridCol w:w="110"/>
        <w:gridCol w:w="40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0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proximity of eligible patients to clinical sites; </w:t>
            </w:r>
          </w:p>
        </w:tc>
      </w:tr>
    </w:tbl>
    <w:tbl>
      <w:tblPr>
        <w:tblW w:w="3370" w:type="dxa"/>
        <w:jc w:val="left"/>
        <w:tblInd w:w="0" w:type="dxa"/>
        <w:tblCellMar>
          <w:top w:w="0" w:type="dxa"/>
          <w:left w:w="0" w:type="dxa"/>
          <w:bottom w:w="0" w:type="dxa"/>
          <w:right w:w="0" w:type="dxa"/>
        </w:tblCellMar>
      </w:tblPr>
      <w:tblGrid>
        <w:gridCol w:w="60"/>
        <w:gridCol w:w="110"/>
        <w:gridCol w:w="32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patient referral practices of physicians; </w:t>
            </w:r>
          </w:p>
        </w:tc>
      </w:tr>
    </w:tbl>
    <w:tbl>
      <w:tblPr>
        <w:tblW w:w="3640" w:type="dxa"/>
        <w:jc w:val="left"/>
        <w:tblInd w:w="0" w:type="dxa"/>
        <w:tblCellMar>
          <w:top w:w="0" w:type="dxa"/>
          <w:left w:w="0" w:type="dxa"/>
          <w:bottom w:w="0" w:type="dxa"/>
          <w:right w:w="0" w:type="dxa"/>
        </w:tblCellMar>
      </w:tblPr>
      <w:tblGrid>
        <w:gridCol w:w="60"/>
        <w:gridCol w:w="110"/>
        <w:gridCol w:w="34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4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eligibility criteria for the clinical trial; </w:t>
            </w:r>
          </w:p>
        </w:tc>
      </w:tr>
    </w:tbl>
    <w:tbl>
      <w:tblPr>
        <w:tblW w:w="2680" w:type="dxa"/>
        <w:jc w:val="left"/>
        <w:tblInd w:w="0" w:type="dxa"/>
        <w:tblCellMar>
          <w:top w:w="0" w:type="dxa"/>
          <w:left w:w="0" w:type="dxa"/>
          <w:bottom w:w="0" w:type="dxa"/>
          <w:right w:w="0" w:type="dxa"/>
        </w:tblCellMar>
      </w:tblPr>
      <w:tblGrid>
        <w:gridCol w:w="60"/>
        <w:gridCol w:w="110"/>
        <w:gridCol w:w="25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5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design of the clinical trial; </w:t>
            </w:r>
          </w:p>
        </w:tc>
      </w:tr>
    </w:tbl>
    <w:tbl>
      <w:tblPr>
        <w:tblW w:w="3280" w:type="dxa"/>
        <w:jc w:val="left"/>
        <w:tblInd w:w="0" w:type="dxa"/>
        <w:tblCellMar>
          <w:top w:w="0" w:type="dxa"/>
          <w:left w:w="0" w:type="dxa"/>
          <w:bottom w:w="0" w:type="dxa"/>
          <w:right w:w="0" w:type="dxa"/>
        </w:tblCellMar>
      </w:tblPr>
      <w:tblGrid>
        <w:gridCol w:w="60"/>
        <w:gridCol w:w="110"/>
        <w:gridCol w:w="31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1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efforts to facilitate timely enrollment; </w:t>
            </w:r>
          </w:p>
        </w:tc>
      </w:tr>
    </w:tbl>
    <w:tbl>
      <w:tblPr>
        <w:tblW w:w="2620" w:type="dxa"/>
        <w:jc w:val="left"/>
        <w:tblInd w:w="0" w:type="dxa"/>
        <w:tblCellMar>
          <w:top w:w="0" w:type="dxa"/>
          <w:left w:w="0" w:type="dxa"/>
          <w:bottom w:w="0" w:type="dxa"/>
          <w:right w:w="0" w:type="dxa"/>
        </w:tblCellMar>
      </w:tblPr>
      <w:tblGrid>
        <w:gridCol w:w="60"/>
        <w:gridCol w:w="110"/>
        <w:gridCol w:w="24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4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competing clinical trials;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clinicians’ and patients’ perceptions as to the potential advantages and risks of the product candidate being studied in relation to other available therapies, including any new drugs that may be approved for the indications under investigation.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particular, the successful completion of our clinical development program for Haduvio for the treatment of pruritus associated with prurigo nodularis is dependent upon our ability to enroll a sufficient number of patients with this severe condition. We have experienced delays and difficulties in the enrollment of patients in our clinical trials, including our Phase 2b/3 PRISM trial and our Phase 2 CANAL trial, which have delayed the completion of our trials. We have taken actions to increase enrollment, including increasing the number of clinical sites, expanding our clinical trials into additional countries, providing sites with additional trial management staff and closing underperforming sites. However, these actions may not be successful. In addition, as a result of the COVID-19 pandemic, clinical sites for our Phase 2b/3 PRISM trial temporarily halted new patient screening and most patient enrollment.  After resuming screening and enrollment, multiple sites in the Phase 2b/3 PRISM trial have begun requiring remote monitoring of patient data and we could be required to amend the protocol for the trial to have fewer patient visits over the course of the trial.  In addition, the clinical sites in our ongoing Phase 2 CANAL trial temporarily suspended enrollment and treatment of patients in the trial  due to the vulnerability of IPF patients to COVID-19 and we amended the protocol for the trial to reduce the number of in-person patient visits and procedures. While patient screening and enrollment for our Phase 2 CANAL trial resumed at certain clinical trial sites in the fourth quarter of 2020, all sites in the trial paused screening again in December 2020 in response to a shelter in place directive from the U.K. government.  Once sites are able to resume screening, some sites may take longer to resume their trial activity due to increased COVID-19 infection rates in the areas where they are located, and we expect other sites may cease to participate in the trial entirely.  Furthermore, as a result of the SSRE analysis, we have increased the target number of enrolled patients for our Phase 2b/3 PRISM trial from 240 to 360 subjects, which has also resulted in delays to our expected completion of enrollment for the trial and our anticipated timing for reporting top-line data for the trial.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Other companies are conducting clinical trials or have announced plans for future clinical trials that are seeking, or are likely to seek, to enroll patients with prurigo nodularis in the case of our Phase 2b/3 PRISM trial and patients with IPF in the case of our Phase 2 CANAL trial,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Adverse events or undesirable side effects caused by, or other unexpected properties of, Haduvio or any future product candidate may be identified during development and could delay or prevent the marketing approval or limit the use of Haduvio or any future product candidate.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patients reported SAEs, but none of these events was attributed to Haduvio.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Many currently approved µ-opioid products are subject to restrictive marketing and distribution regulations which, if applied to Haduvio, could potentially restrict its use and harm our ability to generate profits.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Haduvio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Results of preclinical studies and clinical trials may not be predictive of results of later clinical trials.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Phase 2b/3 PRISM trial.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Phase 2b/3 PRISM trial based on an assumed discontinuation rate that takes into account observed discontinuation rates in our Phase 2 clinical trial of Haduvio for the treatment of pruritus associated with prurigo nodularis. If enrolled patients withdraw from our Phase 2b/3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some of our data for Haduvio for the treatment of pruritus is drawn from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analyses of data subsets from our Phase 2 clinical trials of Haduvio in patients with prurigo nodularis and uremic pruritus. While we believe these data may be useful in informing the design of our Phase 2b/3 PRISM trial and other future Phase 3 clinical trials for Haduvio, </w:t>
      </w:r>
      <w:r>
        <w:rPr>
          <w:rFonts w:ascii="Times New Roman" w:hAnsi="Times New Roman"/>
          <w:b w:val="false"/>
          <w:i/>
          <w:caps w:val="false"/>
          <w:smallCaps w:val="false"/>
          <w:color w:val="000000"/>
          <w:sz w:val="20"/>
        </w:rPr>
        <w:t>post hoc</w:t>
      </w:r>
      <w:r>
        <w:rPr>
          <w:rFonts w:ascii="Times New Roman" w:hAnsi="Times New Roman"/>
          <w:b w:val="false"/>
          <w:i w:val="false"/>
          <w:caps w:val="false"/>
          <w:smallCaps w:val="false"/>
          <w:color w:val="000000"/>
          <w:sz w:val="20"/>
        </w:rPr>
        <w:t xml:space="preserve"> analyses performed after unmasking trial results can result in the introduction of bias and may not be predictive of success in Phase 3 clinical trials.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 </w:t>
      </w:r>
    </w:p>
    <w:tbl>
      <w:tblPr>
        <w:tblW w:w="7240" w:type="dxa"/>
        <w:jc w:val="left"/>
        <w:tblInd w:w="0" w:type="dxa"/>
        <w:tblCellMar>
          <w:top w:w="0" w:type="dxa"/>
          <w:left w:w="0" w:type="dxa"/>
          <w:bottom w:w="0" w:type="dxa"/>
          <w:right w:w="0" w:type="dxa"/>
        </w:tblCellMar>
      </w:tblPr>
      <w:tblGrid>
        <w:gridCol w:w="60"/>
        <w:gridCol w:w="110"/>
        <w:gridCol w:w="70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authorities may withdraw their approval of the product or seize the product; </w:t>
            </w:r>
          </w:p>
        </w:tc>
      </w:tr>
    </w:tbl>
    <w:tbl>
      <w:tblPr>
        <w:tblW w:w="10060" w:type="dxa"/>
        <w:jc w:val="left"/>
        <w:tblInd w:w="0" w:type="dxa"/>
        <w:tblCellMar>
          <w:top w:w="0" w:type="dxa"/>
          <w:left w:w="0" w:type="dxa"/>
          <w:bottom w:w="0" w:type="dxa"/>
          <w:right w:w="0" w:type="dxa"/>
        </w:tblCellMar>
      </w:tblPr>
      <w:tblGrid>
        <w:gridCol w:w="60"/>
        <w:gridCol w:w="110"/>
        <w:gridCol w:w="9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be required to recall the product, change the way the product is administered or conduct additional clinical trials; </w:t>
            </w:r>
          </w:p>
        </w:tc>
      </w:tr>
    </w:tbl>
    <w:tbl>
      <w:tblPr>
        <w:tblW w:w="8965" w:type="dxa"/>
        <w:jc w:val="left"/>
        <w:tblInd w:w="0" w:type="dxa"/>
        <w:tblCellMar>
          <w:top w:w="0" w:type="dxa"/>
          <w:left w:w="0" w:type="dxa"/>
          <w:bottom w:w="0" w:type="dxa"/>
          <w:right w:w="0" w:type="dxa"/>
        </w:tblCellMar>
      </w:tblPr>
      <w:tblGrid>
        <w:gridCol w:w="60"/>
        <w:gridCol w:w="110"/>
        <w:gridCol w:w="879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79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additional restrictions may be imposed on the marketing of, or the manufacturing processes for, the product; </w:t>
            </w:r>
          </w:p>
        </w:tc>
      </w:tr>
    </w:tbl>
    <w:tbl>
      <w:tblPr>
        <w:tblW w:w="7225" w:type="dxa"/>
        <w:jc w:val="left"/>
        <w:tblInd w:w="0" w:type="dxa"/>
        <w:tblCellMar>
          <w:top w:w="0" w:type="dxa"/>
          <w:left w:w="0" w:type="dxa"/>
          <w:bottom w:w="0" w:type="dxa"/>
          <w:right w:w="0" w:type="dxa"/>
        </w:tblCellMar>
      </w:tblPr>
      <w:tblGrid>
        <w:gridCol w:w="60"/>
        <w:gridCol w:w="110"/>
        <w:gridCol w:w="70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0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be subject to fines, injunctions or the imposition of civil or criminal penalties;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authorities may require the addition of labeling statements, such as a “black box” warning or a contraindication;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may be required to create a Medication Guide outlining the risks of the previously unidentified side effects for distribution to patients; </w:t>
            </w:r>
          </w:p>
        </w:tc>
      </w:tr>
    </w:tbl>
    <w:tbl>
      <w:tblPr>
        <w:tblW w:w="5170" w:type="dxa"/>
        <w:jc w:val="left"/>
        <w:tblInd w:w="0" w:type="dxa"/>
        <w:tblCellMar>
          <w:top w:w="0" w:type="dxa"/>
          <w:left w:w="0" w:type="dxa"/>
          <w:bottom w:w="0" w:type="dxa"/>
          <w:right w:w="0" w:type="dxa"/>
        </w:tblCellMar>
      </w:tblPr>
      <w:tblGrid>
        <w:gridCol w:w="60"/>
        <w:gridCol w:w="110"/>
        <w:gridCol w:w="50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0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could be sued and held liable for harm caused to patients; </w:t>
            </w:r>
          </w:p>
        </w:tc>
      </w:tr>
    </w:tbl>
    <w:tbl>
      <w:tblPr>
        <w:tblW w:w="4000" w:type="dxa"/>
        <w:jc w:val="left"/>
        <w:tblInd w:w="0" w:type="dxa"/>
        <w:tblCellMar>
          <w:top w:w="0" w:type="dxa"/>
          <w:left w:w="0" w:type="dxa"/>
          <w:bottom w:w="0" w:type="dxa"/>
          <w:right w:w="0" w:type="dxa"/>
        </w:tblCellMar>
      </w:tblPr>
      <w:tblGrid>
        <w:gridCol w:w="60"/>
        <w:gridCol w:w="110"/>
        <w:gridCol w:w="38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product may become less competitive; and </w:t>
            </w:r>
          </w:p>
        </w:tc>
      </w:tr>
    </w:tbl>
    <w:tbl>
      <w:tblPr>
        <w:tblW w:w="2320" w:type="dxa"/>
        <w:jc w:val="left"/>
        <w:tblInd w:w="0" w:type="dxa"/>
        <w:tblCellMar>
          <w:top w:w="0" w:type="dxa"/>
          <w:left w:w="0" w:type="dxa"/>
          <w:bottom w:w="0" w:type="dxa"/>
          <w:right w:w="0" w:type="dxa"/>
        </w:tblCellMar>
      </w:tblPr>
      <w:tblGrid>
        <w:gridCol w:w="60"/>
        <w:gridCol w:w="110"/>
        <w:gridCol w:w="21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1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reputation may suffer.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Any of these events could harm our business and operations and could negatively impact our stock price.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 </w:t>
      </w:r>
    </w:p>
    <w:tbl>
      <w:tblPr>
        <w:tblW w:w="3295" w:type="dxa"/>
        <w:jc w:val="left"/>
        <w:tblInd w:w="0" w:type="dxa"/>
        <w:tblCellMar>
          <w:top w:w="0" w:type="dxa"/>
          <w:left w:w="0" w:type="dxa"/>
          <w:bottom w:w="0" w:type="dxa"/>
          <w:right w:w="0" w:type="dxa"/>
        </w:tblCellMar>
      </w:tblPr>
      <w:tblGrid>
        <w:gridCol w:w="60"/>
        <w:gridCol w:w="110"/>
        <w:gridCol w:w="31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1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efficacy and safety of the product; </w:t>
            </w:r>
          </w:p>
        </w:tc>
      </w:tr>
    </w:tbl>
    <w:tbl>
      <w:tblPr>
        <w:tblW w:w="6955" w:type="dxa"/>
        <w:jc w:val="left"/>
        <w:tblInd w:w="0" w:type="dxa"/>
        <w:tblCellMar>
          <w:top w:w="0" w:type="dxa"/>
          <w:left w:w="0" w:type="dxa"/>
          <w:bottom w:w="0" w:type="dxa"/>
          <w:right w:w="0" w:type="dxa"/>
        </w:tblCellMar>
      </w:tblPr>
      <w:tblGrid>
        <w:gridCol w:w="60"/>
        <w:gridCol w:w="110"/>
        <w:gridCol w:w="67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7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potential and perceived advantages of the product compared to other therapies; </w:t>
            </w:r>
          </w:p>
        </w:tc>
      </w:tr>
    </w:tbl>
    <w:tbl>
      <w:tblPr>
        <w:tblW w:w="4015" w:type="dxa"/>
        <w:jc w:val="left"/>
        <w:tblInd w:w="0" w:type="dxa"/>
        <w:tblCellMar>
          <w:top w:w="0" w:type="dxa"/>
          <w:left w:w="0" w:type="dxa"/>
          <w:bottom w:w="0" w:type="dxa"/>
          <w:right w:w="0" w:type="dxa"/>
        </w:tblCellMar>
      </w:tblPr>
      <w:tblGrid>
        <w:gridCol w:w="60"/>
        <w:gridCol w:w="110"/>
        <w:gridCol w:w="38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prevalence and severity of any side effects; </w:t>
            </w:r>
          </w:p>
        </w:tc>
      </w:tr>
    </w:tbl>
    <w:tbl>
      <w:tblPr>
        <w:tblW w:w="8620" w:type="dxa"/>
        <w:jc w:val="left"/>
        <w:tblInd w:w="0" w:type="dxa"/>
        <w:tblCellMar>
          <w:top w:w="0" w:type="dxa"/>
          <w:left w:w="0" w:type="dxa"/>
          <w:bottom w:w="0" w:type="dxa"/>
          <w:right w:w="0" w:type="dxa"/>
        </w:tblCellMar>
      </w:tblPr>
      <w:tblGrid>
        <w:gridCol w:w="60"/>
        <w:gridCol w:w="110"/>
        <w:gridCol w:w="84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potential that the DEA could determine that Haduvio should be classified as a controlled substance; </w:t>
            </w:r>
          </w:p>
        </w:tc>
      </w:tr>
    </w:tbl>
    <w:tbl>
      <w:tblPr>
        <w:tblW w:w="4945" w:type="dxa"/>
        <w:jc w:val="left"/>
        <w:tblInd w:w="0" w:type="dxa"/>
        <w:tblCellMar>
          <w:top w:w="0" w:type="dxa"/>
          <w:left w:w="0" w:type="dxa"/>
          <w:bottom w:w="0" w:type="dxa"/>
          <w:right w:w="0" w:type="dxa"/>
        </w:tblCellMar>
      </w:tblPr>
      <w:tblGrid>
        <w:gridCol w:w="60"/>
        <w:gridCol w:w="110"/>
        <w:gridCol w:w="47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7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clinical indications for which the product is approved; </w:t>
            </w:r>
          </w:p>
        </w:tc>
      </w:tr>
    </w:tbl>
    <w:tbl>
      <w:tblPr>
        <w:tblW w:w="9250" w:type="dxa"/>
        <w:jc w:val="left"/>
        <w:tblInd w:w="0" w:type="dxa"/>
        <w:tblCellMar>
          <w:top w:w="0" w:type="dxa"/>
          <w:left w:w="0" w:type="dxa"/>
          <w:bottom w:w="0" w:type="dxa"/>
          <w:right w:w="0" w:type="dxa"/>
        </w:tblCellMar>
      </w:tblPr>
      <w:tblGrid>
        <w:gridCol w:w="60"/>
        <w:gridCol w:w="110"/>
        <w:gridCol w:w="90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0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whether the product is designated under physician treatment guidelines as a first-, second- or third-line therapy; </w:t>
            </w:r>
          </w:p>
        </w:tc>
      </w:tr>
    </w:tbl>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offer the product for sale at competitive prices; </w:t>
            </w:r>
          </w:p>
        </w:tc>
      </w:tr>
    </w:tbl>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product’s convenience and ease of administration; </w:t>
            </w:r>
          </w:p>
        </w:tc>
      </w:tr>
    </w:tbl>
    <w:tbl>
      <w:tblPr>
        <w:tblW w:w="8110" w:type="dxa"/>
        <w:jc w:val="left"/>
        <w:tblInd w:w="0" w:type="dxa"/>
        <w:tblCellMar>
          <w:top w:w="0" w:type="dxa"/>
          <w:left w:w="0" w:type="dxa"/>
          <w:bottom w:w="0" w:type="dxa"/>
          <w:right w:w="0" w:type="dxa"/>
        </w:tblCellMar>
      </w:tblPr>
      <w:tblGrid>
        <w:gridCol w:w="60"/>
        <w:gridCol w:w="110"/>
        <w:gridCol w:w="79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9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willingness of the target patient population to try, and of physicians to prescribe, the product; </w:t>
            </w:r>
          </w:p>
        </w:tc>
      </w:tr>
    </w:tbl>
    <w:tbl>
      <w:tblPr>
        <w:tblW w:w="9235" w:type="dxa"/>
        <w:jc w:val="left"/>
        <w:tblInd w:w="0" w:type="dxa"/>
        <w:tblCellMar>
          <w:top w:w="0" w:type="dxa"/>
          <w:left w:w="0" w:type="dxa"/>
          <w:bottom w:w="0" w:type="dxa"/>
          <w:right w:w="0" w:type="dxa"/>
        </w:tblCellMar>
      </w:tblPr>
      <w:tblGrid>
        <w:gridCol w:w="60"/>
        <w:gridCol w:w="110"/>
        <w:gridCol w:w="90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0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limitations or warnings, including distribution or use restrictions contained in the product’s approved labeling; </w:t>
            </w:r>
          </w:p>
        </w:tc>
      </w:tr>
    </w:tbl>
    <w:tbl>
      <w:tblPr>
        <w:tblW w:w="6070" w:type="dxa"/>
        <w:jc w:val="left"/>
        <w:tblInd w:w="0" w:type="dxa"/>
        <w:tblCellMar>
          <w:top w:w="0" w:type="dxa"/>
          <w:left w:w="0" w:type="dxa"/>
          <w:bottom w:w="0" w:type="dxa"/>
          <w:right w:w="0" w:type="dxa"/>
        </w:tblCellMar>
      </w:tblPr>
      <w:tblGrid>
        <w:gridCol w:w="60"/>
        <w:gridCol w:w="110"/>
        <w:gridCol w:w="59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9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strength of sales, marketing and distribution support for the product; </w:t>
            </w:r>
          </w:p>
        </w:tc>
      </w:tr>
    </w:tbl>
    <w:tbl>
      <w:tblPr>
        <w:tblW w:w="5095" w:type="dxa"/>
        <w:jc w:val="left"/>
        <w:tblInd w:w="0" w:type="dxa"/>
        <w:tblCellMar>
          <w:top w:w="0" w:type="dxa"/>
          <w:left w:w="0" w:type="dxa"/>
          <w:bottom w:w="0" w:type="dxa"/>
          <w:right w:w="0" w:type="dxa"/>
        </w:tblCellMar>
      </w:tblPr>
      <w:tblGrid>
        <w:gridCol w:w="60"/>
        <w:gridCol w:w="110"/>
        <w:gridCol w:w="49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approval of other new products for the same indications; </w:t>
            </w:r>
          </w:p>
        </w:tc>
      </w:tr>
    </w:tbl>
    <w:tbl>
      <w:tblPr>
        <w:tblW w:w="6775" w:type="dxa"/>
        <w:jc w:val="left"/>
        <w:tblInd w:w="0" w:type="dxa"/>
        <w:tblCellMar>
          <w:top w:w="0" w:type="dxa"/>
          <w:left w:w="0" w:type="dxa"/>
          <w:bottom w:w="0" w:type="dxa"/>
          <w:right w:w="0" w:type="dxa"/>
        </w:tblCellMar>
      </w:tblPr>
      <w:tblGrid>
        <w:gridCol w:w="60"/>
        <w:gridCol w:w="110"/>
        <w:gridCol w:w="66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6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timing of market introduction of the product as well as competitive products; </w:t>
            </w:r>
          </w:p>
        </w:tc>
      </w:tr>
    </w:tbl>
    <w:tbl>
      <w:tblPr>
        <w:tblW w:w="7285" w:type="dxa"/>
        <w:jc w:val="left"/>
        <w:tblInd w:w="0" w:type="dxa"/>
        <w:tblCellMar>
          <w:top w:w="0" w:type="dxa"/>
          <w:left w:w="0" w:type="dxa"/>
          <w:bottom w:w="0" w:type="dxa"/>
          <w:right w:w="0" w:type="dxa"/>
        </w:tblCellMar>
      </w:tblPr>
      <w:tblGrid>
        <w:gridCol w:w="60"/>
        <w:gridCol w:w="110"/>
        <w:gridCol w:w="71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1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adverse publicity about the product or favorable publicity about competitive products; </w:t>
            </w:r>
          </w:p>
        </w:tc>
      </w:tr>
    </w:tbl>
    <w:tbl>
      <w:tblPr>
        <w:tblW w:w="2980" w:type="dxa"/>
        <w:jc w:val="left"/>
        <w:tblInd w:w="0" w:type="dxa"/>
        <w:tblCellMar>
          <w:top w:w="0" w:type="dxa"/>
          <w:left w:w="0" w:type="dxa"/>
          <w:bottom w:w="0" w:type="dxa"/>
          <w:right w:w="0" w:type="dxa"/>
        </w:tblCellMar>
      </w:tblPr>
      <w:tblGrid>
        <w:gridCol w:w="60"/>
        <w:gridCol w:w="110"/>
        <w:gridCol w:w="28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8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potential product liability claims; </w:t>
            </w:r>
          </w:p>
        </w:tc>
      </w:tr>
    </w:tbl>
    <w:tbl>
      <w:tblPr>
        <w:tblW w:w="6610" w:type="dxa"/>
        <w:jc w:val="left"/>
        <w:tblInd w:w="0" w:type="dxa"/>
        <w:tblCellMar>
          <w:top w:w="0" w:type="dxa"/>
          <w:left w:w="0" w:type="dxa"/>
          <w:bottom w:w="0" w:type="dxa"/>
          <w:right w:w="0" w:type="dxa"/>
        </w:tblCellMar>
      </w:tblPr>
      <w:tblGrid>
        <w:gridCol w:w="60"/>
        <w:gridCol w:w="110"/>
        <w:gridCol w:w="64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4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changes in the standard of care for the targeted indications for the product;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availability and amount of coverage and reimbursement from government payors, managed care plans and other third-party payors. </w:t>
            </w:r>
          </w:p>
        </w:tc>
      </w:tr>
    </w:tbl>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as our lead program. However, the development of Haduvio for this indication may ultimately prove to be unsuccessful or less successful than another product candidate or other indications that we might have chosen to pursue with our limited resources.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establish sales, marketing and distribution capabilities or enter into sales, marketing and distribution arrangements with third parties, we may not be successful in commercializing Haduvio or any future product candidates if and when they are approved.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United States directly through our own focused, specialty sales organization. If Haduvio receives marketing approval outside the United States, we may develop a variety of collaboration, distribution and other marketing arrangements with one or more third parties to commercialize the product in those markets.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do not establish sales, marketing and distribution capabilities, either on our own or in collaboration with third parties, we will not be successful in commercializing any product candidate that receives marketing approval.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face substantial competition, which may result in others developing or commercializing products before or more successfully than we do.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KPL-716, a monoclonal antibody targeting oncostatin M receptor beta being developed by Kiniksa Pharmaceuticals;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pruritus associated with prurigo nodularis could face competition from these product candidates, including tradipitant, an oral neurokinin-1 receptor antagonist being developed by Vanda Pharmaceuticals that is in Phase 3 clinical trials for chronic pruritus in patients with atopic dermatitis. </w:t>
      </w:r>
    </w:p>
    <w:p>
      <w:pPr>
        <w:pStyle w:val="TextBody"/>
        <w:spacing w:before="240" w:after="0"/>
        <w:ind w:left="72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is approved for the treatment of chronic cough associated with IPF, we expect that it would compete with product candidates currently in clinical development for the treatment of chronic cough associated with IPF, such as ifenprodil which is being developed by Algernon Pharmaceuticals, and orvepitant, which is being developed by Nerre Therapeutics, and expect that it might also compete with other product candidates currently in development or submitted for approval to the FDA for the treatment of chronic refractory cough and unexplained chronic cough by companies including Merck, Shionogi, Bellus Health and Bayer. In addition, it is possible that product candidates currently in development for the treatment of IPF could, if approved, reduce the need for therapies to treat chronic cough associated with IPF.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is approved for the treatment of levodopa-induced dyskinesia, or LID, in patients with Parkinson’s disease, we expect that it would compete with Gocovri and Osmolex, which are extended release capsule formulations of amantadine marketed by Adamas Pharmaceuticals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compete with us in recruiting and retaining qualified scientific and management personnel and establishing clinical trial sites and patient registration for clinical trials.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moieties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Competition from generic versions of any products we develop could negatively impact our future revenue, profitability and cash flows and substantially limit our ability to obtain a return on our investments in those products.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we are able to commercialize a product candidate, the product may become subject to unfavorable pricing regulations, third-party payor reimbursement practices or healthcare reform initiatives, any of which could harm our business.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Product liability lawsuits could divert our resources, cause us to incur substantial liabilities and limit commercialization of any products that we may develop or in-license.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may incur substantial liabilities or be required to limit commercialization of our product candidates. Regardless of the merits or eventual outcome, liability claims may result in: </w:t>
      </w:r>
    </w:p>
    <w:tbl>
      <w:tblPr>
        <w:tblW w:w="5920" w:type="dxa"/>
        <w:jc w:val="left"/>
        <w:tblInd w:w="0" w:type="dxa"/>
        <w:tblCellMar>
          <w:top w:w="0" w:type="dxa"/>
          <w:left w:w="0" w:type="dxa"/>
          <w:bottom w:w="0" w:type="dxa"/>
          <w:right w:w="0" w:type="dxa"/>
        </w:tblCellMar>
      </w:tblPr>
      <w:tblGrid>
        <w:gridCol w:w="60"/>
        <w:gridCol w:w="110"/>
        <w:gridCol w:w="57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7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decreased demand for any products that we may develop or in-license; </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injury to our reputation and significant negative media attention; </w:t>
            </w:r>
          </w:p>
        </w:tc>
      </w:tr>
    </w:tbl>
    <w:tbl>
      <w:tblPr>
        <w:tblW w:w="3445" w:type="dxa"/>
        <w:jc w:val="left"/>
        <w:tblInd w:w="0" w:type="dxa"/>
        <w:tblCellMar>
          <w:top w:w="0" w:type="dxa"/>
          <w:left w:w="0" w:type="dxa"/>
          <w:bottom w:w="0" w:type="dxa"/>
          <w:right w:w="0" w:type="dxa"/>
        </w:tblCellMar>
      </w:tblPr>
      <w:tblGrid>
        <w:gridCol w:w="60"/>
        <w:gridCol w:w="110"/>
        <w:gridCol w:w="32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withdrawal of clinical trial participants; </w:t>
            </w:r>
          </w:p>
        </w:tc>
      </w:tr>
    </w:tbl>
    <w:tbl>
      <w:tblPr>
        <w:tblW w:w="4000" w:type="dxa"/>
        <w:jc w:val="left"/>
        <w:tblInd w:w="0" w:type="dxa"/>
        <w:tblCellMar>
          <w:top w:w="0" w:type="dxa"/>
          <w:left w:w="0" w:type="dxa"/>
          <w:bottom w:w="0" w:type="dxa"/>
          <w:right w:w="0" w:type="dxa"/>
        </w:tblCellMar>
      </w:tblPr>
      <w:tblGrid>
        <w:gridCol w:w="60"/>
        <w:gridCol w:w="110"/>
        <w:gridCol w:w="38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significant costs to defend resulting litigation; </w:t>
            </w:r>
          </w:p>
        </w:tc>
      </w:tr>
    </w:tbl>
    <w:tbl>
      <w:tblPr>
        <w:tblW w:w="5080" w:type="dxa"/>
        <w:jc w:val="left"/>
        <w:tblInd w:w="0" w:type="dxa"/>
        <w:tblCellMar>
          <w:top w:w="0" w:type="dxa"/>
          <w:left w:w="0" w:type="dxa"/>
          <w:bottom w:w="0" w:type="dxa"/>
          <w:right w:w="0" w:type="dxa"/>
        </w:tblCellMar>
      </w:tblPr>
      <w:tblGrid>
        <w:gridCol w:w="60"/>
        <w:gridCol w:w="110"/>
        <w:gridCol w:w="49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substantial monetary awards to trial participants or patients; </w:t>
            </w:r>
          </w:p>
        </w:tc>
      </w:tr>
    </w:tbl>
    <w:tbl>
      <w:tblPr>
        <w:tblW w:w="1510" w:type="dxa"/>
        <w:jc w:val="left"/>
        <w:tblInd w:w="0" w:type="dxa"/>
        <w:tblCellMar>
          <w:top w:w="0" w:type="dxa"/>
          <w:left w:w="0" w:type="dxa"/>
          <w:bottom w:w="0" w:type="dxa"/>
          <w:right w:w="0" w:type="dxa"/>
        </w:tblCellMar>
      </w:tblPr>
      <w:tblGrid>
        <w:gridCol w:w="60"/>
        <w:gridCol w:w="110"/>
        <w:gridCol w:w="13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3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loss of revenue; </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0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reduced resources of our management to pursue our business strategy; and </w:t>
            </w:r>
          </w:p>
        </w:tc>
      </w:tr>
    </w:tbl>
    <w:tbl>
      <w:tblPr>
        <w:tblW w:w="5545" w:type="dxa"/>
        <w:jc w:val="left"/>
        <w:tblInd w:w="0" w:type="dxa"/>
        <w:tblCellMar>
          <w:top w:w="0" w:type="dxa"/>
          <w:left w:w="0" w:type="dxa"/>
          <w:bottom w:w="0" w:type="dxa"/>
          <w:right w:w="0" w:type="dxa"/>
        </w:tblCellMar>
      </w:tblPr>
      <w:tblGrid>
        <w:gridCol w:w="60"/>
        <w:gridCol w:w="110"/>
        <w:gridCol w:w="53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inability to commercialize any products that we may develop.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Our Dependence on Third Parties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rely on third parties to conduct our clinical trials. If they do not perform satisfactorily, our business could be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be also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contract with third parties for the manufacture, storage, packaging and distribution of Haduvio for clinical trials, including a single supplier for the active ingredient, and expect to continue to rely on third parties for these services in connection with our future development and commercialization efforts for Haduvio and any future product candidates.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termination or nonrenewal of agreements by our third-party contractors at a time that is costly or inconvenient for us; </w:t>
            </w:r>
          </w:p>
        </w:tc>
      </w:tr>
    </w:tbl>
    <w:tbl>
      <w:tblPr>
        <w:tblW w:w="6310" w:type="dxa"/>
        <w:jc w:val="left"/>
        <w:tblInd w:w="0" w:type="dxa"/>
        <w:tblCellMar>
          <w:top w:w="0" w:type="dxa"/>
          <w:left w:w="0" w:type="dxa"/>
          <w:bottom w:w="0" w:type="dxa"/>
          <w:right w:w="0" w:type="dxa"/>
        </w:tblCellMar>
      </w:tblPr>
      <w:tblGrid>
        <w:gridCol w:w="60"/>
        <w:gridCol w:w="110"/>
        <w:gridCol w:w="61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1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breach by third-party contractors of our agreements with them; </w:t>
            </w:r>
          </w:p>
        </w:tc>
      </w:tr>
    </w:tbl>
    <w:tbl>
      <w:tblPr>
        <w:tblW w:w="7345" w:type="dxa"/>
        <w:jc w:val="left"/>
        <w:tblInd w:w="0" w:type="dxa"/>
        <w:tblCellMar>
          <w:top w:w="0" w:type="dxa"/>
          <w:left w:w="0" w:type="dxa"/>
          <w:bottom w:w="0" w:type="dxa"/>
          <w:right w:w="0" w:type="dxa"/>
        </w:tblCellMar>
      </w:tblPr>
      <w:tblGrid>
        <w:gridCol w:w="60"/>
        <w:gridCol w:w="110"/>
        <w:gridCol w:w="717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17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failure of third-party contractors to comply with applicable regulatory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mislabeling of clinical supplies, potentially resulting in the wrong dose amounts being supplied or active drug or placebo not being properly identified;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possibility of clinical supplies not being delivered to clinical sites on time, leading to clinical trial interruptions, or of drug supplies not being distributed to commercial vendors in a timely manner, resulting in lost sales; and </w:t>
            </w:r>
          </w:p>
        </w:tc>
      </w:tr>
    </w:tbl>
    <w:tbl>
      <w:tblPr>
        <w:tblW w:w="8650" w:type="dxa"/>
        <w:jc w:val="left"/>
        <w:tblInd w:w="0" w:type="dxa"/>
        <w:tblCellMar>
          <w:top w:w="0" w:type="dxa"/>
          <w:left w:w="0" w:type="dxa"/>
          <w:bottom w:w="0" w:type="dxa"/>
          <w:right w:w="0" w:type="dxa"/>
        </w:tblCellMar>
      </w:tblPr>
      <w:tblGrid>
        <w:gridCol w:w="60"/>
        <w:gridCol w:w="110"/>
        <w:gridCol w:w="84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possible misappropriation of our proprietary information, including our trade secrets and know-how. </w:t>
            </w:r>
          </w:p>
        </w:tc>
      </w:tr>
    </w:tbl>
    <w:p>
      <w:pPr>
        <w:pStyle w:val="TextBody"/>
        <w:spacing w:before="240" w:after="0"/>
        <w:rPr>
          <w:rFonts w:ascii="Times New Roman" w:hAnsi="Times New Roman"/>
          <w:b w:val="false"/>
          <w:i w:val="false"/>
          <w:caps w:val="false"/>
          <w:smallCaps w:val="false"/>
          <w:color w:val="000000"/>
          <w:sz w:val="20"/>
        </w:rPr>
      </w:pPr>
      <w:bookmarkStart w:id="38" w:name="_cp_text_1_299"/>
      <w:bookmarkEnd w:id="38"/>
      <w:r>
        <w:rPr>
          <w:rFonts w:ascii="Times New Roman" w:hAnsi="Times New Roman"/>
          <w:b w:val="false"/>
          <w:i w:val="false"/>
          <w:caps w:val="false"/>
          <w:smallCaps w:val="false"/>
          <w:color w:val="000000"/>
          <w:sz w:val="20"/>
        </w:rPr>
        <w:t xml:space="preserve">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also rely, and plan to continue to rely, on a single supplier, Mallinckrodt, for nalbuphine hydrochloride drug substance. We do not have agreements in place with Mallinckrodt that guarantee supply quantities or pricing.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October 2020, Mallinckrodt and certain of its subsidiaries filed for bankruptcy protection in the U.S. Bankruptcy Court for the District of Delaware. It is currently uncertain what impact, if any, Mallinckrodt’s bankruptcy filing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current and anticipated future dependence upon others for the manufacture of Haduvio or any future product candidate may harm our future profit margins and our ability to commercialize any products that receive marketing approval on a timely and competitive basis.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seek to establish collaborations and, if we are not able to establish them on commercially reasonable terms, we may have to alter our development and commercialization plans.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face significant competition in seeking appropriate collaborators. There have been a significant number of recent business combinations among large pharmaceutical companies that have resulted in a reduced number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establish one or more collaborations, all of the risks relating to product development, regulatory approval and commercialization described in this Annual Report on Form 10-K would also apply to the activities of any such future collaborators.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enter into collaborations with third parties for the development or commercialization of Haduvio or any future product candidate, our prospects with respect to those product candidates will depend in significant part on the success of those collaborations.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Collaborations involving a product candidate would pose a number of risks,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have significant discretion in determining the efforts and resources that they will apply to these collaborations; </w:t>
            </w:r>
          </w:p>
        </w:tc>
      </w:tr>
    </w:tbl>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9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not perform their obligations as expected;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be involved in a business combination, and could decide to delay, diminish or terminate the development or commercialization of any product candidate licensed by us;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could independently develop, or develop with third parties, products that compete directly or indirectly with the product candidates under the collaboration;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with marketing and distribution rights to one or more products may not commit sufficient resources to the marketing and distribution of such product or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infringe the intellectual property rights of third parties, which may expose us to litigation and potential liability, or misappropriate our intellectual property or other proprietary information;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collaborators may engage in misconduct or other improper activities, including non-compliance with regulatory standards and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disputes may arise between the collaborators and us regarding ownership of or other rights in the intellectual property generated in the course of the collaborations;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collaborations may be terminated and, if terminated, may result in a need for additional capital to pursue further development or commercialization of the applicable product candidates.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Collaboration agreements may not lead to development or commercialization of product candidates in the most efficient manner or at all. </w:t>
      </w:r>
    </w:p>
    <w:p>
      <w:pPr>
        <w:pStyle w:val="TextBody"/>
        <w:spacing w:before="360" w:after="0"/>
        <w:rPr>
          <w:rFonts w:ascii="Times New Roman" w:hAnsi="Times New Roman"/>
          <w:b/>
          <w:i w:val="false"/>
          <w:caps w:val="false"/>
          <w:smallCaps w:val="false"/>
          <w:color w:val="000000"/>
          <w:sz w:val="20"/>
        </w:rPr>
      </w:pPr>
      <w:bookmarkStart w:id="39" w:name="_Hlk54703778"/>
      <w:bookmarkEnd w:id="39"/>
      <w:r>
        <w:rPr>
          <w:rFonts w:ascii="Times New Roman" w:hAnsi="Times New Roman"/>
          <w:b/>
          <w:i w:val="false"/>
          <w:caps w:val="false"/>
          <w:smallCaps w:val="false"/>
          <w:color w:val="000000"/>
          <w:sz w:val="20"/>
        </w:rPr>
        <w:t xml:space="preserve">Risks Related to Our Intellectual Property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fail to comply with our obligations under our existing and any future intellectual property licenses with third parties, we could lose license rights that are critical to our business or owe damages to the licensor of such intellectual property.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Haduvio.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For instance, Rutgers University has asserted that we are not in compliance with our diligence obligations under our license agreement with Rutgers University and could seek to terminate the license agreement if we are unable to resolve the matter. Any termination of our license agreements could have a material adverse impact on our business.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Disputes may also arise regarding intellectual property subject to a license agreement, including: </w:t>
      </w:r>
    </w:p>
    <w:tbl>
      <w:tblPr>
        <w:tblW w:w="7855" w:type="dxa"/>
        <w:jc w:val="left"/>
        <w:tblInd w:w="0" w:type="dxa"/>
        <w:tblCellMar>
          <w:top w:w="0" w:type="dxa"/>
          <w:left w:w="0" w:type="dxa"/>
          <w:bottom w:w="0" w:type="dxa"/>
          <w:right w:w="0" w:type="dxa"/>
        </w:tblCellMar>
      </w:tblPr>
      <w:tblGrid>
        <w:gridCol w:w="60"/>
        <w:gridCol w:w="110"/>
        <w:gridCol w:w="76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6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scope of rights granted under the license agreement and other interpretation-related issues;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extent to which our activities or product candidates may infringe the intellectual property of the licensor that is not subject to the licensing agreement; </w:t>
            </w:r>
          </w:p>
        </w:tc>
      </w:tr>
    </w:tbl>
    <w:tbl>
      <w:tblPr>
        <w:tblW w:w="7900" w:type="dxa"/>
        <w:jc w:val="left"/>
        <w:tblInd w:w="0" w:type="dxa"/>
        <w:tblCellMar>
          <w:top w:w="0" w:type="dxa"/>
          <w:left w:w="0" w:type="dxa"/>
          <w:bottom w:w="0" w:type="dxa"/>
          <w:right w:w="0" w:type="dxa"/>
        </w:tblCellMar>
      </w:tblPr>
      <w:tblGrid>
        <w:gridCol w:w="60"/>
        <w:gridCol w:w="110"/>
        <w:gridCol w:w="77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7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sublicensing of patent and other rights under any collaborative development relationships; </w:t>
            </w:r>
          </w:p>
        </w:tc>
      </w:tr>
    </w:tbl>
    <w:tbl>
      <w:tblPr>
        <w:tblW w:w="9070" w:type="dxa"/>
        <w:jc w:val="left"/>
        <w:tblInd w:w="0" w:type="dxa"/>
        <w:tblCellMar>
          <w:top w:w="0" w:type="dxa"/>
          <w:left w:w="0" w:type="dxa"/>
          <w:bottom w:w="0" w:type="dxa"/>
          <w:right w:w="0" w:type="dxa"/>
        </w:tblCellMar>
      </w:tblPr>
      <w:tblGrid>
        <w:gridCol w:w="60"/>
        <w:gridCol w:w="110"/>
        <w:gridCol w:w="89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9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diligence obligations under the license agreement and what activities satisfy those diligence obligations;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inventorship or ownership of inventions and know-how resulting from joint creation or use of intellectual property by licensors and us; and </w:t>
            </w:r>
          </w:p>
        </w:tc>
      </w:tr>
    </w:tbl>
    <w:tbl>
      <w:tblPr>
        <w:tblW w:w="4525" w:type="dxa"/>
        <w:jc w:val="left"/>
        <w:tblInd w:w="0" w:type="dxa"/>
        <w:tblCellMar>
          <w:top w:w="0" w:type="dxa"/>
          <w:left w:w="0" w:type="dxa"/>
          <w:bottom w:w="0" w:type="dxa"/>
          <w:right w:w="0" w:type="dxa"/>
        </w:tblCellMar>
      </w:tblPr>
      <w:tblGrid>
        <w:gridCol w:w="60"/>
        <w:gridCol w:w="110"/>
        <w:gridCol w:w="43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priority of invention of any patented technology.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disputes over intellectual property that we license prevent or impair our ability to maintain those license arrangements on acceptable terms or at all, we may be unable to successfully develop and commercialize any affected product candidates.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success depends in large part on our ability to obtain and maintain patent protection in the United States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protect the confidentiality of our trade secrets, the value of our products could be negatively impacted and our business would be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become involved in lawsuits to protect or enforce our patents or other intellectual property, which could be expensive, time consuming and unsuccessful.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sued for infringing intellectual property rights of third parties, such litigation could be costly and time consuming, its outcome would be uncertain and it could prevent or delay us from developing or commercializing Haduvio or any future product candidate.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Changes to the patent law in the United States and other jurisdictions could diminish the value of patents in general, thereby impairing our ability to protect our products.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not be able to enforce our intellectual property rights throughout the world.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may be subject to claims by third parties asserting that our employees or we have misappropriated their intellectual property, or claiming ownership of what we regard as our own intellectual property.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are unable to obtain licenses from third parties on commercially reasonable terms, our business could be harmed.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 </w:t>
      </w:r>
    </w:p>
    <w:p>
      <w:pPr>
        <w:pStyle w:val="TextBody"/>
        <w:spacing w:before="360" w:after="0"/>
        <w:rPr>
          <w:rFonts w:ascii="Times New Roman" w:hAnsi="Times New Roman"/>
          <w:b/>
          <w:i w:val="false"/>
          <w:caps w:val="false"/>
          <w:smallCaps w:val="false"/>
          <w:color w:val="000000"/>
          <w:sz w:val="20"/>
        </w:rPr>
      </w:pPr>
      <w:bookmarkStart w:id="40" w:name="_Hlk66701097"/>
      <w:bookmarkEnd w:id="40"/>
      <w:r>
        <w:rPr>
          <w:rFonts w:ascii="Times New Roman" w:hAnsi="Times New Roman"/>
          <w:b/>
          <w:i w:val="false"/>
          <w:caps w:val="false"/>
          <w:smallCaps w:val="false"/>
          <w:color w:val="000000"/>
          <w:sz w:val="20"/>
        </w:rPr>
        <w:t>Risks Related to Regulatory Approval and Other Legal Compliance Matters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the FDA does not conclude that Haduvio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commenced our Phase 2b/3 PRISM trial of Haduvio for the treatment of pruritus associated with prurigo nodularis and we believe we will need to conduct an additional Phase 3 clinical trial of Haduvio for the treatment of pruritus associated with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Haduvio for the treatment of pruritus associated with prurigo nodularis and any future product candidates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Finally, disruptions at the FDA and other agencies may prolong the time necessary for new drugs to be reviewed and/or approved by necessary government agencies, which would adversely affect our business. This may be exacerbated during the COVID-19 pandemic as the FDA focuses its resources on vaccines and other treatments for COVID-19.  In addition. for example, over the last several years, the United States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The Trump Administration also took several executive actions that could impose significant burdens on, or otherwise materially delay, the FDA’s ability to engage in routine regulatory and oversight activities.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have conducted, are conducting and intend in the future to conduct clinical trials for Haduvio, and may conduct clinical trials for any future product candidates, at sites outside the United States. The FDA may not accept data from trials conducted in such locations and the conduct of trials outside the United States could subject us to additional delays and expense.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conducted, are conducting and intend in the future to conduct clinical trials for Haduvio,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Haduvio or the applicable future product candidate.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the conduct of clinical trials outside the United States could have a significant adverse impact on us. Risks inherent in conducting international clinical trials include: </w:t>
      </w:r>
    </w:p>
    <w:tbl>
      <w:tblPr>
        <w:tblW w:w="6790" w:type="dxa"/>
        <w:jc w:val="left"/>
        <w:tblInd w:w="0" w:type="dxa"/>
        <w:tblCellMar>
          <w:top w:w="0" w:type="dxa"/>
          <w:left w:w="0" w:type="dxa"/>
          <w:bottom w:w="0" w:type="dxa"/>
          <w:right w:w="0" w:type="dxa"/>
        </w:tblCellMar>
      </w:tblPr>
      <w:tblGrid>
        <w:gridCol w:w="60"/>
        <w:gridCol w:w="110"/>
        <w:gridCol w:w="66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6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clinical practice patterns and standards of care that vary widely among countries; </w:t>
            </w:r>
          </w:p>
        </w:tc>
      </w:tr>
    </w:tbl>
    <w:tbl>
      <w:tblPr>
        <w:tblW w:w="9130" w:type="dxa"/>
        <w:jc w:val="left"/>
        <w:tblInd w:w="0" w:type="dxa"/>
        <w:tblCellMar>
          <w:top w:w="0" w:type="dxa"/>
          <w:left w:w="0" w:type="dxa"/>
          <w:bottom w:w="0" w:type="dxa"/>
          <w:right w:w="0" w:type="dxa"/>
        </w:tblCellMar>
      </w:tblPr>
      <w:tblGrid>
        <w:gridCol w:w="60"/>
        <w:gridCol w:w="110"/>
        <w:gridCol w:w="89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9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non-U.S. regulatory authority requirements that could restrict or limit our ability to conduct our clinical trials; </w:t>
            </w:r>
          </w:p>
        </w:tc>
      </w:tr>
    </w:tbl>
    <w:tbl>
      <w:tblPr>
        <w:tblW w:w="8770" w:type="dxa"/>
        <w:jc w:val="left"/>
        <w:tblInd w:w="0" w:type="dxa"/>
        <w:tblCellMar>
          <w:top w:w="0" w:type="dxa"/>
          <w:left w:w="0" w:type="dxa"/>
          <w:bottom w:w="0" w:type="dxa"/>
          <w:right w:w="0" w:type="dxa"/>
        </w:tblCellMar>
      </w:tblPr>
      <w:tblGrid>
        <w:gridCol w:w="60"/>
        <w:gridCol w:w="110"/>
        <w:gridCol w:w="86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6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administrative burdens of conducting clinical trials under multiple non-U.S. regulatory authority schema; </w:t>
            </w:r>
          </w:p>
        </w:tc>
      </w:tr>
    </w:tbl>
    <w:tbl>
      <w:tblPr>
        <w:tblW w:w="3415" w:type="dxa"/>
        <w:jc w:val="left"/>
        <w:tblInd w:w="0" w:type="dxa"/>
        <w:tblCellMar>
          <w:top w:w="0" w:type="dxa"/>
          <w:left w:w="0" w:type="dxa"/>
          <w:bottom w:w="0" w:type="dxa"/>
          <w:right w:w="0" w:type="dxa"/>
        </w:tblCellMar>
      </w:tblPr>
      <w:tblGrid>
        <w:gridCol w:w="60"/>
        <w:gridCol w:w="110"/>
        <w:gridCol w:w="32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2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foreign exchange rate fluctuations; and </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diminished protection of intellectual property in some countries. </w:t>
            </w:r>
          </w:p>
        </w:tc>
      </w:tr>
    </w:tbl>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Failure to obtain marketing approval in foreign jurisdictions would prevent Haduvio or any future product candidate from being marketed in other countries. Any marketing approval we are granted in the United States would not assure marketing approval in foreign jurisdictions.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Additionally, we could face heightened risks with respect to seeking marketing approval in the United Kingdom as a result of the recent withdrawal of the United Kingdom from the European Union, commonly referred to as Brexit.  The United Kingdom and European Union entered into a Trade and Cooperation Agreement in connection with Brexit that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Even if we obtain marketing approvals for a product, the terms of approvals and ongoing regulation of such product may limit how we manufacture and market the product, which could impair our ability to generate revenue.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74</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Accordingly, assuming we receive marketing approval for one or more products, we and our contract manufacturers will continue to expend time, money and effort in a number of areas of regulatory compliance, including manufacturing, production, product surveillance and quality control.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expect that any regulatory approval to market Haduvio in the United States will be limited by indication. If we fail to comply or are found to be in violation of FDA and other regulations restricting the promotion of Haduvio for unapproved uses, we could be subject to criminal penalties, substantial fines or other sanctions and damage awards.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our clinical trials are successful, we intend to seek approval to market Haduvio for the treatment of pruritus associated with prurigo nodularis. If we obtain regulatory approval to market Haduvio with an indication statement for the treatment of pruritus associated with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regulations relating to the promotion of products for unapproved uses are complex and subject to substantial interpretation by the FDA, EMA and other government agencies. While we have, and may in the future conduct, clinical trials to evaluate the use of Haduvio to treat pruritic conditions other than pruritus associated with prurigo nodularis, Haduvio cannot be promoted for uses other than uses approved in the labeling by the FDA, EMA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 is entitled to a share of any recovery or settlement.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suits, also commonly referred to as “whistleblower suits,” are often brought by current or former employees. In a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 the government must decide whether to intervene and prosecute the case. If it declines, the individual may pursue the case alone.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the FDA or any other governmental agency initiates an enforcement action against us or if we are the subject of a </w:t>
      </w:r>
      <w:r>
        <w:rPr>
          <w:rFonts w:ascii="Times New Roman" w:hAnsi="Times New Roman"/>
          <w:b w:val="false"/>
          <w:i/>
          <w:caps w:val="false"/>
          <w:smallCaps w:val="false"/>
          <w:color w:val="000000"/>
          <w:sz w:val="20"/>
        </w:rPr>
        <w:t>qui tam</w:t>
      </w:r>
      <w:r>
        <w:rPr>
          <w:rFonts w:ascii="Times New Roman" w:hAnsi="Times New Roman"/>
          <w:b w:val="false"/>
          <w:i w:val="false"/>
          <w:caps w:val="false"/>
          <w:smallCaps w:val="false"/>
          <w:color w:val="000000"/>
          <w:sz w:val="20"/>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75</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later discovery of previously unknown adverse events or other problems with any product for which we may obtain marketing approval and its manufacturers or manufacturing processes, or failure to comply with regulatory requirements, may yield various results, including: </w:t>
      </w:r>
    </w:p>
    <w:tbl>
      <w:tblPr>
        <w:tblW w:w="6025" w:type="dxa"/>
        <w:jc w:val="left"/>
        <w:tblInd w:w="0" w:type="dxa"/>
        <w:tblCellMar>
          <w:top w:w="0" w:type="dxa"/>
          <w:left w:w="0" w:type="dxa"/>
          <w:bottom w:w="0" w:type="dxa"/>
          <w:right w:w="0" w:type="dxa"/>
        </w:tblCellMar>
      </w:tblPr>
      <w:tblGrid>
        <w:gridCol w:w="60"/>
        <w:gridCol w:w="110"/>
        <w:gridCol w:w="58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8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such product, manufacturers or manufacturing processes; </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the labeling or marketing of the product; </w:t>
            </w:r>
          </w:p>
        </w:tc>
      </w:tr>
    </w:tbl>
    <w:tbl>
      <w:tblPr>
        <w:tblW w:w="3655" w:type="dxa"/>
        <w:jc w:val="left"/>
        <w:tblInd w:w="0" w:type="dxa"/>
        <w:tblCellMar>
          <w:top w:w="0" w:type="dxa"/>
          <w:left w:w="0" w:type="dxa"/>
          <w:bottom w:w="0" w:type="dxa"/>
          <w:right w:w="0" w:type="dxa"/>
        </w:tblCellMar>
      </w:tblPr>
      <w:tblGrid>
        <w:gridCol w:w="60"/>
        <w:gridCol w:w="110"/>
        <w:gridCol w:w="34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4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product distribution or use; </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requirements to conduct post-marketing studies or clinical trials; </w:t>
            </w:r>
          </w:p>
        </w:tc>
      </w:tr>
    </w:tbl>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7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warning letters or untitled letters; </w:t>
            </w:r>
          </w:p>
        </w:tc>
      </w:tr>
    </w:tbl>
    <w:tbl>
      <w:tblPr>
        <w:tblW w:w="3700" w:type="dxa"/>
        <w:jc w:val="left"/>
        <w:tblInd w:w="0" w:type="dxa"/>
        <w:tblCellMar>
          <w:top w:w="0" w:type="dxa"/>
          <w:left w:w="0" w:type="dxa"/>
          <w:bottom w:w="0" w:type="dxa"/>
          <w:right w:w="0" w:type="dxa"/>
        </w:tblCellMar>
      </w:tblPr>
      <w:tblGrid>
        <w:gridCol w:w="60"/>
        <w:gridCol w:w="110"/>
        <w:gridCol w:w="35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withdrawal of the product from the market; </w:t>
            </w:r>
          </w:p>
        </w:tc>
      </w:tr>
    </w:tbl>
    <w:tbl>
      <w:tblPr>
        <w:tblW w:w="8095" w:type="dxa"/>
        <w:jc w:val="left"/>
        <w:tblInd w:w="0" w:type="dxa"/>
        <w:tblCellMar>
          <w:top w:w="0" w:type="dxa"/>
          <w:left w:w="0" w:type="dxa"/>
          <w:bottom w:w="0" w:type="dxa"/>
          <w:right w:w="0" w:type="dxa"/>
        </w:tblCellMar>
      </w:tblPr>
      <w:tblGrid>
        <w:gridCol w:w="60"/>
        <w:gridCol w:w="110"/>
        <w:gridCol w:w="79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9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refusal to approve pending applications or supplements to approved applications that we submit; </w:t>
            </w:r>
          </w:p>
        </w:tc>
      </w:tr>
    </w:tbl>
    <w:tbl>
      <w:tblPr>
        <w:tblW w:w="1930" w:type="dxa"/>
        <w:jc w:val="left"/>
        <w:tblInd w:w="0" w:type="dxa"/>
        <w:tblCellMar>
          <w:top w:w="0" w:type="dxa"/>
          <w:left w:w="0" w:type="dxa"/>
          <w:bottom w:w="0" w:type="dxa"/>
          <w:right w:w="0" w:type="dxa"/>
        </w:tblCellMar>
      </w:tblPr>
      <w:tblGrid>
        <w:gridCol w:w="60"/>
        <w:gridCol w:w="110"/>
        <w:gridCol w:w="17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7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recall of the product; </w:t>
            </w:r>
          </w:p>
        </w:tc>
      </w:tr>
    </w:tbl>
    <w:tbl>
      <w:tblPr>
        <w:tblW w:w="3985" w:type="dxa"/>
        <w:jc w:val="left"/>
        <w:tblInd w:w="0" w:type="dxa"/>
        <w:tblCellMar>
          <w:top w:w="0" w:type="dxa"/>
          <w:left w:w="0" w:type="dxa"/>
          <w:bottom w:w="0" w:type="dxa"/>
          <w:right w:w="0" w:type="dxa"/>
        </w:tblCellMar>
      </w:tblPr>
      <w:tblGrid>
        <w:gridCol w:w="60"/>
        <w:gridCol w:w="110"/>
        <w:gridCol w:w="38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8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restrictions on coverage by third-party payors; </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5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fines, restitution or disgorgement of profits or revenues; </w:t>
            </w:r>
          </w:p>
        </w:tc>
      </w:tr>
    </w:tbl>
    <w:tbl>
      <w:tblPr>
        <w:tblW w:w="4270" w:type="dxa"/>
        <w:jc w:val="left"/>
        <w:tblInd w:w="0" w:type="dxa"/>
        <w:tblCellMar>
          <w:top w:w="0" w:type="dxa"/>
          <w:left w:w="0" w:type="dxa"/>
          <w:bottom w:w="0" w:type="dxa"/>
          <w:right w:w="0" w:type="dxa"/>
        </w:tblCellMar>
      </w:tblPr>
      <w:tblGrid>
        <w:gridCol w:w="60"/>
        <w:gridCol w:w="110"/>
        <w:gridCol w:w="41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1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suspension or withdrawal of marketing approvals; </w:t>
            </w:r>
          </w:p>
        </w:tc>
      </w:tr>
    </w:tbl>
    <w:tbl>
      <w:tblPr>
        <w:tblW w:w="4465" w:type="dxa"/>
        <w:jc w:val="left"/>
        <w:tblInd w:w="0" w:type="dxa"/>
        <w:tblCellMar>
          <w:top w:w="0" w:type="dxa"/>
          <w:left w:w="0" w:type="dxa"/>
          <w:bottom w:w="0" w:type="dxa"/>
          <w:right w:w="0" w:type="dxa"/>
        </w:tblCellMar>
      </w:tblPr>
      <w:tblGrid>
        <w:gridCol w:w="60"/>
        <w:gridCol w:w="110"/>
        <w:gridCol w:w="429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29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refusal to permit the import or export of the product; </w:t>
            </w:r>
          </w:p>
        </w:tc>
      </w:tr>
    </w:tbl>
    <w:tbl>
      <w:tblPr>
        <w:tblW w:w="1750" w:type="dxa"/>
        <w:jc w:val="left"/>
        <w:tblInd w:w="0" w:type="dxa"/>
        <w:tblCellMar>
          <w:top w:w="0" w:type="dxa"/>
          <w:left w:w="0" w:type="dxa"/>
          <w:bottom w:w="0" w:type="dxa"/>
          <w:right w:w="0" w:type="dxa"/>
        </w:tblCellMar>
      </w:tblPr>
      <w:tblGrid>
        <w:gridCol w:w="60"/>
        <w:gridCol w:w="110"/>
        <w:gridCol w:w="1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product seizure; or </w:t>
            </w:r>
          </w:p>
        </w:tc>
      </w:tr>
    </w:tbl>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8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injunctions or the imposition of civil or criminal penalties.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Current and future legislation may increase the difficulty and cost for us to obtain marketing approval of and commercialize Haduvio or any future product candidate and may affect the prices we may obtain.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the United States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United States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the United States Supreme Court agreed to hear this case. Oral argument in the case took place on November 10, 2020, and a ruling by the Court is expected sometime this year. On February 10, 2021, the Biden Administration withdrew the federal government’s support for overturning the ACA.  Litigation and legislation over the ACA are likely to continue, with unpredictable and uncertain results.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Current and future legislative efforts may limit the prices for our products, if and when they are licensed for marketing, and that could materially impact our ability to generate revenues.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prices of prescription pharmaceuticals have also been the subject of considerable discussion in the United States. To date, there have been several recent United States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To those ends, President Trump issued five executive orders intended to lower the costs of prescription drug products. Several of these orders are reflected in recently promulgated regulations, and one of these regulations is currently subject to a nationwide preliminary injunction. It remains to be seen whether these orders and resulting regulations will remain in force during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78</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Anti-Kickback Statute</w:t>
      </w:r>
      <w:r>
        <w:rPr>
          <w:rFonts w:ascii="Times New Roman" w:hAnsi="Times New Roman"/>
          <w:b w:val="false"/>
          <w:i w:val="false"/>
          <w:caps w:val="false"/>
          <w:smallCaps w:val="false"/>
          <w:color w:val="000000"/>
          <w:sz w:val="20"/>
        </w:rPr>
        <w:t xml:space="preserve">.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False Claims Laws. </w:t>
      </w:r>
      <w:r>
        <w:rPr>
          <w:rFonts w:ascii="Times New Roman" w:hAnsi="Times New Roman"/>
          <w:b w:val="false"/>
          <w:i w:val="false"/>
          <w:caps w:val="false"/>
          <w:smallCaps w:val="false"/>
          <w:color w:val="000000"/>
          <w:sz w:val="20"/>
        </w:rPr>
        <w:t>The federal false claims and civil monetary penalties laws, including the federal civil False Claims Act, impose criminal and civil penalties, including through civil whistleblower or</w:t>
      </w:r>
      <w:r>
        <w:rPr>
          <w:rFonts w:ascii="Times New Roman" w:hAnsi="Times New Roman"/>
          <w:b w:val="false"/>
          <w:i/>
          <w:caps w:val="false"/>
          <w:smallCaps w:val="false"/>
          <w:color w:val="000000"/>
          <w:sz w:val="20"/>
        </w:rPr>
        <w:t> qui tam </w:t>
      </w:r>
      <w:r>
        <w:rPr>
          <w:rFonts w:ascii="Times New Roman" w:hAnsi="Times New Roman"/>
          <w:b w:val="false"/>
          <w:i w:val="false"/>
          <w:caps w:val="false"/>
          <w:smallCaps w:val="false"/>
          <w:color w:val="000000"/>
          <w:sz w:val="20"/>
        </w:rPr>
        <w:t xml:space="preserve">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HIPAA. </w:t>
      </w:r>
      <w:r>
        <w:rPr>
          <w:rFonts w:ascii="Times New Roman" w:hAnsi="Times New Roman"/>
          <w:b w:val="false"/>
          <w:i w:val="false"/>
          <w:caps w:val="false"/>
          <w:smallCaps w:val="false"/>
          <w:color w:val="000000"/>
          <w:sz w:val="20"/>
        </w:rPr>
        <w:t xml:space="preserve">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Transparency Requirements. </w:t>
      </w:r>
      <w:r>
        <w:rPr>
          <w:rFonts w:ascii="Times New Roman" w:hAnsi="Times New Roman"/>
          <w:b w:val="false"/>
          <w:i w:val="false"/>
          <w:caps w:val="false"/>
          <w:smallCaps w:val="false"/>
          <w:color w:val="000000"/>
          <w:sz w:val="20"/>
        </w:rPr>
        <w:t xml:space="preserve">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Analogous State and Foreign Laws. </w:t>
      </w:r>
      <w:r>
        <w:rPr>
          <w:rFonts w:ascii="Times New Roman" w:hAnsi="Times New Roman"/>
          <w:b w:val="false"/>
          <w:i w:val="false"/>
          <w:caps w:val="false"/>
          <w:smallCaps w:val="false"/>
          <w:color w:val="000000"/>
          <w:sz w:val="20"/>
        </w:rPr>
        <w:t xml:space="preserve">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 </w:t>
      </w:r>
    </w:p>
    <w:p>
      <w:pPr>
        <w:pStyle w:val="TextBody"/>
        <w:spacing w:before="360" w:after="0"/>
        <w:rPr>
          <w:rFonts w:ascii="Times New Roman" w:hAnsi="Times New Roman"/>
          <w:b/>
          <w:i/>
          <w:caps w:val="false"/>
          <w:smallCaps w:val="false"/>
          <w:color w:val="000000"/>
          <w:sz w:val="20"/>
        </w:rPr>
      </w:pPr>
      <w:bookmarkStart w:id="41" w:name="_cp_text_1_309"/>
      <w:bookmarkEnd w:id="41"/>
      <w:r>
        <w:rPr>
          <w:rFonts w:ascii="Times New Roman" w:hAnsi="Times New Roman"/>
          <w:b/>
          <w:i/>
          <w:caps w:val="false"/>
          <w:smallCaps w:val="false"/>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hAnsi="Times New Roman"/>
          <w:b w:val="false"/>
          <w:i w:val="false"/>
          <w:caps w:val="false"/>
          <w:smallCaps w:val="false"/>
          <w:color w:val="000000"/>
          <w:sz w:val="20"/>
        </w:rPr>
        <w: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is creating similar risks and obligations as those created by GDPR, though the CCPA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80</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Laws and regulations governing any international operations we may have in the future may preclude us from developing, manufacturing and selling certain products outside of the United States and require us to develop and implement costly compliance programs.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fail to comply with environmental, health and safety laws and regulations, we could become subject to fines or penalties or incur costs that could harm our business.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business and operations would suffer in the event of system failures.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Employee Matters and Managing our Growth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future success depends on our ability to retain our executive team and to attract, retain and motivate qualified personnel.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highly dependent on Jennifer Good, our President and Chief Executive Officer; Thomas Sciascia, M.D., our Chief Medical Officer; and William Forbes, Pharm. 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expect to expand our organization, and as a result, we may encounter difficulties in managing our growth, which could disrupt our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2020 we had 22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employees, independent contractors and consultants may engage in misconduct or other improper activities, including non-compliance with regulatory standards and requirements, which could cause significant liability for us and harm our reputation.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Risks Related to Our Common Stock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An active trading market for our common stock may not be sustainable.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The trading price of our common stock is highly volatile, which could result in substantial losses for purchasers of our common stock.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 </w:t>
      </w:r>
    </w:p>
    <w:tbl>
      <w:tblPr>
        <w:tblW w:w="7000" w:type="dxa"/>
        <w:jc w:val="left"/>
        <w:tblInd w:w="0" w:type="dxa"/>
        <w:tblCellMar>
          <w:top w:w="0" w:type="dxa"/>
          <w:left w:w="0" w:type="dxa"/>
          <w:bottom w:w="0" w:type="dxa"/>
          <w:right w:w="0" w:type="dxa"/>
        </w:tblCellMar>
      </w:tblPr>
      <w:tblGrid>
        <w:gridCol w:w="60"/>
        <w:gridCol w:w="110"/>
        <w:gridCol w:w="68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8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timing and results of clinical trials of Haduvio or any future product candidates; </w:t>
            </w:r>
          </w:p>
        </w:tc>
      </w:tr>
    </w:tbl>
    <w:tbl>
      <w:tblPr>
        <w:tblW w:w="5770" w:type="dxa"/>
        <w:jc w:val="left"/>
        <w:tblInd w:w="0" w:type="dxa"/>
        <w:tblCellMar>
          <w:top w:w="0" w:type="dxa"/>
          <w:left w:w="0" w:type="dxa"/>
          <w:bottom w:w="0" w:type="dxa"/>
          <w:right w:w="0" w:type="dxa"/>
        </w:tblCellMar>
      </w:tblPr>
      <w:tblGrid>
        <w:gridCol w:w="60"/>
        <w:gridCol w:w="110"/>
        <w:gridCol w:w="56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6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success of existing or new competitive products or technologies;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actions with respect to Haduvio or any future product candidates or competitors’ products and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announcements by us or our competitors of significant acquisitions, strategic partnerships, joint ventures, collaborations or capital commitments; </w:t>
            </w:r>
          </w:p>
        </w:tc>
      </w:tr>
    </w:tbl>
    <w:tbl>
      <w:tblPr>
        <w:tblW w:w="6685" w:type="dxa"/>
        <w:jc w:val="left"/>
        <w:tblInd w:w="0" w:type="dxa"/>
        <w:tblCellMar>
          <w:top w:w="0" w:type="dxa"/>
          <w:left w:w="0" w:type="dxa"/>
          <w:bottom w:w="0" w:type="dxa"/>
          <w:right w:w="0" w:type="dxa"/>
        </w:tblCellMar>
      </w:tblPr>
      <w:tblGrid>
        <w:gridCol w:w="60"/>
        <w:gridCol w:w="110"/>
        <w:gridCol w:w="65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5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commencement or termination of collaborations for our development programs; </w:t>
            </w:r>
          </w:p>
        </w:tc>
      </w:tr>
    </w:tbl>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failure or discontinuation of any of our development programs; </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30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results of clinical trials of product candidates of our competitors; </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0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regulatory or legal developments in the United States and other countries; </w:t>
            </w:r>
          </w:p>
        </w:tc>
      </w:tr>
    </w:tbl>
    <w:tbl>
      <w:tblPr>
        <w:tblW w:w="9055" w:type="dxa"/>
        <w:jc w:val="left"/>
        <w:tblInd w:w="0" w:type="dxa"/>
        <w:tblCellMar>
          <w:top w:w="0" w:type="dxa"/>
          <w:left w:w="0" w:type="dxa"/>
          <w:bottom w:w="0" w:type="dxa"/>
          <w:right w:w="0" w:type="dxa"/>
        </w:tblCellMar>
      </w:tblPr>
      <w:tblGrid>
        <w:gridCol w:w="60"/>
        <w:gridCol w:w="110"/>
        <w:gridCol w:w="88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8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developments or disputes concerning patent applications, issued patents or other intellectual property rights; </w:t>
            </w:r>
          </w:p>
        </w:tc>
      </w:tr>
    </w:tbl>
    <w:tbl>
      <w:tblPr>
        <w:tblW w:w="3640" w:type="dxa"/>
        <w:jc w:val="left"/>
        <w:tblInd w:w="0" w:type="dxa"/>
        <w:tblCellMar>
          <w:top w:w="0" w:type="dxa"/>
          <w:left w:w="0" w:type="dxa"/>
          <w:bottom w:w="0" w:type="dxa"/>
          <w:right w:w="0" w:type="dxa"/>
        </w:tblCellMar>
      </w:tblPr>
      <w:tblGrid>
        <w:gridCol w:w="60"/>
        <w:gridCol w:w="110"/>
        <w:gridCol w:w="347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47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recruitment or departure of key personnel; </w:t>
            </w:r>
          </w:p>
        </w:tc>
      </w:tr>
    </w:tbl>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expenses related to any of our development programs; </w:t>
            </w:r>
          </w:p>
        </w:tc>
      </w:tr>
    </w:tbl>
    <w:tbl>
      <w:tblPr>
        <w:tblW w:w="7810" w:type="dxa"/>
        <w:jc w:val="left"/>
        <w:tblInd w:w="0" w:type="dxa"/>
        <w:tblCellMar>
          <w:top w:w="0" w:type="dxa"/>
          <w:left w:w="0" w:type="dxa"/>
          <w:bottom w:w="0" w:type="dxa"/>
          <w:right w:w="0" w:type="dxa"/>
        </w:tblCellMar>
      </w:tblPr>
      <w:tblGrid>
        <w:gridCol w:w="60"/>
        <w:gridCol w:w="110"/>
        <w:gridCol w:w="76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6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results of our efforts to discover, develop, acquire or in-license additional product candidates; </w:t>
            </w:r>
          </w:p>
        </w:tc>
      </w:tr>
    </w:tbl>
    <w:tbl>
      <w:tblPr>
        <w:tblW w:w="7150" w:type="dxa"/>
        <w:jc w:val="left"/>
        <w:tblInd w:w="0" w:type="dxa"/>
        <w:tblCellMar>
          <w:top w:w="0" w:type="dxa"/>
          <w:left w:w="0" w:type="dxa"/>
          <w:bottom w:w="0" w:type="dxa"/>
          <w:right w:w="0" w:type="dxa"/>
        </w:tblCellMar>
      </w:tblPr>
      <w:tblGrid>
        <w:gridCol w:w="60"/>
        <w:gridCol w:w="110"/>
        <w:gridCol w:w="69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9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actual or anticipated changes in estimated financial results or development timelines; </w:t>
            </w:r>
          </w:p>
        </w:tc>
      </w:tr>
    </w:tbl>
    <w:tbl>
      <w:tblPr>
        <w:tblW w:w="5335" w:type="dxa"/>
        <w:jc w:val="left"/>
        <w:tblInd w:w="0" w:type="dxa"/>
        <w:tblCellMar>
          <w:top w:w="0" w:type="dxa"/>
          <w:left w:w="0" w:type="dxa"/>
          <w:bottom w:w="0" w:type="dxa"/>
          <w:right w:w="0" w:type="dxa"/>
        </w:tblCellMar>
      </w:tblPr>
      <w:tblGrid>
        <w:gridCol w:w="60"/>
        <w:gridCol w:w="110"/>
        <w:gridCol w:w="516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6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announcements or expectations of additional financing efforts; </w:t>
            </w:r>
          </w:p>
        </w:tc>
      </w:tr>
    </w:tbl>
    <w:tbl>
      <w:tblPr>
        <w:tblW w:w="5710" w:type="dxa"/>
        <w:jc w:val="left"/>
        <w:tblInd w:w="0" w:type="dxa"/>
        <w:tblCellMar>
          <w:top w:w="0" w:type="dxa"/>
          <w:left w:w="0" w:type="dxa"/>
          <w:bottom w:w="0" w:type="dxa"/>
          <w:right w:w="0" w:type="dxa"/>
        </w:tblCellMar>
      </w:tblPr>
      <w:tblGrid>
        <w:gridCol w:w="60"/>
        <w:gridCol w:w="110"/>
        <w:gridCol w:w="554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54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sales of our common stock by us, our insiders or other stockholders; </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expiration of market stand-off or lock-up agreements; </w:t>
            </w:r>
          </w:p>
        </w:tc>
      </w:tr>
    </w:tbl>
    <w:tbl>
      <w:tblPr>
        <w:tblW w:w="7750" w:type="dxa"/>
        <w:jc w:val="left"/>
        <w:tblInd w:w="0" w:type="dxa"/>
        <w:tblCellMar>
          <w:top w:w="0" w:type="dxa"/>
          <w:left w:w="0" w:type="dxa"/>
          <w:bottom w:w="0" w:type="dxa"/>
          <w:right w:w="0" w:type="dxa"/>
        </w:tblCellMar>
      </w:tblPr>
      <w:tblGrid>
        <w:gridCol w:w="60"/>
        <w:gridCol w:w="110"/>
        <w:gridCol w:w="75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5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variations in our financial results or those of companies that are perceived to be similar to us; </w:t>
            </w:r>
          </w:p>
        </w:tc>
      </w:tr>
    </w:tbl>
    <w:tbl>
      <w:tblPr>
        <w:tblW w:w="9505" w:type="dxa"/>
        <w:jc w:val="left"/>
        <w:tblInd w:w="0" w:type="dxa"/>
        <w:tblCellMar>
          <w:top w:w="0" w:type="dxa"/>
          <w:left w:w="0" w:type="dxa"/>
          <w:bottom w:w="0" w:type="dxa"/>
          <w:right w:w="0" w:type="dxa"/>
        </w:tblCellMar>
      </w:tblPr>
      <w:tblGrid>
        <w:gridCol w:w="60"/>
        <w:gridCol w:w="110"/>
        <w:gridCol w:w="93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3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recommendations and changes in estimates or recommendations by securities analysts, if any, that cover our stock; </w:t>
            </w:r>
          </w:p>
        </w:tc>
      </w:tr>
    </w:tbl>
    <w:tbl>
      <w:tblPr>
        <w:tblW w:w="7975" w:type="dxa"/>
        <w:jc w:val="left"/>
        <w:tblInd w:w="0" w:type="dxa"/>
        <w:tblCellMar>
          <w:top w:w="0" w:type="dxa"/>
          <w:left w:w="0" w:type="dxa"/>
          <w:bottom w:w="0" w:type="dxa"/>
          <w:right w:w="0" w:type="dxa"/>
        </w:tblCellMar>
      </w:tblPr>
      <w:tblGrid>
        <w:gridCol w:w="60"/>
        <w:gridCol w:w="110"/>
        <w:gridCol w:w="780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80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changes in the structure of healthcare payment systems in the United States and other countries; </w:t>
            </w:r>
          </w:p>
        </w:tc>
      </w:tr>
    </w:tbl>
    <w:tbl>
      <w:tblPr>
        <w:tblW w:w="5755" w:type="dxa"/>
        <w:jc w:val="left"/>
        <w:tblInd w:w="0" w:type="dxa"/>
        <w:tblCellMar>
          <w:top w:w="0" w:type="dxa"/>
          <w:left w:w="0" w:type="dxa"/>
          <w:bottom w:w="0" w:type="dxa"/>
          <w:right w:w="0" w:type="dxa"/>
        </w:tblCellMar>
      </w:tblPr>
      <w:tblGrid>
        <w:gridCol w:w="60"/>
        <w:gridCol w:w="110"/>
        <w:gridCol w:w="55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5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market conditions in the pharmaceutical and biotechnology sectors;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general economic, industry and market conditions, including recent adverse changes in the domestic and international financial markets, and the impacts of the COVID-19 pandemic; and </w:t>
            </w:r>
          </w:p>
        </w:tc>
      </w:tr>
    </w:tbl>
    <w:tbl>
      <w:tblPr>
        <w:tblW w:w="6100" w:type="dxa"/>
        <w:jc w:val="left"/>
        <w:tblInd w:w="0" w:type="dxa"/>
        <w:tblCellMar>
          <w:top w:w="0" w:type="dxa"/>
          <w:left w:w="0" w:type="dxa"/>
          <w:bottom w:w="0" w:type="dxa"/>
          <w:right w:w="0" w:type="dxa"/>
        </w:tblCellMar>
      </w:tblPr>
      <w:tblGrid>
        <w:gridCol w:w="60"/>
        <w:gridCol w:w="110"/>
        <w:gridCol w:w="593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93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other factors and considerations described in this “Risk Factors” section.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the COVID-19 pandemic has negatively affected the stock market and investor sentiment. The price and volatility of our common stock may be disproportionately affected as investors may favor traditional profit-making industries and companies during the times of market uncertainty and instability.</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could be subject to securities class action litigation.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84</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securities or industry analysts do not publish research or publish inaccurate or unfavorable research about our business, the trading price and volume of our shares could decline.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Future sales of shares of our common stock, including by us, employees and significant stockholders, could negatively affect our stock price.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 the market” offerings. As of March 24, 2021 we had sold 2,055,497 shares of common stock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of substantial amounts of shares of our common stock or other securities by our stockholders, by us under the Shelf Registration Statement, whether pursuant to the ATM Sales Agreement or otherwise, or through any other means could also lower the market price of our common stock and impair our ability to raise capital through the sale of equity or equity-related securities.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Ownership of our common stock is concentrated among our executive officers and directors and their affiliates and our significant stockholders, who have significant influence over our business, which may prevent new investors from influencing significant corporate decisions.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Our executive officers and directors and their affiliates and our significant stockholders in the aggregate, beneficially own shares representing approximately 60.2% of our common stock as of March 24, 2021.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 </w:t>
      </w:r>
    </w:p>
    <w:tbl>
      <w:tblPr>
        <w:tblW w:w="3715" w:type="dxa"/>
        <w:jc w:val="left"/>
        <w:tblInd w:w="0" w:type="dxa"/>
        <w:tblCellMar>
          <w:top w:w="0" w:type="dxa"/>
          <w:left w:w="0" w:type="dxa"/>
          <w:bottom w:w="0" w:type="dxa"/>
          <w:right w:w="0" w:type="dxa"/>
        </w:tblCellMar>
      </w:tblPr>
      <w:tblGrid>
        <w:gridCol w:w="60"/>
        <w:gridCol w:w="110"/>
        <w:gridCol w:w="35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delay, defer or prevent a change in control; </w:t>
            </w:r>
          </w:p>
        </w:tc>
      </w:tr>
    </w:tbl>
    <w:tbl>
      <w:tblPr>
        <w:tblW w:w="4585" w:type="dxa"/>
        <w:jc w:val="left"/>
        <w:tblInd w:w="0" w:type="dxa"/>
        <w:tblCellMar>
          <w:top w:w="0" w:type="dxa"/>
          <w:left w:w="0" w:type="dxa"/>
          <w:bottom w:w="0" w:type="dxa"/>
          <w:right w:w="0" w:type="dxa"/>
        </w:tblCellMar>
      </w:tblPr>
      <w:tblGrid>
        <w:gridCol w:w="60"/>
        <w:gridCol w:w="110"/>
        <w:gridCol w:w="441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41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entrench our management or the board of directors; or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impede a merger, consolidation, takeover, sale, other business combination or other significant corporate transaction involving us that other stockholders may desire.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do not anticipate paying any cash dividends on our capital stock in the foreseeable future. Accordingly, stockholders must rely on appreciation in the price of our common stock, if any, for any return on their investment. </w:t>
      </w:r>
    </w:p>
    <w:p>
      <w:pPr>
        <w:pStyle w:val="TextBody"/>
        <w:spacing w:before="120" w:after="0"/>
        <w:rPr>
          <w:rFonts w:ascii="Times New Roman" w:hAnsi="Times New Roman"/>
          <w:b w:val="false"/>
          <w:i w:val="false"/>
          <w:caps w:val="false"/>
          <w:smallCaps w:val="false"/>
          <w:color w:val="000000"/>
          <w:spacing w:val="-4"/>
          <w:sz w:val="20"/>
        </w:rPr>
      </w:pPr>
      <w:r>
        <w:rPr>
          <w:rFonts w:ascii="Times New Roman" w:hAnsi="Times New Roman"/>
          <w:b w:val="false"/>
          <w:i w:val="false"/>
          <w:caps w:val="false"/>
          <w:smallCaps w:val="false"/>
          <w:color w:val="000000"/>
          <w:spacing w:val="-4"/>
          <w:sz w:val="20"/>
        </w:rPr>
        <w:t xml:space="preserve">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are an “emerging growth company” and a “smaller reporting company” and the reduced disclosure requirements applicable to us may make our common stock less attractive to investors. </w:t>
      </w:r>
    </w:p>
    <w:p>
      <w:pPr>
        <w:pStyle w:val="TextBody"/>
        <w:spacing w:before="12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will incur increased costs as a result of operating as a public company, and our management will be required to devote substantial time to new compliance initiatives and corporate governance practices.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p>
      <w:pPr>
        <w:pStyle w:val="HorizontalLine"/>
        <w:rPr/>
      </w:pPr>
      <w:r>
        <w:rPr/>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If we fail to maintain proper and effective internal controls, our ability to produce accurate financial statements on a timely basis could be impaired.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We might not be able to utilize a significant portion of our net operating loss carryforwards and research and development tax credit carryforwards. </w:t>
      </w:r>
    </w:p>
    <w:p>
      <w:pPr>
        <w:pStyle w:val="TextBody"/>
        <w:spacing w:before="120" w:after="0"/>
        <w:rPr>
          <w:rFonts w:ascii="Times New Roman" w:hAnsi="Times New Roman"/>
          <w:b w:val="false"/>
          <w:i w:val="false"/>
          <w:caps w:val="false"/>
          <w:smallCaps w:val="false"/>
          <w:color w:val="000000"/>
          <w:sz w:val="20"/>
        </w:rPr>
      </w:pPr>
      <w:bookmarkStart w:id="42" w:name="_cp_text_4_3351"/>
      <w:bookmarkStart w:id="43" w:name="_cp_text_1_3341"/>
      <w:bookmarkStart w:id="44" w:name="_cp_text_4_3331"/>
      <w:bookmarkStart w:id="45" w:name="_cp_text_1_3321"/>
      <w:bookmarkEnd w:id="42"/>
      <w:bookmarkEnd w:id="43"/>
      <w:bookmarkEnd w:id="44"/>
      <w:bookmarkEnd w:id="45"/>
      <w:r>
        <w:rPr>
          <w:rFonts w:ascii="Times New Roman" w:hAnsi="Times New Roman"/>
          <w:b w:val="false"/>
          <w:i w:val="false"/>
          <w:caps w:val="false"/>
          <w:smallCaps w:val="false"/>
          <w:color w:val="000000"/>
          <w:sz w:val="20"/>
        </w:rPr>
        <w:t>As of December 31, 2020, we had federal and state net operating loss carryforwards of $137.6 million, and federal research and development tax credit carryforwards of $3.9 million, which if not utilized generally will begin to expire in 2031 and 2032</w:t>
      </w:r>
      <w:bookmarkStart w:id="46" w:name="_cp_text_1_332"/>
      <w:bookmarkEnd w:id="46"/>
      <w:r>
        <w:rPr>
          <w:rFonts w:ascii="Times New Roman" w:hAnsi="Times New Roman"/>
          <w:b w:val="false"/>
          <w:i w:val="false"/>
          <w:caps w:val="false"/>
          <w:smallCaps w:val="false"/>
          <w:color w:val="000000"/>
          <w:sz w:val="20"/>
        </w:rPr>
        <w:t xml:space="preserve">, respectively. These net operating loss and tax credit carryforwards could expire unused and be unavailable to offset future income tax liabilities. </w:t>
      </w:r>
      <w:bookmarkStart w:id="47" w:name="_cp_text_4_333"/>
      <w:bookmarkEnd w:id="47"/>
      <w:r>
        <w:rPr>
          <w:rFonts w:ascii="Times New Roman" w:hAnsi="Times New Roman"/>
          <w:b w:val="false"/>
          <w:i w:val="false"/>
          <w:caps w:val="false"/>
          <w:smallCaps w:val="false"/>
          <w:color w:val="000000"/>
          <w:sz w:val="20"/>
        </w:rPr>
        <w:t xml:space="preserve">In general, under Section 382 of the </w:t>
      </w:r>
      <w:bookmarkStart w:id="48" w:name="_cp_text_1_334"/>
      <w:bookmarkEnd w:id="48"/>
      <w:r>
        <w:rPr>
          <w:rFonts w:ascii="Times New Roman" w:hAnsi="Times New Roman"/>
          <w:b w:val="false"/>
          <w:i w:val="false"/>
          <w:caps w:val="false"/>
          <w:smallCaps w:val="false"/>
          <w:color w:val="000000"/>
          <w:sz w:val="20"/>
        </w:rPr>
        <w:t xml:space="preserve">Internal Revenue </w:t>
      </w:r>
      <w:bookmarkStart w:id="49" w:name="_cp_text_4_335"/>
      <w:bookmarkEnd w:id="49"/>
      <w:r>
        <w:rPr>
          <w:rFonts w:ascii="Times New Roman" w:hAnsi="Times New Roman"/>
          <w:b w:val="false"/>
          <w:i w:val="false"/>
          <w:caps w:val="false"/>
          <w:smallCaps w:val="false"/>
          <w:color w:val="000000"/>
          <w:sz w:val="20"/>
        </w:rPr>
        <w:t xml:space="preserve">Code of 1986, as amended, or the Code,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Code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bookmarkStart w:id="50" w:name="_Hlk36636853"/>
      <w:bookmarkStart w:id="51" w:name="_cp_text_1_3631"/>
      <w:bookmarkStart w:id="52" w:name="_cp_text_4_3621"/>
      <w:bookmarkStart w:id="53" w:name="_cp_text_1_361"/>
      <w:bookmarkEnd w:id="50"/>
      <w:bookmarkEnd w:id="51"/>
      <w:bookmarkEnd w:id="52"/>
      <w:bookmarkEnd w:id="53"/>
      <w:r>
        <w:rPr>
          <w:rFonts w:ascii="Times New Roman" w:hAnsi="Times New Roman"/>
          <w:b w:val="false"/>
          <w:i w:val="false"/>
          <w:caps w:val="false"/>
          <w:smallCaps w:val="false"/>
          <w:color w:val="000000"/>
          <w:sz w:val="20"/>
        </w:rPr>
        <w:t xml:space="preserve">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w:t>
      </w:r>
      <w:bookmarkStart w:id="54" w:name="_cp_text_4_362"/>
      <w:bookmarkEnd w:id="54"/>
      <w:r>
        <w:rPr>
          <w:rFonts w:ascii="Times New Roman" w:hAnsi="Times New Roman"/>
          <w:b w:val="false"/>
          <w:i w:val="false"/>
          <w:caps w:val="false"/>
          <w:smallCaps w:val="false"/>
          <w:color w:val="000000"/>
          <w:sz w:val="20"/>
        </w:rPr>
        <w:t xml:space="preserve">In addition, state net operating losses generated in one state cannot be used to offset income generated in another state. For these reasons, even if we attain profitability, we may be unable to use a material </w:t>
      </w:r>
      <w:bookmarkStart w:id="55" w:name="_cp_text_1_363"/>
      <w:bookmarkEnd w:id="55"/>
      <w:r>
        <w:rPr>
          <w:rFonts w:ascii="Times New Roman" w:hAnsi="Times New Roman"/>
          <w:b w:val="false"/>
          <w:i w:val="false"/>
          <w:caps w:val="false"/>
          <w:smallCaps w:val="false"/>
          <w:color w:val="000000"/>
          <w:sz w:val="20"/>
        </w:rPr>
        <w:t>portion of our net operating losses and other tax attributes.</w:t>
      </w:r>
    </w:p>
    <w:p>
      <w:pPr>
        <w:pStyle w:val="TextBody"/>
        <w:spacing w:before="360" w:after="0"/>
        <w:rPr>
          <w:rFonts w:ascii="Times New Roman" w:hAnsi="Times New Roman"/>
          <w:b/>
          <w:i/>
          <w:caps w:val="false"/>
          <w:smallCaps w:val="false"/>
          <w:color w:val="000000"/>
          <w:sz w:val="20"/>
        </w:rPr>
      </w:pPr>
      <w:bookmarkStart w:id="56" w:name="_cp_text_1_364"/>
      <w:bookmarkEnd w:id="56"/>
      <w:r>
        <w:rPr>
          <w:rFonts w:ascii="Times New Roman" w:hAnsi="Times New Roman"/>
          <w:b/>
          <w:i/>
          <w:caps w:val="false"/>
          <w:smallCaps w:val="false"/>
          <w:color w:val="000000"/>
          <w:sz w:val="20"/>
        </w:rPr>
        <w:t>Changes in tax laws or in their implementation or interpretation may adversely affect our business and financial condition.</w:t>
      </w:r>
    </w:p>
    <w:p>
      <w:pPr>
        <w:pStyle w:val="TextBody"/>
        <w:spacing w:before="120" w:after="0"/>
        <w:rPr>
          <w:rFonts w:ascii="Times New Roman" w:hAnsi="Times New Roman"/>
          <w:b w:val="false"/>
          <w:i w:val="false"/>
          <w:caps w:val="false"/>
          <w:smallCaps w:val="false"/>
          <w:color w:val="000000"/>
          <w:sz w:val="20"/>
        </w:rPr>
      </w:pPr>
      <w:bookmarkStart w:id="57" w:name="_cp_text_4_366"/>
      <w:bookmarkStart w:id="58" w:name="_cp_text_1_3711"/>
      <w:bookmarkStart w:id="59" w:name="_cp_text_4_3701"/>
      <w:bookmarkStart w:id="60" w:name="_cp_text_1_3691"/>
      <w:bookmarkStart w:id="61" w:name="_cp_text_4_3681"/>
      <w:bookmarkStart w:id="62" w:name="_cp_text_1_365"/>
      <w:bookmarkEnd w:id="57"/>
      <w:bookmarkEnd w:id="58"/>
      <w:bookmarkEnd w:id="59"/>
      <w:bookmarkEnd w:id="60"/>
      <w:bookmarkEnd w:id="61"/>
      <w:bookmarkEnd w:id="62"/>
      <w:r>
        <w:rPr>
          <w:rFonts w:ascii="Times New Roman" w:hAnsi="Times New Roman"/>
          <w:b w:val="false"/>
          <w:i w:val="false"/>
          <w:caps w:val="false"/>
          <w:smallCaps w:val="false"/>
          <w:color w:val="000000"/>
          <w:sz w:val="20"/>
        </w:rPr>
        <w:t xml:space="preserve">Recent changes in tax law may adversely affect our business or financial condition.  On December 22, 2017, the U.S. government enacted the Tax Act, which significantly reformed the Code. The Tax Act, among other </w:t>
      </w:r>
      <w:bookmarkStart w:id="63" w:name="_cp_text_4_368"/>
      <w:bookmarkEnd w:id="63"/>
      <w:r>
        <w:rPr>
          <w:rFonts w:ascii="Times New Roman" w:hAnsi="Times New Roman"/>
          <w:b w:val="false"/>
          <w:i w:val="false"/>
          <w:caps w:val="false"/>
          <w:smallCaps w:val="false"/>
          <w:color w:val="000000"/>
          <w:sz w:val="20"/>
        </w:rPr>
        <w:t xml:space="preserve">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w:t>
      </w:r>
      <w:bookmarkStart w:id="64" w:name="_cp_text_1_369"/>
      <w:bookmarkEnd w:id="64"/>
      <w:r>
        <w:rPr>
          <w:rFonts w:ascii="Times New Roman" w:hAnsi="Times New Roman"/>
          <w:b w:val="false"/>
          <w:i w:val="false"/>
          <w:caps w:val="false"/>
          <w:smallCaps w:val="false"/>
          <w:color w:val="000000"/>
          <w:sz w:val="20"/>
        </w:rPr>
        <w:t xml:space="preserve">net operating losses </w:t>
      </w:r>
      <w:bookmarkStart w:id="65" w:name="_cp_text_4_370"/>
      <w:bookmarkEnd w:id="65"/>
      <w:r>
        <w:rPr>
          <w:rFonts w:ascii="Times New Roman" w:hAnsi="Times New Roman"/>
          <w:b w:val="false"/>
          <w:i w:val="false"/>
          <w:caps w:val="false"/>
          <w:smallCaps w:val="false"/>
          <w:color w:val="000000"/>
          <w:sz w:val="20"/>
        </w:rPr>
        <w:t xml:space="preserve">arising in taxable years beginning after December 31, 2017 </w:t>
      </w:r>
      <w:bookmarkStart w:id="66" w:name="_cp_text_1_371"/>
      <w:bookmarkEnd w:id="66"/>
      <w:r>
        <w:rPr>
          <w:rFonts w:ascii="Times New Roman" w:hAnsi="Times New Roman"/>
          <w:b w:val="false"/>
          <w:i w:val="false"/>
          <w:caps w:val="false"/>
          <w:smallCaps w:val="false"/>
          <w:color w:val="000000"/>
          <w:sz w:val="20"/>
        </w:rPr>
        <w:t xml:space="preserve">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w:t>
      </w:r>
    </w:p>
    <w:p>
      <w:pPr>
        <w:pStyle w:val="TextBody"/>
        <w:spacing w:before="240" w:after="0"/>
        <w:rPr>
          <w:rFonts w:ascii="Times New Roman" w:hAnsi="Times New Roman"/>
          <w:b w:val="false"/>
          <w:i w:val="false"/>
          <w:caps w:val="false"/>
          <w:smallCaps w:val="false"/>
          <w:color w:val="000000"/>
          <w:sz w:val="20"/>
        </w:rPr>
      </w:pPr>
      <w:bookmarkStart w:id="67" w:name="_cp_text_4_373"/>
      <w:bookmarkStart w:id="68" w:name="_cp_text_1_3781"/>
      <w:bookmarkStart w:id="69" w:name="_cp_text_4_3771"/>
      <w:bookmarkStart w:id="70" w:name="_cp_text_1_3761"/>
      <w:bookmarkStart w:id="71" w:name="_cp_text_4_3751"/>
      <w:bookmarkStart w:id="72" w:name="_cp_text_1_3741"/>
      <w:bookmarkStart w:id="73" w:name="_cp_text_1_372"/>
      <w:bookmarkEnd w:id="67"/>
      <w:bookmarkEnd w:id="68"/>
      <w:bookmarkEnd w:id="69"/>
      <w:bookmarkEnd w:id="70"/>
      <w:bookmarkEnd w:id="71"/>
      <w:bookmarkEnd w:id="72"/>
      <w:bookmarkEnd w:id="73"/>
      <w:r>
        <w:rPr>
          <w:rFonts w:ascii="Times New Roman" w:hAnsi="Times New Roman"/>
          <w:b w:val="false"/>
          <w:i w:val="false"/>
          <w:caps w:val="false"/>
          <w:smallCaps w:val="false"/>
          <w:color w:val="000000"/>
          <w:sz w:val="20"/>
        </w:rPr>
        <w:t xml:space="preserve">As part of Congress’s response to </w:t>
      </w:r>
      <w:bookmarkStart w:id="74" w:name="_cp_text_1_374"/>
      <w:bookmarkEnd w:id="74"/>
      <w:r>
        <w:rPr>
          <w:rFonts w:ascii="Times New Roman" w:hAnsi="Times New Roman"/>
          <w:b w:val="false"/>
          <w:i w:val="false"/>
          <w:caps w:val="false"/>
          <w:smallCaps w:val="false"/>
          <w:color w:val="000000"/>
          <w:sz w:val="20"/>
        </w:rPr>
        <w:t xml:space="preserve">the COVID-19 </w:t>
      </w:r>
      <w:bookmarkStart w:id="75" w:name="_cp_text_4_375"/>
      <w:bookmarkEnd w:id="75"/>
      <w:r>
        <w:rPr>
          <w:rFonts w:ascii="Times New Roman" w:hAnsi="Times New Roman"/>
          <w:b w:val="false"/>
          <w:i w:val="false"/>
          <w:caps w:val="false"/>
          <w:smallCaps w:val="false"/>
          <w:color w:val="000000"/>
          <w:sz w:val="20"/>
        </w:rPr>
        <w:t xml:space="preserve">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w:t>
      </w:r>
      <w:bookmarkStart w:id="76" w:name="_cp_text_1_376"/>
      <w:bookmarkEnd w:id="76"/>
      <w:r>
        <w:rPr>
          <w:rFonts w:ascii="Times New Roman" w:hAnsi="Times New Roman"/>
          <w:b w:val="false"/>
          <w:i w:val="false"/>
          <w:caps w:val="false"/>
          <w:smallCaps w:val="false"/>
          <w:color w:val="000000"/>
          <w:sz w:val="20"/>
        </w:rPr>
        <w:t>after December 31, 2017</w:t>
      </w:r>
      <w:bookmarkStart w:id="77" w:name="_cp_text_4_377"/>
      <w:bookmarkEnd w:id="77"/>
      <w:r>
        <w:rPr>
          <w:rFonts w:ascii="Times New Roman" w:hAnsi="Times New Roman"/>
          <w:b w:val="false"/>
          <w:i w:val="false"/>
          <w:caps w:val="false"/>
          <w:smallCaps w:val="false"/>
          <w:color w:val="000000"/>
          <w:sz w:val="20"/>
        </w:rPr>
        <w:t xml:space="preserve">, and before January 1, 2021 are generally </w:t>
      </w:r>
      <w:bookmarkStart w:id="78" w:name="_cp_text_1_378"/>
      <w:bookmarkEnd w:id="78"/>
      <w:r>
        <w:rPr>
          <w:rFonts w:ascii="Times New Roman" w:hAnsi="Times New Roman"/>
          <w:b w:val="false"/>
          <w:i w:val="false"/>
          <w:caps w:val="false"/>
          <w:smallCaps w:val="false"/>
          <w:color w:val="000000"/>
          <w:sz w:val="20"/>
        </w:rPr>
        <w:t>eligible to be carried back up to five years. The CARES Act also temporarily (for taxable years beginning in 2019 or 2020) relaxes the limitation of the tax deductibility for net interest expense by increasing the limitation from 30 to 50% of adjusted taxable income.  </w:t>
      </w:r>
    </w:p>
    <w:p>
      <w:pPr>
        <w:pStyle w:val="TextBody"/>
        <w:spacing w:before="240" w:after="0"/>
        <w:rPr>
          <w:rFonts w:ascii="Times New Roman" w:hAnsi="Times New Roman"/>
          <w:b w:val="false"/>
          <w:i w:val="false"/>
          <w:caps w:val="false"/>
          <w:smallCaps w:val="false"/>
          <w:color w:val="000000"/>
          <w:sz w:val="20"/>
        </w:rPr>
      </w:pPr>
      <w:bookmarkStart w:id="79" w:name="_cp_text_4_380"/>
      <w:bookmarkStart w:id="80" w:name="_cp_text_1_3831"/>
      <w:bookmarkStart w:id="81" w:name="_cp_text_4_3821"/>
      <w:bookmarkStart w:id="82" w:name="_cp_text_1_3811"/>
      <w:bookmarkStart w:id="83" w:name="_cp_text_1_379"/>
      <w:bookmarkEnd w:id="79"/>
      <w:bookmarkEnd w:id="80"/>
      <w:bookmarkEnd w:id="81"/>
      <w:bookmarkEnd w:id="82"/>
      <w:bookmarkEnd w:id="83"/>
      <w:r>
        <w:rPr>
          <w:rFonts w:ascii="Times New Roman" w:hAnsi="Times New Roman"/>
          <w:b w:val="false"/>
          <w:i w:val="false"/>
          <w:caps w:val="false"/>
          <w:smallCaps w:val="false"/>
          <w:color w:val="000000"/>
          <w:sz w:val="20"/>
        </w:rPr>
        <w:t xml:space="preserve">Regulatory guidance under </w:t>
      </w:r>
      <w:bookmarkStart w:id="84" w:name="_cp_text_1_381"/>
      <w:bookmarkEnd w:id="84"/>
      <w:r>
        <w:rPr>
          <w:rFonts w:ascii="Times New Roman" w:hAnsi="Times New Roman"/>
          <w:b w:val="false"/>
          <w:i w:val="false"/>
          <w:caps w:val="false"/>
          <w:smallCaps w:val="false"/>
          <w:color w:val="000000"/>
          <w:sz w:val="20"/>
        </w:rPr>
        <w:t xml:space="preserve">the Tax Act, </w:t>
      </w:r>
      <w:bookmarkStart w:id="85" w:name="_cp_text_4_382"/>
      <w:bookmarkEnd w:id="85"/>
      <w:r>
        <w:rPr>
          <w:rFonts w:ascii="Times New Roman" w:hAnsi="Times New Roman"/>
          <w:b w:val="false"/>
          <w:i w:val="false"/>
          <w:caps w:val="false"/>
          <w:smallCaps w:val="false"/>
          <w:color w:val="000000"/>
          <w:sz w:val="20"/>
        </w:rPr>
        <w:t xml:space="preserve">the FFCR Act and the CARES Act is and continues to be forthcoming, and such guidance could ultimately increase or lessen impact </w:t>
      </w:r>
      <w:bookmarkStart w:id="86" w:name="_cp_text_1_383"/>
      <w:bookmarkEnd w:id="86"/>
      <w:r>
        <w:rPr>
          <w:rFonts w:ascii="Times New Roman" w:hAnsi="Times New Roman"/>
          <w:b w:val="false"/>
          <w:i w:val="false"/>
          <w:caps w:val="false"/>
          <w:smallCaps w:val="false"/>
          <w:color w:val="000000"/>
          <w:sz w:val="20"/>
        </w:rPr>
        <w:t>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Tax Act, the FFCR Act or the CARES Act.</w:t>
      </w:r>
    </w:p>
    <w:p>
      <w:pPr>
        <w:pStyle w:val="TextBody"/>
        <w:spacing w:before="0" w:after="0"/>
        <w:rPr/>
      </w:pPr>
      <w:r>
        <w:rPr/>
        <w:t> </w:t>
      </w:r>
    </w:p>
    <w:p>
      <w:pPr>
        <w:pStyle w:val="TextBody"/>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Provisions in our organizational documents and under Delaware law may prevent or frustrate attempts by our stockholders to change our management or hinder efforts to acquire a controlling interest in us.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tbl>
      <w:tblPr>
        <w:tblW w:w="8425" w:type="dxa"/>
        <w:jc w:val="left"/>
        <w:tblInd w:w="0" w:type="dxa"/>
        <w:tblCellMar>
          <w:top w:w="0" w:type="dxa"/>
          <w:left w:w="0" w:type="dxa"/>
          <w:bottom w:w="0" w:type="dxa"/>
          <w:right w:w="0" w:type="dxa"/>
        </w:tblCellMar>
      </w:tblPr>
      <w:tblGrid>
        <w:gridCol w:w="60"/>
        <w:gridCol w:w="110"/>
        <w:gridCol w:w="825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25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 a classified board of directors such that all members of the board are not elected at one time; </w:t>
            </w:r>
          </w:p>
        </w:tc>
      </w:tr>
    </w:tbl>
    <w:tbl>
      <w:tblPr>
        <w:tblW w:w="8620" w:type="dxa"/>
        <w:jc w:val="left"/>
        <w:tblInd w:w="0" w:type="dxa"/>
        <w:tblCellMar>
          <w:top w:w="0" w:type="dxa"/>
          <w:left w:w="0" w:type="dxa"/>
          <w:bottom w:w="0" w:type="dxa"/>
          <w:right w:w="0" w:type="dxa"/>
        </w:tblCellMar>
      </w:tblPr>
      <w:tblGrid>
        <w:gridCol w:w="60"/>
        <w:gridCol w:w="110"/>
        <w:gridCol w:w="845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45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allow the authorized number of our directors to be changed only by resolution of our board of directors; </w:t>
            </w:r>
          </w:p>
        </w:tc>
      </w:tr>
    </w:tbl>
    <w:tbl>
      <w:tblPr>
        <w:tblW w:w="6415" w:type="dxa"/>
        <w:jc w:val="left"/>
        <w:tblInd w:w="0" w:type="dxa"/>
        <w:tblCellMar>
          <w:top w:w="0" w:type="dxa"/>
          <w:left w:w="0" w:type="dxa"/>
          <w:bottom w:w="0" w:type="dxa"/>
          <w:right w:w="0" w:type="dxa"/>
        </w:tblCellMar>
      </w:tblPr>
      <w:tblGrid>
        <w:gridCol w:w="60"/>
        <w:gridCol w:w="110"/>
        <w:gridCol w:w="624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24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limit the manner in which stockholders can remove directors from the board;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p>
    <w:p>
      <w:pPr>
        <w:pStyle w:val="HorizontalLine"/>
        <w:rPr/>
      </w:pPr>
      <w:r>
        <w:rPr/>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 advance notice requirements for nominations for election to the board of directors or for proposing matters that can be acted on at stockholder meetings;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 that stockholder actions must be effected at a duly called stockholder meeting and prohibit actions by our stockholders by written consent; </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43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limit who may call a special meeting of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require the approval of the holders of at least 75% of the votes that all our stockholders would be entitled to cast to amend or repeal certain provisions of our certificate of incorporation or by-laws.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 </w:t>
      </w:r>
    </w:p>
    <w:p>
      <w:pPr>
        <w:pStyle w:val="TextBody"/>
        <w:spacing w:before="3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p>
    <w:p>
      <w:pPr>
        <w:pStyle w:val="HorizontalLine"/>
        <w:rPr/>
      </w:pPr>
      <w:r>
        <w:rPr/>
      </w:r>
    </w:p>
    <w:p>
      <w:pPr>
        <w:pStyle w:val="TextBody"/>
        <w:spacing w:before="360" w:after="0"/>
        <w:rPr>
          <w:rFonts w:ascii="Times New Roman" w:hAnsi="Times New Roman"/>
          <w:b/>
          <w:i w:val="false"/>
          <w:caps w:val="false"/>
          <w:smallCaps w:val="false"/>
          <w:color w:val="000000"/>
          <w:sz w:val="20"/>
        </w:rPr>
      </w:pPr>
      <w:bookmarkStart w:id="87" w:name="ITEM_1B_UNRESOLVED_STAFF_COMMENTS1"/>
      <w:bookmarkEnd w:id="87"/>
      <w:r>
        <w:rPr>
          <w:rFonts w:ascii="Times New Roman" w:hAnsi="Times New Roman"/>
          <w:b/>
          <w:i w:val="false"/>
          <w:caps w:val="false"/>
          <w:smallCaps w:val="false"/>
          <w:color w:val="000000"/>
          <w:sz w:val="20"/>
        </w:rPr>
        <w:t xml:space="preserve">Item </w:t>
      </w:r>
      <w:bookmarkStart w:id="88" w:name="ITEM_1B_UNRESOLVED_STAFF_COMMENTS"/>
      <w:bookmarkEnd w:id="88"/>
      <w:r>
        <w:rPr>
          <w:rFonts w:ascii="Times New Roman" w:hAnsi="Times New Roman"/>
          <w:b/>
          <w:i w:val="false"/>
          <w:caps w:val="false"/>
          <w:smallCaps w:val="false"/>
          <w:color w:val="000000"/>
          <w:sz w:val="20"/>
        </w:rPr>
        <w:t xml:space="preserve">1B. Unresolved Staff Comments.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bookmarkStart w:id="89" w:name="ITEM_2_PROPERTIES"/>
      <w:bookmarkEnd w:id="89"/>
      <w:r>
        <w:rPr>
          <w:rFonts w:ascii="Times New Roman" w:hAnsi="Times New Roman"/>
          <w:b/>
          <w:i w:val="false"/>
          <w:caps w:val="false"/>
          <w:smallCaps w:val="false"/>
          <w:color w:val="000000"/>
          <w:sz w:val="20"/>
        </w:rPr>
        <w:t xml:space="preserve">Item 2. Properties.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headquarters is currently located in New Haven, Connecticut, and consists of approximately 5,600 square feet of leased office space under a lease that expires in February 2023 under which we have an option to extend the lease by an additional year. We believe that our existing facilities are adequate for our current needs; however, we may require additional space and facilities as our business expands. </w:t>
      </w:r>
    </w:p>
    <w:p>
      <w:pPr>
        <w:pStyle w:val="TextBody"/>
        <w:spacing w:before="360" w:after="0"/>
        <w:rPr>
          <w:rFonts w:ascii="Times New Roman" w:hAnsi="Times New Roman"/>
          <w:b/>
          <w:i w:val="false"/>
          <w:caps w:val="false"/>
          <w:smallCaps w:val="false"/>
          <w:color w:val="000000"/>
          <w:sz w:val="20"/>
        </w:rPr>
      </w:pPr>
      <w:bookmarkStart w:id="90" w:name="ITEM_3_LEGAL_PROCEEDINGS"/>
      <w:bookmarkEnd w:id="90"/>
      <w:r>
        <w:rPr>
          <w:rFonts w:ascii="Times New Roman" w:hAnsi="Times New Roman"/>
          <w:b/>
          <w:i w:val="false"/>
          <w:caps w:val="false"/>
          <w:smallCaps w:val="false"/>
          <w:color w:val="000000"/>
          <w:sz w:val="20"/>
        </w:rPr>
        <w:t xml:space="preserve">Item 3. Legal Proceedings.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not subject to any material legal proceedings.</w:t>
      </w:r>
    </w:p>
    <w:p>
      <w:pPr>
        <w:pStyle w:val="TextBody"/>
        <w:spacing w:before="360" w:after="0"/>
        <w:rPr>
          <w:rFonts w:ascii="Times New Roman" w:hAnsi="Times New Roman"/>
          <w:b/>
          <w:i w:val="false"/>
          <w:caps w:val="false"/>
          <w:smallCaps w:val="false"/>
          <w:color w:val="000000"/>
          <w:sz w:val="20"/>
        </w:rPr>
      </w:pPr>
      <w:bookmarkStart w:id="91" w:name="ITEM_4_MINE_SAFETY_DISCLOSURES"/>
      <w:bookmarkEnd w:id="91"/>
      <w:r>
        <w:rPr>
          <w:rFonts w:ascii="Times New Roman" w:hAnsi="Times New Roman"/>
          <w:b/>
          <w:i w:val="false"/>
          <w:caps w:val="false"/>
          <w:smallCaps w:val="false"/>
          <w:color w:val="000000"/>
          <w:sz w:val="20"/>
        </w:rPr>
        <w:t>Item 4. Mine Safety Disclosures.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p>
    <w:p>
      <w:pPr>
        <w:pStyle w:val="TextBody"/>
        <w:spacing w:before="240" w:after="0"/>
        <w:jc w:val="center"/>
        <w:rPr>
          <w:rFonts w:ascii="Times New Roman" w:hAnsi="Times New Roman"/>
          <w:b w:val="false"/>
          <w:i w:val="false"/>
          <w:caps w:val="false"/>
          <w:smallCaps w:val="false"/>
          <w:sz w:val="20"/>
        </w:rPr>
      </w:pPr>
      <w:bookmarkStart w:id="92" w:name="_AEIOULastRenderedPageBreakAEIOU4"/>
      <w:bookmarkEnd w:id="92"/>
      <w:r>
        <w:rPr>
          <w:rFonts w:ascii="Times New Roman" w:hAnsi="Times New Roman"/>
          <w:b w:val="false"/>
          <w:i w:val="false"/>
          <w:caps w:val="false"/>
          <w:smallCaps w:val="false"/>
          <w:sz w:val="20"/>
        </w:rPr>
        <w:t>90</w:t>
      </w:r>
    </w:p>
    <w:p>
      <w:pPr>
        <w:pStyle w:val="HorizontalLine"/>
        <w:rPr/>
      </w:pPr>
      <w:r>
        <w:rPr/>
      </w:r>
    </w:p>
    <w:p>
      <w:pPr>
        <w:pStyle w:val="TextBody"/>
        <w:spacing w:before="0" w:after="0"/>
        <w:jc w:val="center"/>
        <w:rPr>
          <w:rFonts w:ascii="Times New Roman" w:hAnsi="Times New Roman"/>
          <w:b/>
          <w:i w:val="false"/>
          <w:caps w:val="false"/>
          <w:smallCaps w:val="false"/>
          <w:color w:val="000000"/>
          <w:sz w:val="20"/>
        </w:rPr>
      </w:pPr>
      <w:bookmarkStart w:id="93" w:name="PART_II"/>
      <w:bookmarkEnd w:id="93"/>
      <w:r>
        <w:rPr>
          <w:rFonts w:ascii="Times New Roman" w:hAnsi="Times New Roman"/>
          <w:b/>
          <w:i w:val="false"/>
          <w:caps w:val="false"/>
          <w:smallCaps w:val="false"/>
          <w:color w:val="000000"/>
          <w:sz w:val="20"/>
        </w:rPr>
        <w:t>PART II</w:t>
      </w:r>
    </w:p>
    <w:p>
      <w:pPr>
        <w:pStyle w:val="TextBody"/>
        <w:spacing w:before="240" w:after="0"/>
        <w:rPr>
          <w:rFonts w:ascii="Times New Roman" w:hAnsi="Times New Roman"/>
          <w:b/>
          <w:i w:val="false"/>
          <w:caps w:val="false"/>
          <w:smallCaps w:val="false"/>
          <w:color w:val="000000"/>
          <w:sz w:val="20"/>
        </w:rPr>
      </w:pPr>
      <w:bookmarkStart w:id="94" w:name="ITEM_5_MARKET_FOR_REGISTRANTS_COMMON_EQU"/>
      <w:bookmarkEnd w:id="94"/>
      <w:r>
        <w:rPr>
          <w:rFonts w:ascii="Times New Roman" w:hAnsi="Times New Roman"/>
          <w:b/>
          <w:i w:val="false"/>
          <w:caps w:val="false"/>
          <w:smallCaps w:val="false"/>
          <w:color w:val="000000"/>
          <w:sz w:val="20"/>
        </w:rPr>
        <w:t xml:space="preserve">Item 5. Market for Registrant’s Common Equity, Related Stockholder Matters and Issuer Purchases of Equity Securities.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Market Information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common stock is listed on the Nasdaq Stock Market LLC under the symbol “TRVI.”  Trading of our common stock commenced on May 7, 2019 in connection with our initial public offering, or IPO. Prior to that time, there was no established public trading market for our common stock.</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Stockholders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March 24, 2021, there were approximately 21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Dividend Policy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In addition, the terms of any future debt or other financing that we may obtain may also preclude us from declaring or paying dividends on our common stock.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Securities Authorized for Issuance Under Equity Compensation Plan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concerning our equity compensation plan is incorporated by reference from the information in our Proxy Statement for our 2021 Annual Meeting of Stockholders, which we will file with the SEC within 120 days of the end of the fiscal year to which this Annual Report on Form 10-K relates.</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Use of Proceeds from Registered Securities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May 9, 2019, we closed our IPO, in which we issued and sold 5,500,000 shares of common stock at a public offering price of $10.00 per share. The aggregate gross proceeds to us from our IPO offering were $55.0 million.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of the shares of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 offering expenses were paid directly or indirectly to any of our directors or officers (or their associates) or persons owning 10% or more of any class of our equity securities or to any other affiliates.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we used approximately $19.9 million of the net proceeds from the IPO to fund the development of Haduvio for the treatment of pruritus associated with prurigo nodularis and the treatment of chronic cough in patients with IPF and for general corporate purposes.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bookmarkStart w:id="95" w:name="ITEM_6_SELECTED_FINANCIAL_DATA"/>
      <w:bookmarkEnd w:id="95"/>
      <w:r>
        <w:rPr>
          <w:rFonts w:ascii="Times New Roman" w:hAnsi="Times New Roman"/>
          <w:b/>
          <w:i w:val="false"/>
          <w:caps w:val="false"/>
          <w:smallCaps w:val="false"/>
          <w:color w:val="000000"/>
          <w:sz w:val="20"/>
        </w:rPr>
        <w:t>Item 6. Selected Financial Data.</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r>
        <w:rPr>
          <w:rFonts w:ascii="Times New Roman" w:hAnsi="Times New Roman"/>
          <w:b/>
          <w:i w:val="false"/>
          <w:caps w:val="false"/>
          <w:smallCaps w:val="false"/>
          <w:color w:val="000000"/>
          <w:sz w:val="20"/>
        </w:rPr>
        <w:t>.</w:t>
      </w:r>
    </w:p>
    <w:p>
      <w:pPr>
        <w:pStyle w:val="TextBody"/>
        <w:spacing w:before="240" w:after="0"/>
        <w:jc w:val="center"/>
        <w:rPr>
          <w:rFonts w:ascii="Times New Roman" w:hAnsi="Times New Roman"/>
          <w:b w:val="false"/>
          <w:i w:val="false"/>
          <w:caps w:val="false"/>
          <w:smallCaps w:val="false"/>
          <w:sz w:val="20"/>
        </w:rPr>
      </w:pPr>
      <w:bookmarkStart w:id="96" w:name="_AEIOULastRenderedPageBreakAEIOU5"/>
      <w:bookmarkEnd w:id="96"/>
      <w:r>
        <w:rPr>
          <w:rFonts w:ascii="Times New Roman" w:hAnsi="Times New Roman"/>
          <w:b w:val="false"/>
          <w:i w:val="false"/>
          <w:caps w:val="false"/>
          <w:smallCaps w:val="false"/>
          <w:sz w:val="20"/>
        </w:rPr>
        <w:t>91</w:t>
      </w:r>
    </w:p>
    <w:p>
      <w:pPr>
        <w:pStyle w:val="HorizontalLine"/>
        <w:rPr/>
      </w:pPr>
      <w:r>
        <w:rPr/>
      </w:r>
    </w:p>
    <w:p>
      <w:pPr>
        <w:pStyle w:val="TextBody"/>
        <w:spacing w:before="0" w:after="0"/>
        <w:rPr>
          <w:rFonts w:ascii="Times New Roman" w:hAnsi="Times New Roman"/>
          <w:b/>
          <w:i w:val="false"/>
          <w:caps w:val="false"/>
          <w:smallCaps w:val="false"/>
          <w:color w:val="000000"/>
          <w:sz w:val="20"/>
        </w:rPr>
      </w:pPr>
      <w:bookmarkStart w:id="97" w:name="ITEM_7_MANAGEMENTS_DISCUSSION_ANALYSIS_F"/>
      <w:bookmarkEnd w:id="97"/>
      <w:r>
        <w:rPr>
          <w:rFonts w:ascii="Times New Roman" w:hAnsi="Times New Roman"/>
          <w:b/>
          <w:i w:val="false"/>
          <w:caps w:val="false"/>
          <w:smallCaps w:val="false"/>
          <w:color w:val="000000"/>
          <w:sz w:val="20"/>
        </w:rPr>
        <w:t>Item 7</w:t>
      </w:r>
      <w:bookmarkStart w:id="98" w:name="ITEM_7_MANAGEMENTS_DISCUSSION_ANALYSIS_F"/>
      <w:bookmarkEnd w:id="98"/>
      <w:r>
        <w:rPr>
          <w:rFonts w:ascii="Times New Roman" w:hAnsi="Times New Roman"/>
          <w:b/>
          <w:i w:val="false"/>
          <w:caps w:val="false"/>
          <w:smallCaps w:val="false"/>
          <w:color w:val="000000"/>
          <w:sz w:val="20"/>
        </w:rPr>
        <w:t xml:space="preserve">. Management’s Discussion and Analysis of Financial Condition and Results of Operations.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I-Item 1A “Risk Factors” and our other filings with the SEC.</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We caution readers not to place undue reliance on any forward-looking statements made by us, which speak only as of the date they are made.</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Overview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a clinical-stage biopharmaceutical company focused on the development and commercialization of Haduvio (nalbuphine ER) to treat serious neurologically mediated conditions. We are developing Haduvio for the treatment of chronic pruritus associated with prurigo nodularis and chronic cough in patients with idiopathic pulmonary fibrosis, or IPF.  We are also developing Haduvio in levodopa-induced dyskinesia, or LID, in patients with Parkinson’s disease. </w:t>
      </w:r>
    </w:p>
    <w:p>
      <w:pPr>
        <w:pStyle w:val="TextBody"/>
        <w:spacing w:before="120" w:after="0"/>
        <w:rPr/>
      </w:pPr>
      <w:r>
        <w:rPr/>
        <w:t> </w:t>
      </w:r>
    </w:p>
    <w:p>
      <w:pPr>
        <w:pStyle w:val="TextBody"/>
        <w:spacing w:before="0" w:after="0"/>
        <w:rPr>
          <w:rFonts w:ascii="Times New Roman" w:hAnsi="Times New Roman"/>
          <w:b w:val="false"/>
          <w:i w:val="false"/>
          <w:caps w:val="false"/>
          <w:smallCaps w:val="false"/>
          <w:color w:val="000000"/>
          <w:sz w:val="20"/>
        </w:rPr>
      </w:pPr>
      <w:bookmarkStart w:id="99" w:name="_Hlk673310691"/>
      <w:bookmarkStart w:id="100" w:name="_Hlk673312951"/>
      <w:bookmarkEnd w:id="99"/>
      <w:bookmarkEnd w:id="100"/>
      <w:r>
        <w:rPr>
          <w:rFonts w:ascii="Times New Roman" w:hAnsi="Times New Roman"/>
          <w:b w:val="false"/>
          <w:i w:val="false"/>
          <w:caps w:val="false"/>
          <w:smallCaps w:val="false"/>
          <w:color w:val="000000"/>
          <w:sz w:val="20"/>
        </w:rPr>
        <w:t>We are conducting a Phase 2b/3 clinical trial of Haduvio, which we refer to as the Phase 2b/3 PRISM trial, in patients with severe pruritus associated with prurigo nodularis. The Phase 2b/3 PRISM trial is a randomized, double-blind, placebo controlled, two-arm treatment study that is designed to evaluate the safety and anti-pruritic efficacy of Haduvio in patients in the United States and Europe. In accordance with the protocol for the Phase 2b/3 PRISM trial, we conducted a sample size re-estimation, or SSRE, analysis in July 2020, following such time as approximately 45% of the patients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have increased the planned trial size to 360 subjects. The pace of enrollment in the trial has been impacted by the COVID-19 pandemic as new patient screening and most patient enrollment were temporarily halted. Patient screening restrictions have been lifted in the United States and Europe.  Our sites began to restart patient screening and enrollment during May and June 2020. We have increased the number of active sites to more than 60 globally and approximately 240 subjects have enrolled in the trial. Considering the uncertainties associated with the COVID-19 pandemic, we expect to complete enrollment in the third quarter of 2021 and report top-line data in the fourth quarter of 2021.</w:t>
      </w:r>
      <w:bookmarkStart w:id="101" w:name="_Hlk67331295"/>
      <w:bookmarkEnd w:id="101"/>
      <w:r>
        <w:rPr>
          <w:rFonts w:ascii="Times New Roman" w:hAnsi="Times New Roman"/>
          <w:b w:val="false"/>
          <w:i w:val="false"/>
          <w:caps w:val="false"/>
          <w:smallCaps w:val="false"/>
          <w:color w:val="000000"/>
          <w:sz w:val="20"/>
        </w:rPr>
        <w:t xml:space="preserve"> </w:t>
      </w:r>
      <w:bookmarkStart w:id="102" w:name="_Hlk67331069"/>
      <w:bookmarkEnd w:id="102"/>
      <w:r>
        <w:rPr>
          <w:rFonts w:ascii="Times New Roman" w:hAnsi="Times New Roman"/>
          <w:b w:val="false"/>
          <w:i w:val="false"/>
          <w:caps w:val="false"/>
          <w:smallCaps w:val="false"/>
          <w:color w:val="000000"/>
          <w:sz w:val="20"/>
        </w:rPr>
        <w:t>If the Phase 2b/3 PRISM trial is successful, we expect that we will use the Phase 2b/3 PRISM trial and an additional Phase 3 clinical trial that we believe we will need to conduct to support the submission of a new drug application, or NDA, to the United States Food and Drug Administration, or FDA, and a marketing authorization application, or MAA, to the European Medicines Agency, or EMA, for Haduvio for the treatment of pruritus associated with prurigo nodularis.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92</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are also conducting a Phase 2 clinical trial of Haduvio for chronic cough in patients with IPF which we refer to as the Phase 2 CANAL trial. The Phase 2 CANAL trial is a randomized, double-blind, placebo controlled, two-treatment, two-period, crossover study that is designed to evaluate the efficacy, safety, tolerability and dosing of Haduvio for chronic cough in patients with IPF and is designed to enroll approximately 60 subjects with a goal to have 44 study completers. We are conducting the trial at multiple sites in the United Kingdom. Due to the COVID-19 pandemic and the specific at-risk nature of IPF patients, our clinical sites halted their enrollment and treatment of patients in this trial. While patient screening and enrollment resumed at certain clinical trial sites in the fourth quarter of 2020, all sites in the trial paused screening again in December 2020 in response to a shelter in place directive from the U.K. government.  Once sites are able to resume screening, some sites may take longer to resume their trial activity due to increased COVID-19 infection rates in the areas where they are located, and we expect other sites may cease to participate in the trial entirely.  We recently amended the study protocol to reduce the number of in-person visits and procedures to facilitate this study being completed in an at-risk patient population for COVID-19. We currently are in the process of seeking regulatory approval to add study sites in Germany which could potentially accelerate enrollment and reduce the risks inherent to single-country recruitment during the COVID-19 pandemic.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 respect to LID, we have written the protocol for a Phase 2 clinical trial for LID in patients with Parkinson’s disease.  We plan to determine next steps in the program once we complete the Phase 2b/3 PRISM and Phase 2 CANAL trials.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currently focusing our cash and operational resources on completing the Phase 2b/3 PRISM and the Phase 2 CANAL trials. After we receive top-line data from both of these trials we will evaluate other additional indications for which we may choose to pursue development of Haduvio.</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December 31, 2020, we had an accumulated deficit of $147.0 million, primarily as a result of research and development and general and administrative expenses. We do not expect to generate product revenue unless and until we obtain marketing approval for and commercialize Haduvio for the treatment of pruritus associated with prurigo nodularis, chronic cough in patients with IPF or LID in patients with Parkinson’s disease, and we can provide no assurance that we will ever generate significant revenue or profits.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2019, we issued and sold 5,500,000 shares of common stock in our initial public offering, or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June 2020, we entered into a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December 31, 2020 we had issued and sold an aggregate of 687,876 shares of common stock for gross proceeds of $3.2 million, before deducting estimated commissions and allocated fees of $0.2 million. Subsequent to December 31, 2020, and through March 24, 2021, we had issued and sold an additional 1,367,621 shares of common stock for gross proceeds of $4.4 million, before deducting estimated commissions and allocated fees of $0.3 million under the ATM Sales Agreement.</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2020, we entered into a loan and security agreement, or the SVB Loan Agreement, with Silicon Valley Bank pursuant to which Silicon Valley Bank provided a term loan, or the SVB Term Loan, to us in the original principal amount of $14.0 million. On the first business day of each month, we will be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For further discussion of the SVB Term Loan, see “—Liquidity and Capital Resources”.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93</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we had cash and cash equivalents of $45.0 million. We believe that our existing cash and cash equivalents will enable us to fund our operating expenses and capital expenditure requirements into the second quarter of 2022. Our estimate as to how long we expect our existing cash and cash equivalents to 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including as a result of the increase in the target number of subjects to be enrolled from 240 to 360 following the completion of the SSRE analysis, the additional Phase 3 clinical trial we believe we will be required to conduct to support the submission of an NDA to the FDA for Haduvio for the treatment of pruritus associated with prurigo nodularis, our ongoing Phase 2 CANAL trial in chronic cough in patients with IPF, the development and validation of our commercial manufacturing process for Haduvio and other development activities, including potentially commencing Phase 2 clinical trials for the treatment of LID in patients with Parkinson’s disease. In addition, we may continue to incur additional expenses as a result of the COVID-19 pandemic and related clinical trial delays and interruptions.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 </w:t>
      </w:r>
    </w:p>
    <w:p>
      <w:pPr>
        <w:pStyle w:val="TextBody"/>
        <w:spacing w:before="240" w:after="0"/>
        <w:rPr/>
      </w:pPr>
      <w:r>
        <w:rPr/>
        <w:t> </w:t>
      </w:r>
    </w:p>
    <w:p>
      <w:pPr>
        <w:pStyle w:val="TextBody"/>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Impacts of COVID-19 Pandemic</w:t>
      </w:r>
    </w:p>
    <w:p>
      <w:pPr>
        <w:pStyle w:val="TextBody"/>
        <w:spacing w:before="0" w:after="0"/>
        <w:rPr/>
      </w:pPr>
      <w:bookmarkStart w:id="103" w:name="_Hlk54786504"/>
      <w:bookmarkEnd w:id="103"/>
      <w:r>
        <w:rPr/>
        <w:t> </w:t>
      </w:r>
    </w:p>
    <w:p>
      <w:pPr>
        <w:pStyle w:val="TextBody"/>
        <w:spacing w:before="0" w:after="0"/>
        <w:rPr>
          <w:rFonts w:ascii="Times New Roman" w:hAnsi="Times New Roman"/>
          <w:b w:val="false"/>
          <w:i w:val="false"/>
          <w:caps w:val="false"/>
          <w:smallCaps w:val="false"/>
          <w:color w:val="000000"/>
          <w:sz w:val="20"/>
        </w:rPr>
      </w:pPr>
      <w:bookmarkStart w:id="104" w:name="_Hlk547043451"/>
      <w:bookmarkEnd w:id="104"/>
      <w:r>
        <w:rPr>
          <w:rFonts w:ascii="Times New Roman" w:hAnsi="Times New Roman"/>
          <w:b w:val="false"/>
          <w:i w:val="false"/>
          <w:caps w:val="false"/>
          <w:smallCaps w:val="false"/>
          <w:color w:val="000000"/>
          <w:sz w:val="20"/>
        </w:rPr>
        <w:t xml:space="preserve">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patient screening and most enrollment was temporarily halted due to the COVID-19 pandemic. Patient screening restrictions have been lifted in the United States and Europe.  Many of our sites restarted patient screening and enrollment throughout May and June 2020. Furthermore, multiple sites in the Phase 2b/3 </w:t>
      </w:r>
      <w:bookmarkStart w:id="105" w:name="_Hlk54704345"/>
      <w:bookmarkEnd w:id="105"/>
      <w:r>
        <w:rPr>
          <w:rFonts w:ascii="Times New Roman" w:hAnsi="Times New Roman"/>
          <w:b w:val="false"/>
          <w:i w:val="false"/>
          <w:caps w:val="false"/>
          <w:smallCaps w:val="false"/>
          <w:color w:val="000000"/>
          <w:sz w:val="20"/>
        </w:rPr>
        <w:t xml:space="preserve">PRISM trial are requiring remote monitoring of patient data and we could be required to amend the protocol for the trial to have fewer patient visits over the course of the trial. We also experienced slower recruitment activities worldwide through the latter part of 2020 and the beginning of 2021 due to the resurgence of the COVID-19 pandemic. In addition, the clinical sites in our ongoing Phase 2 CANAL trial temporarily suspended enrollment and treatment of patients in the trial due to the vulnerability of IPF patients to COVID-19 and we amended the protocol for the trial to reduce the number of in-person patient visits and procedures. While patient screening and enrollment for our Phase 2 CANAL trial resumed at certain clinical trial sites in the fourth quarter of 2020, all sites in the trial paused screening again in December 2020 in response to a shelter in place directive from the U.K. government.  Once sites are able to resume screening, some sites may take longer to resume their trial activity due to increased COVID-19 infection rates in the areas where they are located, and we expect other sites may cease to participate in the trial entirely.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94</w:t>
      </w:r>
    </w:p>
    <w:p>
      <w:pPr>
        <w:pStyle w:val="HorizontalLine"/>
        <w:rPr/>
      </w:pPr>
      <w:r>
        <w:rPr/>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taken temporary precautionary measures intended to help minimize the risk of the virus to our employees, including allowing employees to work remotely, suspending all non-essential travel worldwide for our employees and discouraging employee attendance at industry events.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Components of Operating Results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Operating Expenses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Research and Development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All of our research and development expenses consist of expenses incurred in connection with the development of Haduvio.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our research and development expenses to increase over the next few years as we pursue our development program, pursue regulatory approval of Haduvio in the United States and Europe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whether as a result of the COVID-19 pandemic or otherwise, we could be required to expend significant additional financial resources and time on our development program. Furthermore, we are unable to predict when or if Haduvio will receive regulatory approval in the United States or elsewhere with any certainty.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General and Administrative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anticipate that our general and administrative expenses will increase as a result of increased personnel costs, including stock-based compensation and expanded infrastructure.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Other Income (Expense), Net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Interest Expense on our Term Loan Facility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2020, we entered into the SVB Loan Agreement under which we borrowed $14.0 million under a term loan, or the SVB Term Loan. The SVB Term Loan </w:t>
      </w:r>
      <w:r>
        <w:rPr>
          <w:rFonts w:ascii="Times New Roman" w:hAnsi="Times New Roman"/>
          <w:b w:val="false"/>
          <w:i w:val="false"/>
          <w:caps w:val="false"/>
          <w:smallCaps w:val="false"/>
          <w:color w:val="000000"/>
          <w:sz w:val="20"/>
          <w:highlight w:val="white"/>
        </w:rPr>
        <w:t xml:space="preserve">bears interest at a floating rate per annum equal to the greater of (A) the prime rate plus 1.00% and (B) 4.25%. If Silicon Valley Bank receives evidence satisfactory to it that we have (i) received positive data for the </w:t>
      </w:r>
      <w:r>
        <w:rPr>
          <w:rFonts w:ascii="Times New Roman" w:hAnsi="Times New Roman"/>
          <w:b w:val="false"/>
          <w:i w:val="false"/>
          <w:caps w:val="false"/>
          <w:smallCaps w:val="false"/>
          <w:color w:val="000000"/>
          <w:sz w:val="20"/>
        </w:rPr>
        <w:t xml:space="preserve">Phase 2b/3 </w:t>
      </w:r>
      <w:r>
        <w:rPr>
          <w:rFonts w:ascii="Times New Roman" w:hAnsi="Times New Roman"/>
          <w:b w:val="false"/>
          <w:i w:val="false"/>
          <w:caps w:val="false"/>
          <w:smallCaps w:val="false"/>
          <w:color w:val="000000"/>
          <w:sz w:val="20"/>
          <w:highlight w:val="white"/>
        </w:rPr>
        <w:t>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will be adjusted to a floating rate equal to the greater of (A) the prime rate plus 3.00% and (B) 6.25%</w:t>
      </w:r>
      <w:r>
        <w:rPr>
          <w:rFonts w:ascii="Times New Roman" w:hAnsi="Times New Roman"/>
          <w:b w:val="false"/>
          <w:i w:val="false"/>
          <w:caps w:val="false"/>
          <w:smallCaps w:val="false"/>
          <w:color w:val="000000"/>
          <w:sz w:val="20"/>
        </w:rPr>
        <w:t>. The SVB Term Loan requires interest-only payments until March 2022. </w:t>
      </w:r>
      <w:r>
        <w:rPr>
          <w:rFonts w:ascii="Times New Roman" w:hAnsi="Times New Roman"/>
          <w:b w:val="false"/>
          <w:i w:val="false"/>
          <w:caps w:val="false"/>
          <w:smallCaps w:val="false"/>
          <w:color w:val="000000"/>
          <w:sz w:val="20"/>
          <w:highlight w:val="white"/>
        </w:rPr>
        <w:t>We will then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w:t>
      </w:r>
      <w:r>
        <w:rPr>
          <w:rFonts w:ascii="Times New Roman" w:hAnsi="Times New Roman"/>
          <w:b w:val="false"/>
          <w:i w:val="false"/>
          <w:caps w:val="false"/>
          <w:smallCaps w:val="false"/>
          <w:color w:val="000000"/>
          <w:sz w:val="20"/>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95</w:t>
      </w:r>
    </w:p>
    <w:p>
      <w:pPr>
        <w:pStyle w:val="HorizontalLine"/>
        <w:rPr/>
      </w:pPr>
      <w:r>
        <w:rPr/>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Change in Fair Value of Obligation for Loan Success Fee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connection with our prior term loan with Solar Capital, Ltd. and Square 1 Bank, which we refer to as the Solar Term Loan, we entered into a success fee agreement under which we agreed to pay the lenders a success fee, which we refer to as the Success Fee, upon the occurrence of an exit event, as defined in the success fee agreement. We recognized changes in the fair value of this obligation for the Success Fee in our statements of operations as a component of other income (expense), net. We recognized changes in the fair value of the obligation for the Success Fee until the Success Fee payment was triggered and paid upon the closing of our IPO in May 2019.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Change in Fair Value of Term Loan Derivative Liability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connection with the SVB Term Loan, upon the occurrence of the Phase 3 Event, the interest rate on the SVB Term Loan will increase by 2.00%. This contingent interest rate increase represents a free-standing financial instrument. Accordingly, we accounted for the contingent interest rate increase as a derivative under Accounting Standards Codification, or ASC, 815, </w:t>
      </w:r>
      <w:r>
        <w:rPr>
          <w:rFonts w:ascii="Times New Roman" w:hAnsi="Times New Roman"/>
          <w:b w:val="false"/>
          <w:i/>
          <w:caps w:val="false"/>
          <w:smallCaps w:val="false"/>
          <w:color w:val="000000"/>
          <w:sz w:val="20"/>
        </w:rPr>
        <w:t>Derivatives and Hedging</w:t>
      </w:r>
      <w:r>
        <w:rPr>
          <w:rFonts w:ascii="Times New Roman" w:hAnsi="Times New Roman"/>
          <w:b w:val="false"/>
          <w:i w:val="false"/>
          <w:caps w:val="false"/>
          <w:smallCaps w:val="false"/>
          <w:color w:val="000000"/>
          <w:sz w:val="20"/>
        </w:rPr>
        <w:t xml:space="preserve">, and therefore, we recorded a term loan derivative liability for the contingent interest rate increase at its fair value. We adjust this liability to fair value at each reporting date it remains outstanding. We recognized changes in the fair value of this term loan derivative in our statements of operations as a component of other income (expense), net.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Interest Income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consists of interest earned from money market funds on our cash and cash equivalents.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Results of Operations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Comparison of the Years Ended December 31, 2020 and 2019</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our results of operations for the periods indicated (in thousands):</w:t>
      </w:r>
    </w:p>
    <w:p>
      <w:pPr>
        <w:pStyle w:val="TextBody"/>
        <w:spacing w:before="0" w:after="0"/>
        <w:rPr/>
      </w:pPr>
      <w:r>
        <w:rPr/>
        <w:t> </w:t>
      </w:r>
    </w:p>
    <w:tbl>
      <w:tblPr>
        <w:tblW w:w="7025" w:type="dxa"/>
        <w:jc w:val="center"/>
        <w:tblInd w:w="0" w:type="dxa"/>
        <w:tblCellMar>
          <w:top w:w="0" w:type="dxa"/>
          <w:left w:w="0" w:type="dxa"/>
          <w:bottom w:w="28" w:type="dxa"/>
          <w:right w:w="0" w:type="dxa"/>
        </w:tblCellMar>
      </w:tblPr>
      <w:tblGrid>
        <w:gridCol w:w="4385"/>
        <w:gridCol w:w="60"/>
        <w:gridCol w:w="125"/>
        <w:gridCol w:w="650"/>
        <w:gridCol w:w="80"/>
        <w:gridCol w:w="60"/>
        <w:gridCol w:w="125"/>
        <w:gridCol w:w="650"/>
        <w:gridCol w:w="80"/>
        <w:gridCol w:w="60"/>
        <w:gridCol w:w="125"/>
        <w:gridCol w:w="545"/>
        <w:gridCol w:w="80"/>
      </w:tblGrid>
      <w:tr>
        <w:trPr/>
        <w:tc>
          <w:tcPr>
            <w:tcW w:w="43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2,989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10,161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32,489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26,645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5,844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(26,645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(5,844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obligation for loan success fee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term loan derivative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8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8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 (expense),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 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(32,776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(26,068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(6,708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(32,758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(26,050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(6,708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96</w:t>
      </w:r>
    </w:p>
    <w:p>
      <w:pPr>
        <w:pStyle w:val="HorizontalLine"/>
        <w:rPr/>
      </w:pPr>
      <w:r>
        <w:rPr/>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Operating Expenses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Research and Development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our research and development expenses for the periods indicated (in thousands):</w:t>
      </w:r>
    </w:p>
    <w:p>
      <w:pPr>
        <w:pStyle w:val="TextBody"/>
        <w:spacing w:before="0" w:after="0"/>
        <w:rPr/>
      </w:pPr>
      <w:r>
        <w:rPr/>
        <w:t> </w:t>
      </w:r>
    </w:p>
    <w:tbl>
      <w:tblPr>
        <w:tblW w:w="5483" w:type="dxa"/>
        <w:jc w:val="center"/>
        <w:tblInd w:w="0" w:type="dxa"/>
        <w:tblCellMar>
          <w:top w:w="0" w:type="dxa"/>
          <w:left w:w="0" w:type="dxa"/>
          <w:bottom w:w="28" w:type="dxa"/>
          <w:right w:w="0" w:type="dxa"/>
        </w:tblCellMar>
      </w:tblPr>
      <w:tblGrid>
        <w:gridCol w:w="3455"/>
        <w:gridCol w:w="60"/>
        <w:gridCol w:w="154"/>
        <w:gridCol w:w="727"/>
        <w:gridCol w:w="73"/>
        <w:gridCol w:w="73"/>
        <w:gridCol w:w="154"/>
        <w:gridCol w:w="727"/>
        <w:gridCol w:w="60"/>
      </w:tblGrid>
      <w:tr>
        <w:trPr/>
        <w:tc>
          <w:tcPr>
            <w:tcW w:w="34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06" w:name="_Hlk65850404"/>
            <w:bookmarkEnd w:id="106"/>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07" w:name="_Hlk64564236"/>
            <w:bookmarkEnd w:id="107"/>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development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17,587</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Personnel and related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2,933</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Consulting expenses and professional fees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1,310</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359</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research and development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w:t>
            </w:r>
          </w:p>
        </w:tc>
        <w:tc>
          <w:tcPr>
            <w:tcW w:w="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and development expenses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22,328</w:t>
            </w:r>
          </w:p>
        </w:tc>
        <w:tc>
          <w:tcPr>
            <w:tcW w:w="7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19,339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expenses for the year ended December 31, 2020 increased $3.0 million, or 15.5%, to $22.3 million from $19.3 million for the year ended December 31, 2019  The increase was primarily due to a $2.0 million increase in clinical development expenses primarily related to increased activity and enrollment in our ongoing Phase 2b/3 PRISM trial as well as an increase in expenses related to the purchase of clinical trial supplies.  The increased expenses from these activities was partially offset by decreased expenses associated with a decrease in activity in our Phase 1b clinical trial in patients with chronic liver disease due to the completion of the trial in the first half of 2020, as well as decreased activity in our Phase 2 CANAL trial due to the temporary pausing of enrollment and treatment of patients as a result of the COVID-19 pandemic.</w:t>
      </w:r>
      <w:r>
        <w:rPr>
          <w:rFonts w:ascii="Times New Roman" w:hAnsi="Times New Roman"/>
          <w:b w:val="false"/>
          <w:i w:val="false"/>
          <w:caps w:val="false"/>
          <w:smallCaps w:val="false"/>
          <w:color w:val="000000"/>
          <w:sz w:val="20"/>
          <w:highlight w:val="white"/>
        </w:rPr>
        <w:t> </w:t>
      </w:r>
      <w:r>
        <w:rPr>
          <w:rFonts w:ascii="Times New Roman" w:hAnsi="Times New Roman"/>
          <w:b w:val="false"/>
          <w:i w:val="false"/>
          <w:caps w:val="false"/>
          <w:smallCaps w:val="false"/>
          <w:color w:val="000000"/>
          <w:sz w:val="20"/>
        </w:rPr>
        <w:t xml:space="preserve"> In addition, personnel and related expenses increased by $0.7 million as a result of an increase in our employee headcount, consulting expenses and professional fees increased by $0.2 million as a result of our increased clinical trial activity, and stock-based compensation expenses increased $0.2 million due to</w:t>
      </w:r>
      <w:r>
        <w:rPr>
          <w:rFonts w:ascii="Times New Roman" w:hAnsi="Times New Roman"/>
          <w:b w:val="false"/>
          <w:i w:val="false"/>
          <w:caps w:val="false"/>
          <w:smallCaps w:val="false"/>
          <w:color w:val="000000"/>
          <w:sz w:val="20"/>
          <w:highlight w:val="white"/>
        </w:rPr>
        <w:t xml:space="preserve"> the issuance of new stock option grants in the first quarter of 2020 and expanded operations</w:t>
      </w:r>
      <w:r>
        <w:rPr>
          <w:rFonts w:ascii="Times New Roman" w:hAnsi="Times New Roman"/>
          <w:b w:val="false"/>
          <w:i w:val="false"/>
          <w:caps w:val="false"/>
          <w:smallCaps w:val="false"/>
          <w:color w:val="000000"/>
          <w:sz w:val="20"/>
        </w:rPr>
        <w:t>. For the years ended December 31, 2020 and 2019, all of our research and development expenses related to our development activity for Haduvio.</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General and Administrative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 for the year ended December 31, 2020 increased $2.9 million, or 39.1%, to $10.2 million from $7.3 million for the year ended December 31, 2019. T</w:t>
      </w:r>
      <w:r>
        <w:rPr>
          <w:rFonts w:ascii="Times New Roman" w:hAnsi="Times New Roman"/>
          <w:b w:val="false"/>
          <w:i w:val="false"/>
          <w:caps w:val="false"/>
          <w:smallCaps w:val="false"/>
          <w:color w:val="000000"/>
          <w:sz w:val="20"/>
          <w:highlight w:val="white"/>
        </w:rPr>
        <w:t>he increase was primarily due to an increase in stock-based compensation expenses </w:t>
      </w:r>
      <w:r>
        <w:rPr>
          <w:rFonts w:ascii="Times New Roman" w:hAnsi="Times New Roman"/>
          <w:b w:val="false"/>
          <w:i w:val="false"/>
          <w:caps w:val="false"/>
          <w:smallCaps w:val="false"/>
          <w:color w:val="000000"/>
          <w:sz w:val="20"/>
        </w:rPr>
        <w:t>of $1.2 </w:t>
      </w:r>
      <w:r>
        <w:rPr>
          <w:rFonts w:ascii="Times New Roman" w:hAnsi="Times New Roman"/>
          <w:b w:val="false"/>
          <w:i w:val="false"/>
          <w:caps w:val="false"/>
          <w:smallCaps w:val="false"/>
          <w:color w:val="000000"/>
          <w:sz w:val="20"/>
          <w:highlight w:val="white"/>
        </w:rPr>
        <w:t>million, primarily attributable to the issuance of new stock option grants in the second quarter of 2019 in connection with the IPO and in the first quarter of 2020, an increase in expenses related largely to being a public company of approximately </w:t>
      </w:r>
      <w:r>
        <w:rPr>
          <w:rFonts w:ascii="Times New Roman" w:hAnsi="Times New Roman"/>
          <w:b w:val="false"/>
          <w:i w:val="false"/>
          <w:caps w:val="false"/>
          <w:smallCaps w:val="false"/>
          <w:color w:val="000000"/>
          <w:sz w:val="20"/>
        </w:rPr>
        <w:t>$0.8 million and an increase</w:t>
      </w:r>
      <w:r>
        <w:rPr>
          <w:rFonts w:ascii="Times New Roman" w:hAnsi="Times New Roman"/>
          <w:b w:val="false"/>
          <w:i w:val="false"/>
          <w:caps w:val="false"/>
          <w:smallCaps w:val="false"/>
          <w:color w:val="000000"/>
          <w:sz w:val="20"/>
          <w:highlight w:val="white"/>
        </w:rPr>
        <w:t> in expenses related primarily to consulting fees of $0.4 million.</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Other Income (Expense), Net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 for the year ended December 31, 2020 decreased to other (expense), net of $0.3 million from other income, net of $0.6 million for the year ended December 31, 2019. The decrease reflects a decrease in interest income of $0.6 million for the year ended December 31, 2020 as compared to the prior year, primarily due to lower market interest rates and a $0.5 million increase in expense due to interest expense on the SVB Term Loan recognized in the year ended December 31, 2020 with no comparable expense recognized in 2019.  These changes in interest income and interest expense were partially offset by a decrease in expense of $0.2 million attributable to expense being recognized in the year ended December 31, 2019 for the change in fair value of obligation for the Success Fee with no comparable expense recognized in 2020.</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Liquidity and Capital Resources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the Solar Term Loan. From inception to our IPO, we raised an aggregate of $102.2 million in gross proceeds from sales of our preferred stock and convertible notes and borrowed $15.0 million under the Solar Term Loan. As of June 30, 2018, all amounts owed under the Solar Term Loan had been paid in full.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we had cash and cash equivalents of $45.0 million. Our cash and cash equivalents are primarily held in money market accounts.</w:t>
      </w:r>
    </w:p>
    <w:p>
      <w:pPr>
        <w:pStyle w:val="TextBody"/>
        <w:spacing w:before="40" w:after="0"/>
        <w:rPr/>
      </w:pPr>
      <w:r>
        <w:rPr/>
        <w:t> </w:t>
      </w:r>
    </w:p>
    <w:p>
      <w:pPr>
        <w:pStyle w:val="TextBody"/>
        <w:spacing w:before="40" w:after="0"/>
        <w:rPr>
          <w:rFonts w:ascii="Times New Roman" w:hAnsi="Times New Roman"/>
          <w:b w:val="false"/>
          <w:i w:val="false"/>
          <w:caps w:val="false"/>
          <w:smallCaps w:val="false"/>
          <w:color w:val="000000"/>
          <w:sz w:val="20"/>
        </w:rPr>
      </w:pPr>
      <w:bookmarkStart w:id="108" w:name="_Hlk470890891"/>
      <w:bookmarkEnd w:id="108"/>
      <w:r>
        <w:rPr>
          <w:rFonts w:ascii="Times New Roman" w:hAnsi="Times New Roman"/>
          <w:b w:val="false"/>
          <w:i w:val="false"/>
          <w:caps w:val="false"/>
          <w:smallCaps w:val="false"/>
          <w:color w:val="000000"/>
          <w:sz w:val="20"/>
        </w:rPr>
        <w:t>I</w:t>
      </w:r>
      <w:bookmarkStart w:id="109" w:name="_Hlk47089089"/>
      <w:bookmarkEnd w:id="109"/>
      <w:r>
        <w:rPr>
          <w:rFonts w:ascii="Times New Roman" w:hAnsi="Times New Roman"/>
          <w:b w:val="false"/>
          <w:i w:val="false"/>
          <w:caps w:val="false"/>
          <w:smallCaps w:val="false"/>
          <w:color w:val="000000"/>
          <w:sz w:val="20"/>
        </w:rPr>
        <w:t>n June 2020, we entered into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December 31, 2020, we had issued and sold an aggregate of 687,876 shares of common stock for gross proceeds of $3.2 million, before deducting estimated commissions and allocated fees of $0.2 million. Subsequent to December 31, 2020, and through March 24, 2021, we had issued and sold an additional 1,367,621 shares of common stock for gross proceeds of $4.4 million, before deducting estimated commissions and allocated fees of $0.3 million under the ATM Sales Agreement.</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2020, we entered into the SVB Loan Agreement, with Silicon Valley Bank, as lender, or SVB, pursuant to which SVB provided the SVB Term Loan in the original principal amount of $14.0 million. The proceeds from the SVB Term Loan may be used by us for working capital and general corporate purposes.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If we fail to meet certain equity raise requirements under the SVB Loan Agreement, we will be required to deposit unrestricted and unencumbered cash equal to 100% of the principal amount of the SVB Term Loan then outstanding in a cash 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98</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Cash Flows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our cash flows for each of the periods presented below (in thousands):</w:t>
      </w:r>
    </w:p>
    <w:p>
      <w:pPr>
        <w:pStyle w:val="TextBody"/>
        <w:spacing w:before="0" w:after="0"/>
        <w:rPr/>
      </w:pPr>
      <w:r>
        <w:rPr/>
        <w:t> </w:t>
      </w:r>
    </w:p>
    <w:tbl>
      <w:tblPr>
        <w:tblW w:w="5412" w:type="dxa"/>
        <w:jc w:val="center"/>
        <w:tblInd w:w="0" w:type="dxa"/>
        <w:tblCellMar>
          <w:top w:w="0" w:type="dxa"/>
          <w:left w:w="0" w:type="dxa"/>
          <w:bottom w:w="28" w:type="dxa"/>
          <w:right w:w="0" w:type="dxa"/>
        </w:tblCellMar>
      </w:tblPr>
      <w:tblGrid>
        <w:gridCol w:w="3365"/>
        <w:gridCol w:w="60"/>
        <w:gridCol w:w="141"/>
        <w:gridCol w:w="734"/>
        <w:gridCol w:w="90"/>
        <w:gridCol w:w="67"/>
        <w:gridCol w:w="141"/>
        <w:gridCol w:w="734"/>
        <w:gridCol w:w="80"/>
      </w:tblGrid>
      <w:tr>
        <w:trPr/>
        <w:tc>
          <w:tcPr>
            <w:tcW w:w="33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10" w:name="_Hlk65850405"/>
            <w:bookmarkEnd w:id="110"/>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(29,000</w:t>
            </w:r>
          </w:p>
        </w:tc>
        <w:tc>
          <w:tcPr>
            <w:tcW w:w="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(23,093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16,720</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73,213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increase (decrease)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(12,312</w:t>
            </w:r>
          </w:p>
        </w:tc>
        <w:tc>
          <w:tcPr>
            <w:tcW w:w="9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50,111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Operating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During the year ended December 31, 2020, operating activities used $29.0 million of cash, resulting from our net loss of $32.8 million, partially offset by changes in our operating assets and liabilities of $1.1 million and non-cash charges of $2.7 million. Changes in our operating assets and liabilities for the year ended December 31, 2020 consisted of a $0.4 million decrease in prepaid expenses, a $0.4 million increase in accounts payable, a $0.3 million decrease in receivables and a $0.1 million decrease in accrued expenses. The decrease in prepaid expenses was primarily due to the application of such prepaid amounts to clinical trial activity in 2020.  The increase in accounts payable was primarily due to timing of vendor invoices.  The decrease in receivables was primarily due to a refund of</w:t>
      </w:r>
      <w:r>
        <w:rPr>
          <w:rFonts w:ascii="Times New Roman" w:hAnsi="Times New Roman"/>
          <w:b w:val="false"/>
          <w:i w:val="false"/>
          <w:caps w:val="false"/>
          <w:smallCaps w:val="false"/>
          <w:color w:val="000000"/>
          <w:sz w:val="20"/>
          <w:highlight w:val="white"/>
        </w:rPr>
        <w:t xml:space="preserve"> prepayments made to one of our vendors, which we received in the first quarter of 2020.  This decrease in receivables was primarily offset by additional </w:t>
      </w:r>
      <w:r>
        <w:rPr>
          <w:rFonts w:ascii="Times New Roman" w:hAnsi="Times New Roman"/>
          <w:b w:val="false"/>
          <w:i w:val="false"/>
          <w:caps w:val="false"/>
          <w:smallCaps w:val="false"/>
          <w:color w:val="000000"/>
          <w:sz w:val="20"/>
        </w:rPr>
        <w:t>prepayments made to one of our vendors, which we expect will be paid back to us in the first quarter of 2021. The non-cash charges for the year ended December 31, 2020 consisted primarily of stock-based compensation expense of $2.4 million and $0.2 million of accretion/accrual of term loan discounts and debt issuance costs.</w:t>
      </w:r>
    </w:p>
    <w:p>
      <w:pPr>
        <w:pStyle w:val="TextBody"/>
        <w:spacing w:before="12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year ended December 31, 2019, operating activities used $23.1 million of cash, resulting from our net loss of $26.1 million, partially offset by changes in our operating assets and liabilities of $1.6 million and non-cash charges of $1.4 million. Changes in our operating assets and liabilities for the year ended December 31, 2019 consisted primarily of a $1.4 million increase in accrued expenses, a $0.8 million increase in accounts payable, a $0.4 million increase in receivables, and a $0.2 million increase in prepaid expenses. The increase in accrued expenses was primarily due to increases in accruals related to our Phase 2b/3 PRISM trial and our Phase 2 CANAL trial. The increase in accounts payable was primarily due to timing of vendor invoices. The increase in receivables was primarily due to prepayments made to one of our vendors, which was paid back to us in the first half of 2020. The increase in prepaid expenses was primarily due to prepayments of our insurance policies. The non-cash charges for the year ended December 31, 2019 consisted primarily of stock-based compensation expense of $1.1 million and changes in fair value of the Success Fee of $0.2 million.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Investing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years ended December 31, 2020 and 2019, we used an insignificant amount of cash in investing activities, consisting of purchases of property and equipment.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Financing Activities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year ended December 31, 2020, net cash provided by financing activities was $16.7 million, primarily consisting of cash proceeds from the SVB Term Loan of $14.0 million and gross cash proceeds of $3.2 million from sales of our common stock under the ATM Sales Agreement, before deducting estimated commissions and allocated fees of $0.2 million.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year ended December 31, 2019, net cash provided by financing activities was $73.2 million, primarily consisting of  cash proceeds, net of underwriting discounts and commissions and placement agent fees, of $65.1 million from our IPO and concurrent private placement, and $10.0 million from our sales of shares of Series C preferred stock in the third tranche of our Series C preferred stock financing in January 2019, partially offset by costs relating to our IPO of $1.2 million and payment of the $0.7 million Success Fee.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Funding Requirements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including as a result of the increase in the target number of patients to be enrolled from 240 to 360 based on the SSRE analysis, the additional Phase 3 clinical trial we believe we will need to conduct to support the submission of an NDA to the FDA and a marketing authorization application to the European Medicines Agency for Haduvio for the treatment of pruritus associated with prurigo nodularis, our ongoing Phase 2 CANAL trial, the costs of commercialization activities, including manufacturing capabilities, for Haduvio and other development activities including potentially commencing Phase 2 clinical trials for the treatment of LID in patients with Parkinson’s disease. In addition, we have incurred and may continue to incur additional expenses as a result of COVID-19 and resulting clinical trial delays and interruptions. Furthermore, we expect to continue to incur additional costs associated with operating as a public company, including significant legal, accounting, investor relations and other expenses.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scope, progress, timing, costs and results of clinical trials of Haduvio for the treatment of pruritus associated with prurigo nodularis, as well as the scope, progress, timing, costs and results of clinical trials of Haduvio for other serious neurologically mediated conditions, including our ongoing Phase 2 CANAL trial, as well as any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impacts of the COVID-19 pandemic on the scope, progress, timing, costs and results of our ongoing and planned clinical trials of Haduvio;</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number and characteristics of indications for which we seek to develop Haduvio or any future product candidates, and their respective development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outcome, timing and costs of clinical and nonclinical trials and of seeking regulatory approvals, including the costs of supportive clinical studies such as our planned human abuse liability study and our planned Thorough QT studies;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costs associated with the manufacture of necessary quantities of Haduvio or any future product candidate for clinical development in connection with regulatory submissions;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subject to receipt of marketing approvals, revenue, if any, received from commercial sales of Haduvio for the treatment of pruritus associated with prurigo nodularis or for any other serious neurologically mediated conditions or from any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extent to which we acquire or in-license rights to other potential product candidates or technologies, and the terms and timing of any such acquisition or licensing arrangements;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headcount growth and associated costs as we expand our research and development activities and establish a commercial infrastructure;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of preparing, filing and prosecuting patent applications, maintaining, expanding and protecting our intellectual property rights and defending against intellectual property-related claims; </w:t>
            </w:r>
          </w:p>
        </w:tc>
      </w:tr>
    </w:tbl>
    <w:tbl>
      <w:tblPr>
        <w:tblW w:w="5395" w:type="dxa"/>
        <w:jc w:val="left"/>
        <w:tblInd w:w="0" w:type="dxa"/>
        <w:tblCellMar>
          <w:top w:w="0" w:type="dxa"/>
          <w:left w:w="0" w:type="dxa"/>
          <w:bottom w:w="0" w:type="dxa"/>
          <w:right w:w="0" w:type="dxa"/>
        </w:tblCellMar>
      </w:tblPr>
      <w:tblGrid>
        <w:gridCol w:w="60"/>
        <w:gridCol w:w="110"/>
        <w:gridCol w:w="52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2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effect of competing technologies and market developments; </w:t>
            </w:r>
          </w:p>
        </w:tc>
      </w:tr>
    </w:tbl>
    <w:tbl>
      <w:tblPr>
        <w:tblW w:w="8950" w:type="dxa"/>
        <w:jc w:val="left"/>
        <w:tblInd w:w="0" w:type="dxa"/>
        <w:tblCellMar>
          <w:top w:w="0" w:type="dxa"/>
          <w:left w:w="0" w:type="dxa"/>
          <w:bottom w:w="0" w:type="dxa"/>
          <w:right w:w="0" w:type="dxa"/>
        </w:tblCellMar>
      </w:tblPr>
      <w:tblGrid>
        <w:gridCol w:w="60"/>
        <w:gridCol w:w="110"/>
        <w:gridCol w:w="87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87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our ability to establish and maintain healthcare coverage and adequate reimbursement for our products; and </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costs of operating as a public company.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believe that our existing cash and cash equivalents will enable us to fund our operating expenses and capital expenditure requirements into the second quarter of 2022.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Haduvio for pruritus associated with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Critical Accounting Policies and Use of Estimates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While our significant accounting policies are described in the Notes to our financial statements, we believe that the following critical accounting policies are most important to understanding and evaluating our reported financial results.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p>
      <w:pPr>
        <w:pStyle w:val="HorizontalLine"/>
        <w:rPr/>
      </w:pPr>
      <w:r>
        <w:rPr/>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Research and Development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entered into agreements with CROs, contract manufacturing organizations and other companies that provide services in connection with our research and development activities. Our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Stock-Based Compensation Expense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account for stock-based compensation arrangements with employees and non-employees for consultancy services in accordance with ASC 718, </w:t>
      </w:r>
      <w:r>
        <w:rPr>
          <w:rFonts w:ascii="Times New Roman" w:hAnsi="Times New Roman"/>
          <w:b w:val="false"/>
          <w:i/>
          <w:caps w:val="false"/>
          <w:smallCaps w:val="false"/>
          <w:color w:val="000000"/>
          <w:sz w:val="20"/>
        </w:rPr>
        <w:t>Stock Compensation</w:t>
      </w:r>
      <w:r>
        <w:rPr>
          <w:rFonts w:ascii="Times New Roman" w:hAnsi="Times New Roman"/>
          <w:b w:val="false"/>
          <w:i w:val="false"/>
          <w:caps w:val="false"/>
          <w:smallCaps w:val="false"/>
          <w:color w:val="000000"/>
          <w:sz w:val="20"/>
        </w:rPr>
        <w:t xml:space="preserve">, or ASC 718. ASC 718 requires the recognition of compensation expense, using a fair value based method, for costs related to all stock-based payments, including stock options. Our determination of the fair value of stock options on the date of grant utilizes the Black-Scholes option pricing model for stock options with time-based vesting, and is impacted by our common stock price as well as changes in assumptions regarding a number of  complex and subjective variables. These variables include expected term that options will remain outstanding, expected common stock price volatility over the term of the option awards, risk-free interest rates and expected dividends.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fair value of an option award is recognized over the period during which the optionee is required to provide services in exchange for the option award, known as the requisite service period (usually the vesting period) on a straight-line basis. Forfeitures are accounted for as they occur.</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analysis and judgment to develop. </w:t>
      </w:r>
    </w:p>
    <w:p>
      <w:pPr>
        <w:pStyle w:val="TextBody"/>
        <w:spacing w:before="0" w:after="0"/>
        <w:rPr/>
      </w:pPr>
      <w:r>
        <w:rPr/>
        <w:t> </w:t>
      </w:r>
    </w:p>
    <w:p>
      <w:pPr>
        <w:pStyle w:val="TextBody"/>
        <w:spacing w:before="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Expected Term—</w:t>
      </w:r>
      <w:r>
        <w:rPr>
          <w:rFonts w:ascii="Times New Roman" w:hAnsi="Times New Roman"/>
          <w:b w:val="false"/>
          <w:i w:val="false"/>
          <w:caps w:val="false"/>
          <w:smallCaps w:val="false"/>
          <w:color w:val="000000"/>
          <w:sz w:val="20"/>
        </w:rPr>
        <w:t xml:space="preserve">The expected term assumption represents the weighted average period that the stock-based awards are expected to be outstanding. We have elected to use the “simplified method” for estimating the expected term of the options, whereby the expected term equals the arithmetic average of the vesting term and the original contractual term of the option.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Expected Volatility—</w:t>
      </w:r>
      <w:r>
        <w:rPr>
          <w:rFonts w:ascii="Times New Roman" w:hAnsi="Times New Roman"/>
          <w:b w:val="false"/>
          <w:i w:val="false"/>
          <w:caps w:val="false"/>
          <w:smallCaps w:val="false"/>
          <w:color w:val="000000"/>
          <w:sz w:val="20"/>
        </w:rPr>
        <w:t xml:space="preserve">For all stock options granted to date, the volatility data was estimated based on a study of publicly traded industry peer companies. For purposes of identifying these peer companies, we considered the industry, stage of development, size and financial leverage of potential comparable companies.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Expected Dividend—</w:t>
      </w:r>
      <w:r>
        <w:rPr>
          <w:rFonts w:ascii="Times New Roman" w:hAnsi="Times New Roman"/>
          <w:b w:val="false"/>
          <w:i w:val="false"/>
          <w:caps w:val="false"/>
          <w:smallCaps w:val="false"/>
          <w:color w:val="000000"/>
          <w:sz w:val="20"/>
        </w:rPr>
        <w:t xml:space="preserve">The Black-Scholes valuation model calls for a single expected dividend yield as an input. We currently have no history or expectation of paying cash dividends on our common stock. </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Risk-Free Interest Rate—</w:t>
      </w:r>
      <w:r>
        <w:rPr>
          <w:rFonts w:ascii="Times New Roman" w:hAnsi="Times New Roman"/>
          <w:b w:val="false"/>
          <w:i w:val="false"/>
          <w:caps w:val="false"/>
          <w:smallCaps w:val="false"/>
          <w:color w:val="000000"/>
          <w:sz w:val="20"/>
        </w:rPr>
        <w:t xml:space="preserve">The risk-free interest rate is based on the yield available on U.S. Treasury zero-coupon issues similar in duration to the expected term of the equity-settled award.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assumptions were used to calculate the fair value of awards granted during the periods indicated: </w:t>
      </w:r>
    </w:p>
    <w:p>
      <w:pPr>
        <w:pStyle w:val="TextBody"/>
        <w:spacing w:before="0" w:after="0"/>
        <w:rPr/>
      </w:pPr>
      <w:r>
        <w:rPr/>
        <w:t> </w:t>
      </w:r>
    </w:p>
    <w:tbl>
      <w:tblPr>
        <w:tblW w:w="4917" w:type="dxa"/>
        <w:jc w:val="center"/>
        <w:tblInd w:w="0" w:type="dxa"/>
        <w:tblCellMar>
          <w:top w:w="0" w:type="dxa"/>
          <w:left w:w="0" w:type="dxa"/>
          <w:bottom w:w="28" w:type="dxa"/>
          <w:right w:w="0" w:type="dxa"/>
        </w:tblCellMar>
      </w:tblPr>
      <w:tblGrid>
        <w:gridCol w:w="2765"/>
        <w:gridCol w:w="60"/>
        <w:gridCol w:w="101"/>
        <w:gridCol w:w="645"/>
        <w:gridCol w:w="314"/>
        <w:gridCol w:w="101"/>
        <w:gridCol w:w="101"/>
        <w:gridCol w:w="645"/>
        <w:gridCol w:w="185"/>
      </w:tblGrid>
      <w:tr>
        <w:trPr/>
        <w:tc>
          <w:tcPr>
            <w:tcW w:w="27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11" w:name="_Hlk64564238"/>
            <w:bookmarkEnd w:id="111"/>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3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31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81.5</w:t>
            </w:r>
          </w:p>
        </w:tc>
        <w:tc>
          <w:tcPr>
            <w:tcW w:w="3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78.7</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3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life of options (in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3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will continue to use judgment in evaluating the expected volatility, expected terms and interest rates utilized for our stock-based compensation expense calculations on a prospective basis.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 is reflected in the statements of operations and comprehensive loss as follows (in thousands):</w:t>
      </w:r>
    </w:p>
    <w:p>
      <w:pPr>
        <w:pStyle w:val="TextBody"/>
        <w:spacing w:before="0" w:after="0"/>
        <w:rPr/>
      </w:pPr>
      <w:r>
        <w:rPr/>
        <w:t> </w:t>
      </w:r>
    </w:p>
    <w:tbl>
      <w:tblPr>
        <w:tblW w:w="4943" w:type="dxa"/>
        <w:jc w:val="center"/>
        <w:tblInd w:w="0" w:type="dxa"/>
        <w:tblCellMar>
          <w:top w:w="0" w:type="dxa"/>
          <w:left w:w="0" w:type="dxa"/>
          <w:bottom w:w="28" w:type="dxa"/>
          <w:right w:w="0" w:type="dxa"/>
        </w:tblCellMar>
      </w:tblPr>
      <w:tblGrid>
        <w:gridCol w:w="2915"/>
        <w:gridCol w:w="60"/>
        <w:gridCol w:w="178"/>
        <w:gridCol w:w="691"/>
        <w:gridCol w:w="85"/>
        <w:gridCol w:w="85"/>
        <w:gridCol w:w="178"/>
        <w:gridCol w:w="691"/>
        <w:gridCol w:w="60"/>
      </w:tblGrid>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12" w:name="_Hlk64564239"/>
            <w:bookmarkEnd w:id="112"/>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360</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2,057</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2,417</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2020, total unrecognized stock-based compensation was $4.4 million, which is expected to be recognized over the remaining vesting period of 2.5 years.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intrinsic value of all outstanding stock options as of December 31, 2020 was approximately $0.2 million based on a common stock fair value of $2.42 per share, which was the closing price of our common stock on the Nasdaq Global Market on December 31, 2020. </w:t>
      </w:r>
    </w:p>
    <w:p>
      <w:pPr>
        <w:pStyle w:val="TextBody"/>
        <w:spacing w:before="36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Common Stock Valuations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Prior to our IPO in May 2019, the estimated fair value of the common stock underlying our stock options was determined at each grant date by our board of directors, with input from management. All options to purchase shares of our common stock were intended to be exercisable at a price per share not less than the per share fair value of our common stock underlying those options on the date of grant.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absence of a public trading market for our common stock prior to our IPO in May 2019, on each grant date, we developed an estimate of the fair value of our common stock based on the information known to us on the date of grant, upon a review of any recent events and their potential impact on the estimated fair value per share of the common stock, and in part on input from an independent third-party valuation. As is provided for in Section 409A of the Internal Revenue Code of 1986, as amended, or the Code, we generally relied on our valuations for up to twelve months unless we had experienced a material event that would have affected the estimated fair value of our common stock.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valuations of our common stock prior to our IPO in May 2019 were determined in accordance with the guidelines outlined in the American Institute of Certified Public Accountants Practice Aid, Valuation of Privately-Held-Company Equity Securities Issued as Compensation, or the Practice Aid. The methodology to determine the fair value of our common stock included estimating the fair value of the enterprise using a market approach, which estimates the fair value of the company by including an estimation of the value of the business based on guideline public companies under a number of different scenarios. The assumptions used to determine the estimated fair value of our common stock were based on numerous objective and subjective factors, combined with management judgment, including external market conditions affecting the pharmaceutical and biotechnology industry and trends within the industry; our stage of development; the rights, preferences and privileges of our convertible preferred stock relative to those of our common stock; the prices at which we sold shares of our convertible preferred stock; our financial condition and operating results, including our levels of available capital resources; the progress of our research and development efforts, our stage of development and business strategy; equity market conditions affecting comparable public companies; general U.S. market conditions; and the lack of marketability of our common stock.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Practice Aid identifies various available methods for allocating enterprise value across classes and series of capital stock to determine the estimated fair value of common stock at each valuation date. In accordance with the Practice Aid, we considered the following methods: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Option Pricing Method, or OPM</w:t>
            </w:r>
            <w:r>
              <w:rPr>
                <w:rFonts w:ascii="Times New Roman" w:hAnsi="Times New Roman"/>
                <w:b w:val="false"/>
                <w:i w:val="false"/>
                <w:caps w:val="false"/>
                <w:smallCaps w:val="false"/>
                <w:color w:val="000000"/>
                <w:spacing w:val="0"/>
                <w:sz w:val="20"/>
              </w:rPr>
              <w:t xml:space="preserve">—The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 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Probability Weighted Expected Return Method, or PWERM</w:t>
            </w:r>
            <w:r>
              <w:rPr>
                <w:rFonts w:ascii="Times New Roman" w:hAnsi="Times New Roman"/>
                <w:b w:val="false"/>
                <w:i w:val="false"/>
                <w:caps w:val="false"/>
                <w:smallCaps w:val="false"/>
                <w:color w:val="000000"/>
                <w:spacing w:val="0"/>
                <w:sz w:val="20"/>
              </w:rPr>
              <w:t xml:space="preserve">—Under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Hybrid Method</w:t>
            </w:r>
            <w:r>
              <w:rPr>
                <w:rFonts w:ascii="Times New Roman" w:hAnsi="Times New Roman"/>
                <w:b w:val="false"/>
                <w:i w:val="false"/>
                <w:caps w:val="false"/>
                <w:smallCaps w:val="false"/>
                <w:color w:val="000000"/>
                <w:spacing w:val="0"/>
                <w:sz w:val="20"/>
              </w:rPr>
              <w:t>—The hybrid method is a PWERM where the equity value in one of the scenarios is calculated using an OPM. In the hybrid method used by us, we considered an IPO, as the other potential future liquidity event. The equity value for the IPO scenario was determined using the guideline public company, or GPC, method under the market approach. The relative probability of the IPO scenario was determined based on an analysis of market conditions at the time and our expectations as to the timing and likely prospects of the IPO at each valuation date. In our application of the GPC method, we considered publicly traded companies in the biopharmaceutical industry that had a similar profile to ours as well as recently completed IPOs as indicators of our estimated future value in an IPO. We then discounted that future value back to the valuation date at an appropriate discount rate.</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determining the estimated fair value of our common stock prior to our IPO in May 2019, our board of directors considered the fact that our stockholders could not freely trade our common stock in the public markets. Accordingly, our board of directors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Subsequent to the completion of our IPO in May 2019, </w:t>
      </w:r>
      <w:r>
        <w:rPr>
          <w:rFonts w:ascii="Times New Roman" w:hAnsi="Times New Roman"/>
          <w:b w:val="false"/>
          <w:i w:val="false"/>
          <w:caps w:val="false"/>
          <w:smallCaps w:val="false"/>
          <w:color w:val="000000"/>
          <w:sz w:val="20"/>
          <w:highlight w:val="white"/>
        </w:rPr>
        <w:t>the fair value of our common stock has been determined based on the closing price of our common stock as reported on the date of grant on the primary stock exchange on which our common stock is traded.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Income Taxes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p>
      <w:pPr>
        <w:pStyle w:val="HorizontalLine"/>
        <w:rPr/>
      </w:pPr>
      <w:r>
        <w:rPr/>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account for uncertain tax positions in accordance with ASC 740, </w:t>
      </w:r>
      <w:r>
        <w:rPr>
          <w:rFonts w:ascii="Times New Roman" w:hAnsi="Times New Roman"/>
          <w:b w:val="false"/>
          <w:i/>
          <w:caps w:val="false"/>
          <w:smallCaps w:val="false"/>
          <w:color w:val="000000"/>
          <w:sz w:val="20"/>
        </w:rPr>
        <w:t>Accounting for Uncertainty in Income Taxes</w:t>
      </w:r>
      <w:r>
        <w:rPr>
          <w:rFonts w:ascii="Times New Roman" w:hAnsi="Times New Roman"/>
          <w:b w:val="false"/>
          <w:i w:val="false"/>
          <w:caps w:val="false"/>
          <w:smallCaps w:val="false"/>
          <w:color w:val="000000"/>
          <w:sz w:val="20"/>
        </w:rPr>
        <w:t xml:space="preserve">, or ASC 740. 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2020, our total deferred tax assets were $42.8 million.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 or NOL, carryforwards; which totaled approximately $137.6 million at December 31, 2020. Due to our Series A preferred stock financing in December 2012 and the shares we issued in connection with our IPO in May 2019, we were subject to an “ownership change” under Section 382 of the Code. As a result, our ability to use $91.3 million of these NOL carryforwards is limited. We may experience further ownership changes in the future as a result of subsequent shifts in our stock ownership, some of which may be outside of our control. If a further ownership change occurred, our ability to use our NOL carryforwards might be further limited.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Fair Value Measurements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financial instruments have consisted of cash and cash equivalents, tax credit and other receivables, accounts payable, accrued expenses, term loans, term loan derivative liability and obligation for loan success fee.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 term nature of those instruments. The carrying amount of the term loan approximates its fair value due to its floating market-based interest rate.  The fair value of the term loan derivative liability is estimated utilizing a probability-weighted cash flow approach.  The fair value of the obligation for loan success fee has been estimated utilizing a probability-weighted income approach, including variables for the timing of the success event and other probability estimates.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Current accounting guidance defines fair value, establishes a framework for measuring fair value in accordance with ASC 820, </w:t>
      </w:r>
      <w:r>
        <w:rPr>
          <w:rFonts w:ascii="Times New Roman" w:hAnsi="Times New Roman"/>
          <w:b w:val="false"/>
          <w:i/>
          <w:caps w:val="false"/>
          <w:smallCaps w:val="false"/>
          <w:color w:val="000000"/>
          <w:sz w:val="20"/>
        </w:rPr>
        <w:t>Fair Value Measurements and Disclosures</w:t>
      </w:r>
      <w:r>
        <w:rPr>
          <w:rFonts w:ascii="Times New Roman" w:hAnsi="Times New Roman"/>
          <w:b w:val="false"/>
          <w:i w:val="false"/>
          <w:caps w:val="false"/>
          <w:smallCaps w:val="false"/>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 </w:t>
      </w:r>
    </w:p>
    <w:tbl>
      <w:tblPr>
        <w:tblW w:w="7990" w:type="dxa"/>
        <w:jc w:val="left"/>
        <w:tblInd w:w="0" w:type="dxa"/>
        <w:tblCellMar>
          <w:top w:w="0" w:type="dxa"/>
          <w:left w:w="0" w:type="dxa"/>
          <w:bottom w:w="0" w:type="dxa"/>
          <w:right w:w="0" w:type="dxa"/>
        </w:tblCellMar>
      </w:tblPr>
      <w:tblGrid>
        <w:gridCol w:w="60"/>
        <w:gridCol w:w="110"/>
        <w:gridCol w:w="78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8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Level 1—Observable inputs—quoted prices in active markets for identical assets and liabilities.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Level 3—Unobservable inputs—includes amounts derived from valuation models where one or more significant inputs are unobservable and require the company to develop relevant assumptions. </w:t>
            </w:r>
          </w:p>
        </w:tc>
      </w:tr>
    </w:tbl>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Off-Balance Sheet Arrangements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Since our inception, we have not engaged in any off-balance sheet arrangements, as defined in the rules and regulations of the SEC. See Note 12 to our consolidated financial statements included elsewhere in this Annual Report on Form 10-K for discussion regarding our commitments and contingent commitments.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p>
      <w:pPr>
        <w:pStyle w:val="HorizontalLine"/>
        <w:rPr/>
      </w:pPr>
      <w:r>
        <w:rPr/>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JOBS Act Accounting Election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Jumpstart Our Business Startups Act of 2012, as amended, or JOBS Act, permits emerging growth companies such as us to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Recently Adopted Accounting Pronouncements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have been no new accounting pronouncements adopted during the year ended December 31, 2020.</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Recently Issued Accounting Pronouncements </w:t>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have been no new pronouncements during the year ended December 31, 2020, which could be expected to materially impact our consolidated financial statements.</w:t>
      </w:r>
    </w:p>
    <w:p>
      <w:pPr>
        <w:pStyle w:val="TextBody"/>
        <w:spacing w:before="120" w:after="0"/>
        <w:rPr/>
      </w:pPr>
      <w:r>
        <w:rPr/>
        <w:t> </w:t>
      </w:r>
    </w:p>
    <w:p>
      <w:pPr>
        <w:pStyle w:val="TextBody"/>
        <w:spacing w:before="160" w:after="0"/>
        <w:rPr>
          <w:rFonts w:ascii="Times New Roman" w:hAnsi="Times New Roman"/>
          <w:b/>
          <w:i w:val="false"/>
          <w:caps w:val="false"/>
          <w:smallCaps w:val="false"/>
          <w:color w:val="000000"/>
          <w:sz w:val="20"/>
        </w:rPr>
      </w:pPr>
      <w:bookmarkStart w:id="113" w:name="ITEM_7A_QUANTITATIVE_QUALITATIVE_DISCLOS"/>
      <w:bookmarkEnd w:id="113"/>
      <w:r>
        <w:rPr>
          <w:rFonts w:ascii="Times New Roman" w:hAnsi="Times New Roman"/>
          <w:b/>
          <w:i w:val="false"/>
          <w:caps w:val="false"/>
          <w:smallCaps w:val="false"/>
          <w:color w:val="000000"/>
          <w:sz w:val="20"/>
        </w:rPr>
        <w:t>Item 7</w:t>
      </w:r>
      <w:bookmarkStart w:id="114" w:name="ITEM_7A_QUANTITATIVE_QUALITATIVE_DISCLOS"/>
      <w:bookmarkEnd w:id="114"/>
      <w:r>
        <w:rPr>
          <w:rFonts w:ascii="Times New Roman" w:hAnsi="Times New Roman"/>
          <w:b/>
          <w:i w:val="false"/>
          <w:caps w:val="false"/>
          <w:smallCaps w:val="false"/>
          <w:color w:val="000000"/>
          <w:sz w:val="20"/>
        </w:rPr>
        <w:t xml:space="preserve">A. Quantitative and Qualitative Disclosures About Market Risk.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market risk inherent in our financial instruments and in our financial position represents the potential loss arising from adverse changes in interest rates or exchange rates. As of December 31, 2020, we had cash and cash equivalents of $45.0 million, primarily held in interest-bearing money market accounts, which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do not believe that inflation, interest rate changes or exchange rate fluctuations had a significant impact on our results of operations for any periods presented herein.</w:t>
      </w:r>
    </w:p>
    <w:p>
      <w:pPr>
        <w:pStyle w:val="TextBody"/>
        <w:spacing w:before="360" w:after="0"/>
        <w:rPr>
          <w:rFonts w:ascii="Times New Roman" w:hAnsi="Times New Roman"/>
          <w:b/>
          <w:i w:val="false"/>
          <w:caps w:val="false"/>
          <w:smallCaps w:val="false"/>
          <w:color w:val="000000"/>
          <w:sz w:val="20"/>
        </w:rPr>
      </w:pPr>
      <w:bookmarkStart w:id="115" w:name="ITEM_8_FINANCIAL_STATEMENTS_SUPPLEMENTAR"/>
      <w:bookmarkEnd w:id="115"/>
      <w:r>
        <w:rPr>
          <w:rFonts w:ascii="Times New Roman" w:hAnsi="Times New Roman"/>
          <w:b/>
          <w:i w:val="false"/>
          <w:caps w:val="false"/>
          <w:smallCaps w:val="false"/>
          <w:color w:val="000000"/>
          <w:sz w:val="20"/>
        </w:rPr>
        <w:t>Item 8</w:t>
      </w:r>
      <w:bookmarkStart w:id="116" w:name="ITEM_8_FINANCIAL_STATEMENTS_SUPPLEMENTAR"/>
      <w:bookmarkEnd w:id="116"/>
      <w:r>
        <w:rPr>
          <w:rFonts w:ascii="Times New Roman" w:hAnsi="Times New Roman"/>
          <w:b/>
          <w:i w:val="false"/>
          <w:caps w:val="false"/>
          <w:smallCaps w:val="false"/>
          <w:color w:val="000000"/>
          <w:sz w:val="20"/>
        </w:rPr>
        <w:t xml:space="preserve">. Financial Statements and Supplementary Data.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financial statements required to be filed pursuant to this Item 8 are appended to this report. An index of those financial statements is found in Item 15 of Part IV of this Annual Report on Form 10-K.</w:t>
      </w:r>
    </w:p>
    <w:p>
      <w:pPr>
        <w:pStyle w:val="TextBody"/>
        <w:spacing w:before="360" w:after="0"/>
        <w:rPr>
          <w:rFonts w:ascii="Times New Roman" w:hAnsi="Times New Roman"/>
          <w:b/>
          <w:i w:val="false"/>
          <w:caps w:val="false"/>
          <w:smallCaps w:val="false"/>
          <w:color w:val="000000"/>
          <w:sz w:val="20"/>
        </w:rPr>
      </w:pPr>
      <w:bookmarkStart w:id="117" w:name="ITEM_9_CHANGES_IN_DISAGREEMENTS_WITH_ACC"/>
      <w:bookmarkEnd w:id="117"/>
      <w:r>
        <w:rPr>
          <w:rFonts w:ascii="Times New Roman" w:hAnsi="Times New Roman"/>
          <w:b/>
          <w:i w:val="false"/>
          <w:caps w:val="false"/>
          <w:smallCaps w:val="false"/>
          <w:color w:val="000000"/>
          <w:sz w:val="20"/>
        </w:rPr>
        <w:t>Item 9</w:t>
      </w:r>
      <w:bookmarkStart w:id="118" w:name="ITEM_9_CHANGES_IN_DISAGREEMENTS_WITH_ACC"/>
      <w:bookmarkEnd w:id="118"/>
      <w:r>
        <w:rPr>
          <w:rFonts w:ascii="Times New Roman" w:hAnsi="Times New Roman"/>
          <w:b/>
          <w:i w:val="false"/>
          <w:caps w:val="false"/>
          <w:smallCaps w:val="false"/>
          <w:color w:val="000000"/>
          <w:sz w:val="20"/>
        </w:rPr>
        <w:t>. Changes in and Disagreements With Accountants on Accounting and Financial Disclosure.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p>
      <w:pPr>
        <w:pStyle w:val="HorizontalLine"/>
        <w:rPr/>
      </w:pPr>
      <w:r>
        <w:rPr/>
      </w:r>
    </w:p>
    <w:p>
      <w:pPr>
        <w:pStyle w:val="TextBody"/>
        <w:spacing w:before="360" w:after="0"/>
        <w:rPr>
          <w:rFonts w:ascii="Times New Roman" w:hAnsi="Times New Roman"/>
          <w:b/>
          <w:i w:val="false"/>
          <w:caps w:val="false"/>
          <w:smallCaps w:val="false"/>
          <w:color w:val="000000"/>
          <w:sz w:val="20"/>
        </w:rPr>
      </w:pPr>
      <w:bookmarkStart w:id="119" w:name="ITEM_9A_CONTROLS_PROCEDURES1"/>
      <w:bookmarkEnd w:id="119"/>
      <w:r>
        <w:rPr>
          <w:rFonts w:ascii="Times New Roman" w:hAnsi="Times New Roman"/>
          <w:b/>
          <w:i w:val="false"/>
          <w:caps w:val="false"/>
          <w:smallCaps w:val="false"/>
          <w:color w:val="000000"/>
          <w:sz w:val="20"/>
        </w:rPr>
        <w:t>Item 9</w:t>
      </w:r>
      <w:bookmarkStart w:id="120" w:name="ITEM_9A_CONTROLS_PROCEDURES"/>
      <w:bookmarkEnd w:id="120"/>
      <w:r>
        <w:rPr>
          <w:rFonts w:ascii="Times New Roman" w:hAnsi="Times New Roman"/>
          <w:b/>
          <w:i w:val="false"/>
          <w:caps w:val="false"/>
          <w:smallCaps w:val="false"/>
          <w:color w:val="000000"/>
          <w:sz w:val="20"/>
        </w:rPr>
        <w:t xml:space="preserve">A. Controls and Procedures.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Evaluation of Disclosure Controls and Procedures.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2020.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Management’s Report on Internal Control over Financial Reporting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Under the supervision and with the participation of our management, including our Chief Executive Officer and Chief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2020.</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Annual Report on Form 10-K does not include an attestation report of our independent registered public accounting firm regarding internal control over financial reporting due to an exemption established by the Jumpstart Our Business Startups Act of 2012 for emerging growth companies.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Changes in Internal Control over Financial Reporting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 change in our internal control over financial reporting (as defined in Rules 13a-15(f) and 15d-15(f) under the Exchange Act) occurred during the three months ended December 31, 2020 that has materially affected, or is reasonably likely to materially affect, our internal control over financial reporting.</w:t>
      </w:r>
    </w:p>
    <w:p>
      <w:pPr>
        <w:pStyle w:val="TextBody"/>
        <w:spacing w:before="360" w:after="0"/>
        <w:rPr>
          <w:rFonts w:ascii="Times New Roman" w:hAnsi="Times New Roman"/>
          <w:b/>
          <w:i w:val="false"/>
          <w:caps w:val="false"/>
          <w:smallCaps w:val="false"/>
          <w:color w:val="000000"/>
          <w:sz w:val="20"/>
        </w:rPr>
      </w:pPr>
      <w:bookmarkStart w:id="121" w:name="ITEM_9B_OR_INFORMATION1"/>
      <w:bookmarkEnd w:id="121"/>
      <w:r>
        <w:rPr>
          <w:rFonts w:ascii="Times New Roman" w:hAnsi="Times New Roman"/>
          <w:b/>
          <w:i w:val="false"/>
          <w:caps w:val="false"/>
          <w:smallCaps w:val="false"/>
          <w:color w:val="000000"/>
          <w:sz w:val="20"/>
        </w:rPr>
        <w:t>Item 9</w:t>
      </w:r>
      <w:bookmarkStart w:id="122" w:name="ITEM_9B_OR_INFORMATION"/>
      <w:bookmarkEnd w:id="122"/>
      <w:r>
        <w:rPr>
          <w:rFonts w:ascii="Times New Roman" w:hAnsi="Times New Roman"/>
          <w:b/>
          <w:i w:val="false"/>
          <w:caps w:val="false"/>
          <w:smallCaps w:val="false"/>
          <w:color w:val="000000"/>
          <w:sz w:val="20"/>
        </w:rPr>
        <w:t xml:space="preserve">B. Other Information.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p>
    <w:p>
      <w:pPr>
        <w:pStyle w:val="TextBody"/>
        <w:spacing w:before="240" w:after="0"/>
        <w:jc w:val="center"/>
        <w:rPr>
          <w:rFonts w:ascii="Times New Roman" w:hAnsi="Times New Roman"/>
          <w:b w:val="false"/>
          <w:i w:val="false"/>
          <w:caps w:val="false"/>
          <w:smallCaps w:val="false"/>
          <w:sz w:val="20"/>
        </w:rPr>
      </w:pPr>
      <w:bookmarkStart w:id="123" w:name="_AEIOULastRenderedPageBreakAEIOU6"/>
      <w:bookmarkEnd w:id="123"/>
      <w:r>
        <w:rPr>
          <w:rFonts w:ascii="Times New Roman" w:hAnsi="Times New Roman"/>
          <w:b w:val="false"/>
          <w:i w:val="false"/>
          <w:caps w:val="false"/>
          <w:smallCaps w:val="false"/>
          <w:sz w:val="20"/>
        </w:rPr>
        <w:t>107</w:t>
      </w:r>
    </w:p>
    <w:p>
      <w:pPr>
        <w:pStyle w:val="HorizontalLine"/>
        <w:rPr/>
      </w:pPr>
      <w:r>
        <w:rPr/>
      </w:r>
    </w:p>
    <w:p>
      <w:pPr>
        <w:pStyle w:val="TextBody"/>
        <w:spacing w:before="0" w:after="0"/>
        <w:jc w:val="center"/>
        <w:rPr>
          <w:rFonts w:ascii="Times New Roman" w:hAnsi="Times New Roman"/>
          <w:b/>
          <w:i w:val="false"/>
          <w:caps w:val="false"/>
          <w:smallCaps w:val="false"/>
          <w:color w:val="000000"/>
          <w:sz w:val="20"/>
        </w:rPr>
      </w:pPr>
      <w:bookmarkStart w:id="124" w:name="PART_III"/>
      <w:bookmarkEnd w:id="124"/>
      <w:r>
        <w:rPr>
          <w:rFonts w:ascii="Times New Roman" w:hAnsi="Times New Roman"/>
          <w:b/>
          <w:i w:val="false"/>
          <w:caps w:val="false"/>
          <w:smallCaps w:val="false"/>
          <w:color w:val="000000"/>
          <w:sz w:val="20"/>
        </w:rPr>
        <w:t xml:space="preserve">PART III </w:t>
      </w:r>
    </w:p>
    <w:p>
      <w:pPr>
        <w:pStyle w:val="TextBody"/>
        <w:spacing w:before="240" w:after="0"/>
        <w:rPr>
          <w:rFonts w:ascii="Times New Roman" w:hAnsi="Times New Roman"/>
          <w:b/>
          <w:i w:val="false"/>
          <w:caps w:val="false"/>
          <w:smallCaps w:val="false"/>
          <w:color w:val="000000"/>
          <w:sz w:val="20"/>
        </w:rPr>
      </w:pPr>
      <w:bookmarkStart w:id="125" w:name="ITEM_10_DIRECTORS_EXECUTIVE_FICERS_CORPO"/>
      <w:bookmarkEnd w:id="125"/>
      <w:r>
        <w:rPr>
          <w:rFonts w:ascii="Times New Roman" w:hAnsi="Times New Roman"/>
          <w:b/>
          <w:i w:val="false"/>
          <w:caps w:val="false"/>
          <w:smallCaps w:val="false"/>
          <w:color w:val="000000"/>
          <w:sz w:val="20"/>
        </w:rPr>
        <w:t>Item 10</w:t>
      </w:r>
      <w:bookmarkStart w:id="126" w:name="ITEM_10_DIRECTORS_EXECUTIVE_FICERS_CORPO"/>
      <w:bookmarkEnd w:id="126"/>
      <w:r>
        <w:rPr>
          <w:rFonts w:ascii="Times New Roman" w:hAnsi="Times New Roman"/>
          <w:b/>
          <w:i w:val="false"/>
          <w:caps w:val="false"/>
          <w:smallCaps w:val="false"/>
          <w:color w:val="000000"/>
          <w:sz w:val="20"/>
        </w:rPr>
        <w:t xml:space="preserve">. Directors, Executive Officers and Corporate Governance.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information required by this Item 10 will be included in our Definitive Proxy Statement to be filed with the SEC with respect to our 2021 Annual Meeting of Stockholders and is incorporated herein by reference. </w:t>
      </w:r>
    </w:p>
    <w:p>
      <w:pPr>
        <w:pStyle w:val="TextBody"/>
        <w:spacing w:before="360" w:after="0"/>
        <w:rPr>
          <w:rFonts w:ascii="Times New Roman" w:hAnsi="Times New Roman"/>
          <w:b/>
          <w:i w:val="false"/>
          <w:caps w:val="false"/>
          <w:smallCaps w:val="false"/>
          <w:color w:val="000000"/>
          <w:sz w:val="20"/>
        </w:rPr>
      </w:pPr>
      <w:bookmarkStart w:id="127" w:name="ITEM_11_EXECUTIVE_COMPENSATION1"/>
      <w:bookmarkEnd w:id="127"/>
      <w:r>
        <w:rPr>
          <w:rFonts w:ascii="Times New Roman" w:hAnsi="Times New Roman"/>
          <w:b/>
          <w:i w:val="false"/>
          <w:caps w:val="false"/>
          <w:smallCaps w:val="false"/>
          <w:color w:val="000000"/>
          <w:sz w:val="20"/>
        </w:rPr>
        <w:t>Item 11</w:t>
      </w:r>
      <w:bookmarkStart w:id="128" w:name="ITEM_11_EXECUTIVE_COMPENSATION"/>
      <w:bookmarkEnd w:id="128"/>
      <w:r>
        <w:rPr>
          <w:rFonts w:ascii="Times New Roman" w:hAnsi="Times New Roman"/>
          <w:b/>
          <w:i w:val="false"/>
          <w:caps w:val="false"/>
          <w:smallCaps w:val="false"/>
          <w:color w:val="000000"/>
          <w:sz w:val="20"/>
        </w:rPr>
        <w:t xml:space="preserve">. Executive Compensation.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information required by this Item 11 will be included in our Definitive Proxy Statement to be filed with the SEC with respect to our 2021 Annual Meeting of Stockholders and is incorporated herein by reference. </w:t>
      </w:r>
    </w:p>
    <w:p>
      <w:pPr>
        <w:pStyle w:val="TextBody"/>
        <w:spacing w:before="360" w:after="0"/>
        <w:rPr>
          <w:rFonts w:ascii="Times New Roman" w:hAnsi="Times New Roman"/>
          <w:b/>
          <w:i w:val="false"/>
          <w:caps w:val="false"/>
          <w:smallCaps w:val="false"/>
          <w:color w:val="000000"/>
          <w:sz w:val="20"/>
        </w:rPr>
      </w:pPr>
      <w:bookmarkStart w:id="129" w:name="ITEM_12_SECURITY_OWNERSHIP_CERTAIN_BENEF"/>
      <w:bookmarkEnd w:id="129"/>
      <w:r>
        <w:rPr>
          <w:rFonts w:ascii="Times New Roman" w:hAnsi="Times New Roman"/>
          <w:b/>
          <w:i w:val="false"/>
          <w:caps w:val="false"/>
          <w:smallCaps w:val="false"/>
          <w:color w:val="000000"/>
          <w:sz w:val="20"/>
        </w:rPr>
        <w:t>Item 12</w:t>
      </w:r>
      <w:bookmarkStart w:id="130" w:name="ITEM_12_SECURITY_OWNERSHIP_CERTAIN_BENEF"/>
      <w:bookmarkEnd w:id="130"/>
      <w:r>
        <w:rPr>
          <w:rFonts w:ascii="Times New Roman" w:hAnsi="Times New Roman"/>
          <w:b/>
          <w:i w:val="false"/>
          <w:caps w:val="false"/>
          <w:smallCaps w:val="false"/>
          <w:color w:val="000000"/>
          <w:sz w:val="20"/>
        </w:rPr>
        <w:t xml:space="preserve">. Security Ownership of Certain Beneficial Owners and Management and Related Stockholder Matters.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information required by this Item 12 will be included in our Definitive Proxy Statement to be filed with the SEC with respect to our 2021 Annual Meeting of Stockholders and is incorporated herein by reference. </w:t>
      </w:r>
    </w:p>
    <w:p>
      <w:pPr>
        <w:pStyle w:val="TextBody"/>
        <w:spacing w:before="360" w:after="0"/>
        <w:rPr>
          <w:rFonts w:ascii="Times New Roman" w:hAnsi="Times New Roman"/>
          <w:b/>
          <w:i w:val="false"/>
          <w:caps w:val="false"/>
          <w:smallCaps w:val="false"/>
          <w:color w:val="000000"/>
          <w:sz w:val="20"/>
        </w:rPr>
      </w:pPr>
      <w:bookmarkStart w:id="131" w:name="ITEM_13_CERTAIN_RELATIONSHIPS_RELATED_TR"/>
      <w:bookmarkEnd w:id="131"/>
      <w:r>
        <w:rPr>
          <w:rFonts w:ascii="Times New Roman" w:hAnsi="Times New Roman"/>
          <w:b/>
          <w:i w:val="false"/>
          <w:caps w:val="false"/>
          <w:smallCaps w:val="false"/>
          <w:color w:val="000000"/>
          <w:sz w:val="20"/>
        </w:rPr>
        <w:t>Item 13</w:t>
      </w:r>
      <w:bookmarkStart w:id="132" w:name="ITEM_13_CERTAIN_RELATIONSHIPS_RELATED_TR"/>
      <w:bookmarkEnd w:id="132"/>
      <w:r>
        <w:rPr>
          <w:rFonts w:ascii="Times New Roman" w:hAnsi="Times New Roman"/>
          <w:b/>
          <w:i w:val="false"/>
          <w:caps w:val="false"/>
          <w:smallCaps w:val="false"/>
          <w:color w:val="000000"/>
          <w:sz w:val="20"/>
        </w:rPr>
        <w:t xml:space="preserve">. Certain Relationships and Related Transactions, and Director Independence.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information required by this Item 13 will be included in our Definitive Proxy Statement to be filed with the SEC with respect to our 2021 Annual Meeting of Stockholders and is incorporated herein by reference. </w:t>
      </w:r>
    </w:p>
    <w:p>
      <w:pPr>
        <w:pStyle w:val="TextBody"/>
        <w:spacing w:before="360" w:after="0"/>
        <w:rPr>
          <w:rFonts w:ascii="Times New Roman" w:hAnsi="Times New Roman"/>
          <w:b/>
          <w:i w:val="false"/>
          <w:caps w:val="false"/>
          <w:smallCaps w:val="false"/>
          <w:color w:val="000000"/>
          <w:sz w:val="20"/>
        </w:rPr>
      </w:pPr>
      <w:bookmarkStart w:id="133" w:name="ITEM_14_PRINCIPAL_ACCOUNTING_FEES_SERVIC"/>
      <w:bookmarkEnd w:id="133"/>
      <w:r>
        <w:rPr>
          <w:rFonts w:ascii="Times New Roman" w:hAnsi="Times New Roman"/>
          <w:b/>
          <w:i w:val="false"/>
          <w:caps w:val="false"/>
          <w:smallCaps w:val="false"/>
          <w:color w:val="000000"/>
          <w:sz w:val="20"/>
        </w:rPr>
        <w:t>Item 14</w:t>
      </w:r>
      <w:bookmarkStart w:id="134" w:name="ITEM_14_PRINCIPAL_ACCOUNTING_FEES_SERVIC"/>
      <w:bookmarkEnd w:id="134"/>
      <w:r>
        <w:rPr>
          <w:rFonts w:ascii="Times New Roman" w:hAnsi="Times New Roman"/>
          <w:b/>
          <w:i w:val="false"/>
          <w:caps w:val="false"/>
          <w:smallCaps w:val="false"/>
          <w:color w:val="000000"/>
          <w:sz w:val="20"/>
        </w:rPr>
        <w:t xml:space="preserve">. Principal Accounting Fees and Services.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information required by this Item 14 will be included in our Definitive Proxy Statement to be filed with the SEC with respect to our 2021 Annual Meeting of Stockholders and is incorporated herein by reference. </w:t>
      </w:r>
    </w:p>
    <w:p>
      <w:pPr>
        <w:pStyle w:val="TextBody"/>
        <w:spacing w:before="240" w:after="0"/>
        <w:jc w:val="center"/>
        <w:rPr>
          <w:rFonts w:ascii="Times New Roman" w:hAnsi="Times New Roman"/>
          <w:b w:val="false"/>
          <w:i w:val="false"/>
          <w:caps w:val="false"/>
          <w:smallCaps w:val="false"/>
          <w:sz w:val="20"/>
        </w:rPr>
      </w:pPr>
      <w:bookmarkStart w:id="135" w:name="_AEIOULastRenderedPageBreakAEIOU7"/>
      <w:bookmarkEnd w:id="135"/>
      <w:r>
        <w:rPr>
          <w:rFonts w:ascii="Times New Roman" w:hAnsi="Times New Roman"/>
          <w:b w:val="false"/>
          <w:i w:val="false"/>
          <w:caps w:val="false"/>
          <w:smallCaps w:val="false"/>
          <w:sz w:val="20"/>
        </w:rPr>
        <w:t>108</w:t>
      </w:r>
    </w:p>
    <w:p>
      <w:pPr>
        <w:pStyle w:val="HorizontalLine"/>
        <w:rPr/>
      </w:pPr>
      <w:r>
        <w:rPr/>
      </w:r>
    </w:p>
    <w:p>
      <w:pPr>
        <w:pStyle w:val="TextBody"/>
        <w:spacing w:before="0" w:after="0"/>
        <w:jc w:val="center"/>
        <w:rPr>
          <w:rFonts w:ascii="Times New Roman" w:hAnsi="Times New Roman"/>
          <w:b/>
          <w:i w:val="false"/>
          <w:caps w:val="false"/>
          <w:smallCaps w:val="false"/>
          <w:color w:val="000000"/>
          <w:sz w:val="20"/>
        </w:rPr>
      </w:pPr>
      <w:bookmarkStart w:id="136" w:name="PART_IV"/>
      <w:bookmarkEnd w:id="136"/>
      <w:r>
        <w:rPr>
          <w:rFonts w:ascii="Times New Roman" w:hAnsi="Times New Roman"/>
          <w:b/>
          <w:i w:val="false"/>
          <w:caps w:val="false"/>
          <w:smallCaps w:val="false"/>
          <w:color w:val="000000"/>
          <w:sz w:val="20"/>
        </w:rPr>
        <w:t xml:space="preserve">PART IV </w:t>
      </w:r>
    </w:p>
    <w:p>
      <w:pPr>
        <w:pStyle w:val="TextBody"/>
        <w:spacing w:before="240" w:after="0"/>
        <w:rPr>
          <w:rFonts w:ascii="Times New Roman" w:hAnsi="Times New Roman"/>
          <w:b/>
          <w:i w:val="false"/>
          <w:caps w:val="false"/>
          <w:smallCaps w:val="false"/>
          <w:color w:val="000000"/>
          <w:sz w:val="20"/>
        </w:rPr>
      </w:pPr>
      <w:bookmarkStart w:id="137" w:name="ITEM_15_EXHIBITS_FINANCIAL_STATEMENT_SCH"/>
      <w:bookmarkEnd w:id="137"/>
      <w:r>
        <w:rPr>
          <w:rFonts w:ascii="Times New Roman" w:hAnsi="Times New Roman"/>
          <w:b/>
          <w:i w:val="false"/>
          <w:caps w:val="false"/>
          <w:smallCaps w:val="false"/>
          <w:color w:val="000000"/>
          <w:sz w:val="20"/>
        </w:rPr>
        <w:t>Item 15</w:t>
      </w:r>
      <w:bookmarkStart w:id="138" w:name="ITEM_15_EXHIBITS_FINANCIAL_STATEMENT_SCH"/>
      <w:bookmarkEnd w:id="138"/>
      <w:r>
        <w:rPr>
          <w:rFonts w:ascii="Times New Roman" w:hAnsi="Times New Roman"/>
          <w:b/>
          <w:i w:val="false"/>
          <w:caps w:val="false"/>
          <w:smallCaps w:val="false"/>
          <w:color w:val="000000"/>
          <w:sz w:val="20"/>
        </w:rPr>
        <w:t xml:space="preserve">. Exhibits, Financial Statement Schedules. </w:t>
      </w:r>
    </w:p>
    <w:p>
      <w:pPr>
        <w:pStyle w:val="TextBody"/>
        <w:shd w:fill="FFFFFF" w:val="clear"/>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 Financial Statements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documents are included on pages F-1 through F-32 attached hereto and are filed as part of this Annual Report on Form 10-K.</w:t>
      </w:r>
    </w:p>
    <w:p>
      <w:pPr>
        <w:pStyle w:val="TextBody"/>
        <w:shd w:fill="FFFFFF" w:val="clear"/>
        <w:spacing w:before="0" w:after="0"/>
        <w:rPr/>
      </w:pPr>
      <w:r>
        <w:rPr/>
        <w:t> </w:t>
      </w:r>
    </w:p>
    <w:tbl>
      <w:tblPr>
        <w:tblW w:w="8725" w:type="dxa"/>
        <w:jc w:val="center"/>
        <w:tblInd w:w="0" w:type="dxa"/>
        <w:tblCellMar>
          <w:top w:w="0" w:type="dxa"/>
          <w:left w:w="0" w:type="dxa"/>
          <w:bottom w:w="0" w:type="dxa"/>
          <w:right w:w="0" w:type="dxa"/>
        </w:tblCellMar>
      </w:tblPr>
      <w:tblGrid>
        <w:gridCol w:w="8435"/>
        <w:gridCol w:w="290"/>
      </w:tblGrid>
      <w:tr>
        <w:trPr/>
        <w:tc>
          <w:tcPr>
            <w:tcW w:w="843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8435" w:type="dxa"/>
            <w:tcBorders/>
            <w:shd w:fill="auto" w:val="clear"/>
          </w:tcPr>
          <w:p>
            <w:pPr>
              <w:pStyle w:val="TableContents"/>
              <w:spacing w:before="0" w:after="0"/>
              <w:ind w:left="240" w:right="0" w:hanging="240"/>
              <w:rPr/>
            </w:pPr>
            <w:hyperlink w:anchor="REPORT_INDEPENDENT_REGISTERED_PUBLIC_ACC">
              <w:r>
                <w:rPr>
                  <w:rStyle w:val="InternetLink"/>
                  <w:rFonts w:ascii="Times New Roman" w:hAnsi="Times New Roman"/>
                  <w:b w:val="false"/>
                  <w:i w:val="false"/>
                  <w:caps w:val="false"/>
                  <w:smallCaps w:val="false"/>
                  <w:color w:val="000000"/>
                  <w:sz w:val="20"/>
                  <w:u w:val="single"/>
                </w:rPr>
                <w:t>Report of Independent Registered Public Accounting Firm</w:t>
              </w:r>
            </w:hyperlink>
            <w:r>
              <w:rPr>
                <w:rFonts w:ascii="Times New Roman" w:hAnsi="Times New Roman"/>
                <w:b w:val="false"/>
                <w:i w:val="false"/>
                <w:caps w:val="false"/>
                <w:smallCaps w:val="false"/>
                <w:color w:val="000000"/>
                <w:sz w:val="20"/>
              </w:rPr>
              <w:t xml:space="preserve"> </w:t>
            </w:r>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F-2</w:t>
            </w:r>
          </w:p>
        </w:tc>
      </w:tr>
      <w:tr>
        <w:trPr/>
        <w:tc>
          <w:tcPr>
            <w:tcW w:w="8435" w:type="dxa"/>
            <w:tcBorders/>
            <w:shd w:fill="auto" w:val="clear"/>
            <w:vAlign w:val="center"/>
          </w:tcPr>
          <w:p>
            <w:pPr>
              <w:pStyle w:val="TableContents"/>
              <w:spacing w:before="0" w:after="0"/>
              <w:ind w:left="0" w:right="0" w:hanging="0"/>
              <w:rPr/>
            </w:pPr>
            <w:r>
              <w:rPr/>
              <w:t> </w:t>
            </w:r>
          </w:p>
        </w:tc>
        <w:tc>
          <w:tcPr>
            <w:tcW w:w="290" w:type="dxa"/>
            <w:tcBorders/>
            <w:shd w:fill="auto" w:val="clear"/>
            <w:vAlign w:val="bottom"/>
          </w:tcPr>
          <w:p>
            <w:pPr>
              <w:pStyle w:val="TableContents"/>
              <w:spacing w:before="0" w:after="0"/>
              <w:ind w:left="0" w:right="0" w:hanging="0"/>
              <w:jc w:val="right"/>
              <w:rPr/>
            </w:pPr>
            <w:r>
              <w:rPr/>
              <w:t> </w:t>
            </w:r>
          </w:p>
        </w:tc>
      </w:tr>
      <w:tr>
        <w:trPr/>
        <w:tc>
          <w:tcPr>
            <w:tcW w:w="8435" w:type="dxa"/>
            <w:tcBorders/>
            <w:shd w:fill="auto" w:val="clear"/>
          </w:tcPr>
          <w:p>
            <w:pPr>
              <w:pStyle w:val="TableContents"/>
              <w:spacing w:before="0" w:after="0"/>
              <w:ind w:left="240" w:right="0" w:hanging="24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Consolidated Financial Statements</w:t>
            </w:r>
          </w:p>
        </w:tc>
        <w:tc>
          <w:tcPr>
            <w:tcW w:w="290" w:type="dxa"/>
            <w:tcBorders/>
            <w:shd w:fill="auto" w:val="clear"/>
            <w:vAlign w:val="bottom"/>
          </w:tcPr>
          <w:p>
            <w:pPr>
              <w:pStyle w:val="TableContents"/>
              <w:spacing w:before="0" w:after="0"/>
              <w:ind w:left="0" w:right="0" w:hanging="0"/>
              <w:jc w:val="right"/>
              <w:rPr/>
            </w:pPr>
            <w:r>
              <w:rPr/>
              <w:t> </w:t>
            </w:r>
          </w:p>
        </w:tc>
      </w:tr>
      <w:tr>
        <w:trPr/>
        <w:tc>
          <w:tcPr>
            <w:tcW w:w="8435" w:type="dxa"/>
            <w:tcBorders/>
            <w:shd w:fill="auto" w:val="clear"/>
          </w:tcPr>
          <w:p>
            <w:pPr>
              <w:pStyle w:val="TableContents"/>
              <w:spacing w:before="0" w:after="0"/>
              <w:ind w:left="240" w:right="0" w:hanging="240"/>
              <w:rPr/>
            </w:pPr>
            <w:hyperlink w:anchor="CONSOLIDATED_BALANCE_SHEETS">
              <w:r>
                <w:rPr>
                  <w:rStyle w:val="InternetLink"/>
                  <w:rFonts w:ascii="Times New Roman" w:hAnsi="Times New Roman"/>
                  <w:b w:val="false"/>
                  <w:i w:val="false"/>
                  <w:caps w:val="false"/>
                  <w:smallCaps w:val="false"/>
                  <w:color w:val="000000"/>
                  <w:sz w:val="20"/>
                  <w:u w:val="single"/>
                </w:rPr>
                <w:t>Consolidated Balance Sheets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F-3</w:t>
            </w:r>
          </w:p>
        </w:tc>
      </w:tr>
      <w:tr>
        <w:trPr/>
        <w:tc>
          <w:tcPr>
            <w:tcW w:w="8435" w:type="dxa"/>
            <w:tcBorders/>
            <w:shd w:fill="auto" w:val="clear"/>
          </w:tcPr>
          <w:p>
            <w:pPr>
              <w:pStyle w:val="TableContents"/>
              <w:spacing w:before="0" w:after="0"/>
              <w:ind w:left="240" w:right="0" w:hanging="240"/>
              <w:rPr/>
            </w:pPr>
            <w:hyperlink w:anchor="CONSOLIDATED_STATEMENTS_OPERATIONS">
              <w:r>
                <w:rPr>
                  <w:rStyle w:val="InternetLink"/>
                  <w:rFonts w:ascii="Times New Roman" w:hAnsi="Times New Roman"/>
                  <w:b w:val="false"/>
                  <w:i w:val="false"/>
                  <w:caps w:val="false"/>
                  <w:smallCaps w:val="false"/>
                  <w:color w:val="000000"/>
                  <w:sz w:val="20"/>
                  <w:u w:val="single"/>
                </w:rPr>
                <w:t>Consolidated Statements of Operations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F-4</w:t>
            </w:r>
          </w:p>
        </w:tc>
      </w:tr>
      <w:tr>
        <w:trPr/>
        <w:tc>
          <w:tcPr>
            <w:tcW w:w="8435" w:type="dxa"/>
            <w:tcBorders/>
            <w:shd w:fill="auto" w:val="clear"/>
          </w:tcPr>
          <w:p>
            <w:pPr>
              <w:pStyle w:val="TableContents"/>
              <w:spacing w:before="0" w:after="0"/>
              <w:ind w:left="240" w:right="0" w:hanging="240"/>
              <w:rPr/>
            </w:pPr>
            <w:hyperlink w:anchor="CONSOLIDATED_STATEMENTS_REDEEMABLE_CONVE">
              <w:r>
                <w:rPr>
                  <w:rStyle w:val="InternetLink"/>
                  <w:rFonts w:ascii="Times New Roman" w:hAnsi="Times New Roman"/>
                  <w:b w:val="false"/>
                  <w:i w:val="false"/>
                  <w:caps w:val="false"/>
                  <w:smallCaps w:val="false"/>
                  <w:color w:val="000000"/>
                  <w:sz w:val="20"/>
                  <w:u w:val="single"/>
                </w:rPr>
                <w:t>Consolidated Statements of Redeemable Convertible Preferred Stock and Stockholders’ Equity (Deficit)</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F-5</w:t>
            </w:r>
          </w:p>
        </w:tc>
      </w:tr>
      <w:tr>
        <w:trPr/>
        <w:tc>
          <w:tcPr>
            <w:tcW w:w="8435" w:type="dxa"/>
            <w:tcBorders/>
            <w:shd w:fill="auto" w:val="clear"/>
          </w:tcPr>
          <w:p>
            <w:pPr>
              <w:pStyle w:val="TableContents"/>
              <w:spacing w:before="0" w:after="0"/>
              <w:ind w:left="240" w:right="0" w:hanging="240"/>
              <w:rPr/>
            </w:pPr>
            <w:hyperlink w:anchor="CONSOLIDATED_STATEMENTS_CASH_FLOWS">
              <w:r>
                <w:rPr>
                  <w:rStyle w:val="InternetLink"/>
                  <w:rFonts w:ascii="Times New Roman" w:hAnsi="Times New Roman"/>
                  <w:b w:val="false"/>
                  <w:i w:val="false"/>
                  <w:caps w:val="false"/>
                  <w:smallCaps w:val="false"/>
                  <w:color w:val="000000"/>
                  <w:sz w:val="20"/>
                  <w:u w:val="single"/>
                </w:rPr>
                <w:t>Consolidated Statements of Cash Flows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F-6</w:t>
            </w:r>
          </w:p>
        </w:tc>
      </w:tr>
      <w:tr>
        <w:trPr/>
        <w:tc>
          <w:tcPr>
            <w:tcW w:w="8435" w:type="dxa"/>
            <w:tcBorders/>
            <w:shd w:fill="auto" w:val="clear"/>
          </w:tcPr>
          <w:p>
            <w:pPr>
              <w:pStyle w:val="TableContents"/>
              <w:spacing w:before="0" w:after="0"/>
              <w:ind w:left="240" w:right="0" w:hanging="240"/>
              <w:rPr/>
            </w:pPr>
            <w:hyperlink w:anchor="NOTES_TO_CONSOLIDATED_FINANCIAL_STATEMEN">
              <w:r>
                <w:rPr>
                  <w:rStyle w:val="InternetLink"/>
                  <w:rFonts w:ascii="Times New Roman" w:hAnsi="Times New Roman"/>
                  <w:b w:val="false"/>
                  <w:i w:val="false"/>
                  <w:caps w:val="false"/>
                  <w:smallCaps w:val="false"/>
                  <w:color w:val="000000"/>
                  <w:sz w:val="20"/>
                  <w:u w:val="single"/>
                </w:rPr>
                <w:t>Notes to Consolidated Financial Statements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F-7</w:t>
            </w:r>
          </w:p>
        </w:tc>
      </w:tr>
    </w:tbl>
    <w:p>
      <w:pPr>
        <w:pStyle w:val="TextBody"/>
        <w:shd w:fill="FFFFFF" w:val="clear"/>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 Financial Statement Schedules: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financial statement schedules have been omitted because they are not applicable, not required or the information required is shown in the financial statements or the notes thereto.</w:t>
      </w:r>
    </w:p>
    <w:p>
      <w:pPr>
        <w:pStyle w:val="TextBody"/>
        <w:spacing w:before="24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 Exhibits.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is a list of exhibits filed as part of this Annual Report on Form 10-K.</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605"/>
        <w:gridCol w:w="60"/>
        <w:gridCol w:w="9540"/>
      </w:tblGrid>
      <w:tr>
        <w:trPr/>
        <w:tc>
          <w:tcPr>
            <w:tcW w:w="60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954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w:t>
            </w:r>
          </w:p>
        </w:tc>
      </w:tr>
      <w:tr>
        <w:trPr/>
        <w:tc>
          <w:tcPr>
            <w:tcW w:w="60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r>
              <w:rPr/>
              <w:t> </w:t>
            </w:r>
          </w:p>
        </w:tc>
      </w:tr>
      <w:tr>
        <w:trPr/>
        <w:tc>
          <w:tcPr>
            <w:tcW w:w="605" w:type="dxa"/>
            <w:tcBorders/>
            <w:shd w:fill="FFFFFF" w:val="clear"/>
            <w:tcMar>
              <w:bottom w:w="0" w:type="dxa"/>
            </w:tcMar>
          </w:tcPr>
          <w:p>
            <w:pPr>
              <w:pStyle w:val="TableContents"/>
              <w:spacing w:before="0" w:after="0"/>
              <w:ind w:left="0" w:right="0" w:hanging="0"/>
              <w:rPr>
                <w:caps w:val="false"/>
                <w:smallCaps w:val="false"/>
                <w:highlight w:val="white"/>
              </w:rPr>
            </w:pPr>
            <w:r>
              <w:rPr>
                <w:caps w:val="false"/>
                <w:smallCaps w:val="false"/>
                <w:highlight w:val="white"/>
              </w:rPr>
              <w:t>  </w:t>
            </w:r>
            <w:r>
              <w:rPr>
                <w:rFonts w:ascii="Times New Roman" w:hAnsi="Times New Roman"/>
                <w:b w:val="false"/>
                <w:i w:val="false"/>
                <w:caps w:val="false"/>
                <w:smallCaps w:val="false"/>
                <w:sz w:val="20"/>
                <w:highlight w:val="white"/>
              </w:rPr>
              <w:t>3.1</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5">
              <w:r>
                <w:rPr>
                  <w:rStyle w:val="InternetLink"/>
                  <w:u w:val="single"/>
                </w:rPr>
                <w:t>Restated Certificate of Incorporation of Trevi Therapeutics, Inc. (incorporated by reference to Exhibit 3.1 to the Registrant’s Current Report on Form 8-K (File No. 001-38886) filed with the SEC on May 9, 2019)</w:t>
              </w:r>
            </w:hyperlink>
          </w:p>
        </w:tc>
      </w:tr>
      <w:tr>
        <w:trPr/>
        <w:tc>
          <w:tcPr>
            <w:tcW w:w="605" w:type="dxa"/>
            <w:tcBorders/>
            <w:shd w:fill="FFFFFF" w:val="clear"/>
            <w:tcMar>
              <w:bottom w:w="0" w:type="dxa"/>
            </w:tcMar>
          </w:tcPr>
          <w:p>
            <w:pPr>
              <w:pStyle w:val="TableContents"/>
              <w:spacing w:before="0" w:after="0"/>
              <w:ind w:left="0" w:right="0" w:hanging="0"/>
              <w:rPr>
                <w:caps w:val="false"/>
                <w:smallCaps w:val="false"/>
                <w:highlight w:val="white"/>
              </w:rPr>
            </w:pPr>
            <w:r>
              <w:rPr>
                <w:caps w:val="false"/>
                <w:smallCaps w:val="false"/>
                <w:highlight w:val="white"/>
              </w:rPr>
              <w:t>  </w:t>
            </w:r>
            <w:r>
              <w:rPr>
                <w:rFonts w:ascii="Times New Roman" w:hAnsi="Times New Roman"/>
                <w:b w:val="false"/>
                <w:i w:val="false"/>
                <w:caps w:val="false"/>
                <w:smallCaps w:val="false"/>
                <w:sz w:val="20"/>
                <w:highlight w:val="white"/>
              </w:rPr>
              <w:t>3.2</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6">
              <w:r>
                <w:rPr>
                  <w:rStyle w:val="InternetLink"/>
                  <w:u w:val="single"/>
                </w:rPr>
                <w:t>Amended and Restated Bylaws of Trevi Therapeutics, Inc. (incorporated by reference to Exhibit 3.2 to the Registrant’s Current Report on Form 8-K (File No. 001-38886) filed with the SEC on May 9, 2019)</w:t>
              </w:r>
            </w:hyperlink>
          </w:p>
        </w:tc>
      </w:tr>
      <w:tr>
        <w:trPr/>
        <w:tc>
          <w:tcPr>
            <w:tcW w:w="605" w:type="dxa"/>
            <w:tcBorders/>
            <w:shd w:fill="FFFFFF" w:val="clear"/>
            <w:tcMar>
              <w:bottom w:w="0" w:type="dxa"/>
            </w:tcMar>
          </w:tcPr>
          <w:p>
            <w:pPr>
              <w:pStyle w:val="TableContents"/>
              <w:spacing w:before="0" w:after="0"/>
              <w:ind w:left="0" w:right="0" w:hanging="0"/>
              <w:rPr>
                <w:caps w:val="false"/>
                <w:smallCaps w:val="false"/>
                <w:highlight w:val="white"/>
              </w:rPr>
            </w:pPr>
            <w:r>
              <w:rPr>
                <w:caps w:val="false"/>
                <w:smallCaps w:val="false"/>
                <w:highlight w:val="white"/>
              </w:rPr>
              <w:t>  </w:t>
            </w:r>
            <w:r>
              <w:rPr>
                <w:rFonts w:ascii="Times New Roman" w:hAnsi="Times New Roman"/>
                <w:b w:val="false"/>
                <w:i w:val="false"/>
                <w:caps w:val="false"/>
                <w:smallCaps w:val="false"/>
                <w:sz w:val="20"/>
                <w:highlight w:val="white"/>
              </w:rPr>
              <w:t>4.1</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7">
              <w:r>
                <w:rPr>
                  <w:rStyle w:val="InternetLink"/>
                  <w:u w:val="single"/>
                </w:rPr>
                <w:t>Specimen Stock Certificate evidencing the shares of common stock (incorporated by reference to Exhibit 4.1 to the Registrant’s Registration Statement on Form S-1 (File No. 333-230745) filed with the SEC on April 5, 2019)</w:t>
              </w:r>
            </w:hyperlink>
          </w:p>
        </w:tc>
      </w:tr>
      <w:tr>
        <w:trPr/>
        <w:tc>
          <w:tcPr>
            <w:tcW w:w="605" w:type="dxa"/>
            <w:tcBorders/>
            <w:shd w:fill="FFFFFF" w:val="clear"/>
            <w:tcMar>
              <w:bottom w:w="0" w:type="dxa"/>
            </w:tcMar>
          </w:tcPr>
          <w:p>
            <w:pPr>
              <w:pStyle w:val="TableContents"/>
              <w:spacing w:before="0" w:after="0"/>
              <w:ind w:left="0" w:right="0" w:hanging="0"/>
              <w:rPr>
                <w:caps w:val="false"/>
                <w:smallCaps w:val="false"/>
                <w:highlight w:val="white"/>
              </w:rPr>
            </w:pPr>
            <w:r>
              <w:rPr>
                <w:caps w:val="false"/>
                <w:smallCaps w:val="false"/>
                <w:highlight w:val="white"/>
              </w:rPr>
              <w:t>  </w:t>
            </w:r>
            <w:r>
              <w:rPr>
                <w:rFonts w:ascii="Times New Roman" w:hAnsi="Times New Roman"/>
                <w:b w:val="false"/>
                <w:i w:val="false"/>
                <w:caps w:val="false"/>
                <w:smallCaps w:val="false"/>
                <w:sz w:val="20"/>
                <w:highlight w:val="white"/>
              </w:rPr>
              <w:t>4.2</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8">
              <w:r>
                <w:rPr>
                  <w:rStyle w:val="InternetLink"/>
                  <w:u w:val="single"/>
                </w:rPr>
                <w:t>Description of Registrant’s Securities (incorporated by referred to Exhibit 4.2 to the Registrant’s Annual Report on Form 10-K (File No. 001-38886) filed with the SEC on March 16, 2020)</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9">
              <w:r>
                <w:rPr>
                  <w:rStyle w:val="InternetLink"/>
                  <w:u w:val="single"/>
                </w:rPr>
                <w:t>Second Amended and Restated Investors’ Rights Agreement dated as of July 14, 2017 (incorporated by reference to Exhibit 10.1 to the Registrant’s Registration Statement on Form S-1 (File No. 333-230745) filed with the SEC on April 5, 2019)</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10.2+</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10">
              <w:r>
                <w:rPr>
                  <w:rStyle w:val="InternetLink"/>
                  <w:u w:val="single"/>
                </w:rPr>
                <w:t>2012 Stock Incentive Plan, as amended (incorporated by reference to Exhibit 10.2 to the Registrant’s Registration Statement on Form S-1 (File No. 333-230745) filed with the SEC on April 5, 2019)</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10.3+</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11">
              <w:r>
                <w:rPr>
                  <w:rStyle w:val="InternetLink"/>
                  <w:u w:val="single"/>
                </w:rPr>
                <w:t>Form of Nonstatutory Stock Option Agreement under the 2012 Stock Incentive Plan (incorporated by reference to Exhibit 10.3 to the Registrant’s Registration Statement on Form S-1 (File No. 333-230745) filed with the SEC on April 5, 2019)</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10.4+</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12">
              <w:r>
                <w:rPr>
                  <w:rStyle w:val="InternetLink"/>
                  <w:u w:val="single"/>
                </w:rPr>
                <w:t>2019 Stock Incentive Plan (incorporated by reference to Exhibit 10.4 to the Registrant’s Registration Statement on Form S-1 (File No. 333-230745) filed with the SEC on April 5, 2019)</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10.5+</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13">
              <w:r>
                <w:rPr>
                  <w:rStyle w:val="InternetLink"/>
                  <w:u w:val="single"/>
                </w:rPr>
                <w:t>Form of Stock Option Agreement under the 2019 Stock Incentive Plan (incorporated by reference to Exhibit 10.5 to the Registrant’s Registration Statement on Form S-1 (File No. 333-230745) filed with the SEC on April 5, 2019)</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10.6+</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14">
              <w:r>
                <w:rPr>
                  <w:rStyle w:val="InternetLink"/>
                  <w:u w:val="single"/>
                </w:rPr>
                <w:t>2019 Employee Stock Purchase Plan (incorporated by reference to Exhibit 10.6 to the Registrant’s Registration Statement on Form S-1 (File No. 333-230745) filed with the SEC on April 5, 2019)</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10.7*</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w:anchor="trvi-ex107_330.htm">
              <w:r>
                <w:rPr>
                  <w:rStyle w:val="InternetLink"/>
                  <w:u w:val="single"/>
                </w:rPr>
                <w:t>Non-Employee Director Compensation Policy</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10.8+</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15">
              <w:r>
                <w:rPr>
                  <w:rStyle w:val="InternetLink"/>
                  <w:u w:val="single"/>
                </w:rPr>
                <w:t>Trevi Therapeutics, Inc. Executive Separation Benefits and Retention Plan (incorporated by reference to Exhibit 10.1 to the Registrant’s Current Report on Form 8-K (File No. 001-38886) filed with the SEC on September 24, 2019)</w:t>
              </w:r>
            </w:hyperlink>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10.9+</w:t>
            </w:r>
          </w:p>
        </w:tc>
        <w:tc>
          <w:tcPr>
            <w:tcW w:w="60" w:type="dxa"/>
            <w:tcBorders/>
            <w:shd w:fill="FFFFFF" w:val="clear"/>
            <w:tcMar>
              <w:bottom w:w="0" w:type="dxa"/>
            </w:tcMar>
          </w:tcPr>
          <w:p>
            <w:pPr>
              <w:pStyle w:val="TableContents"/>
              <w:spacing w:before="0" w:after="0"/>
              <w:ind w:left="0" w:right="0" w:hanging="0"/>
              <w:rPr/>
            </w:pPr>
            <w:r>
              <w:rPr/>
              <w:t> </w:t>
            </w:r>
          </w:p>
        </w:tc>
        <w:tc>
          <w:tcPr>
            <w:tcW w:w="9540" w:type="dxa"/>
            <w:tcBorders/>
            <w:shd w:fill="FFFFFF" w:val="clear"/>
            <w:tcMar>
              <w:bottom w:w="0" w:type="dxa"/>
            </w:tcMar>
          </w:tcPr>
          <w:p>
            <w:pPr>
              <w:pStyle w:val="TableContents"/>
              <w:spacing w:before="0" w:after="0"/>
              <w:ind w:left="0" w:right="0" w:hanging="0"/>
              <w:rPr/>
            </w:pPr>
            <w:hyperlink r:id="rId16">
              <w:r>
                <w:rPr>
                  <w:rStyle w:val="InternetLink"/>
                  <w:u w:val="single"/>
                </w:rPr>
                <w:t>Employment Agreement, dated December 4, 2012, by and between the Registrant and Jennifer L. Good (incorporated by reference to Exhibit 10.8 to the Registrant’s Registration Statement on Form S-1 (File No. 333-230745) filed with the SEC on April 5, 2019)</w:t>
              </w:r>
            </w:hyperlink>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w:t>
      </w:r>
    </w:p>
    <w:p>
      <w:pPr>
        <w:pStyle w:val="HorizontalLine"/>
        <w:rPr/>
      </w:pPr>
      <w:r>
        <w:rPr/>
      </w:r>
    </w:p>
    <w:tbl>
      <w:tblPr>
        <w:tblW w:w="10205" w:type="dxa"/>
        <w:jc w:val="center"/>
        <w:tblInd w:w="0" w:type="dxa"/>
        <w:tblCellMar>
          <w:top w:w="0" w:type="dxa"/>
          <w:left w:w="0" w:type="dxa"/>
          <w:bottom w:w="0" w:type="dxa"/>
          <w:right w:w="0" w:type="dxa"/>
        </w:tblCellMar>
      </w:tblPr>
      <w:tblGrid>
        <w:gridCol w:w="569"/>
        <w:gridCol w:w="60"/>
        <w:gridCol w:w="9576"/>
      </w:tblGrid>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10.10+</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17">
              <w:r>
                <w:rPr>
                  <w:rStyle w:val="InternetLink"/>
                  <w:u w:val="single"/>
                </w:rPr>
                <w:t>Offer Letter, dated December 4, 2012, by and between the Registrant and Thomas R. Sciascia (incorporated by referred to Exhibit 10.10 to the Registrant’s Annual Report on Form 10-K (File No. 001-38886) filed with the SEC on March 16, 2020)</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10.11+</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18">
              <w:r>
                <w:rPr>
                  <w:rStyle w:val="InternetLink"/>
                  <w:u w:val="single"/>
                </w:rPr>
                <w:t>Indefinite Term Employment Contract, dated August 29, 2018, by and between the Registrant and Yann Mazabraud (incorporated by reference to Exhibit 10.11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10.12+</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19">
              <w:r>
                <w:rPr>
                  <w:rStyle w:val="InternetLink"/>
                  <w:u w:val="single"/>
                </w:rPr>
                <w:t>Offer Letter, dated August 29, 2018, by and between the Registrant and Yann Mazabraud (incorporated by reference to Exhibit 10.10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10.13+</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0">
              <w:r>
                <w:rPr>
                  <w:rStyle w:val="InternetLink"/>
                  <w:u w:val="single"/>
                </w:rPr>
                <w:t>Offer Letter, dated April 23, 2018, by and between the Registrant and Christopher J. Seiter (incorporated by reference to Exhibit 10.9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10.14+</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1">
              <w:r>
                <w:rPr>
                  <w:rStyle w:val="InternetLink"/>
                  <w:u w:val="single"/>
                </w:rPr>
                <w:t>Form of Indemnification Agreement between the Registrant and each of its directors and executive officers (incorporated by reference to Exhibit 10.12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10.15</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2">
              <w:r>
                <w:rPr>
                  <w:rStyle w:val="InternetLink"/>
                  <w:u w:val="single"/>
                </w:rPr>
                <w:t>Indenture of Lease, dated February 6, 2013, by and between First Niagara Bank, N.A. and the Registrant (incorporated by reference to Exhibit 10.13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10.16</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3">
              <w:r>
                <w:rPr>
                  <w:rStyle w:val="InternetLink"/>
                  <w:u w:val="single"/>
                </w:rPr>
                <w:t>First Amendment to Lease, dated December 5, 2017, by and between the Registrant and 195 Church Street Associates, LLC (incorporated by reference to Exhibit 10.14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10.17†</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4">
              <w:r>
                <w:rPr>
                  <w:rStyle w:val="InternetLink"/>
                  <w:u w:val="single"/>
                </w:rPr>
                <w:t>Exclusive License Agreement, dated as of May 13, 2011, by and between the Registrant and Penwest Pharmaceuticals Co. (incorporated by reference to Exhibit 10.15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10.18†</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5">
              <w:r>
                <w:rPr>
                  <w:rStyle w:val="InternetLink"/>
                  <w:u w:val="single"/>
                </w:rPr>
                <w:t>Exclusive License Agreement between the Registrant and Rutgers, the State University of New Jersey, effective November 6, 2018 (incorporated by reference to Exhibit 10.16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10.19</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6">
              <w:r>
                <w:rPr>
                  <w:rStyle w:val="InternetLink"/>
                  <w:u w:val="single"/>
                </w:rPr>
                <w:t>Share Purchase Agreement, dated as of May 6, 2019, by and between the Registrant and New Enterprise Associates 16, L.P. (incorporated by reference to Exhibit 10.17 to Amendment No. 3 to Registrant’s Registration Statement on Form S-1 (File No. 333-230745) filed with the SEC on May 7,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10.20</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7">
              <w:r>
                <w:rPr>
                  <w:rStyle w:val="InternetLink"/>
                  <w:u w:val="single"/>
                </w:rPr>
                <w:t>Loan and Security Agreement, dated as of August 13, 2020, between Silicon Valley Bank and Trevi Therapeutics, Inc. (incorporated by referred to Exhibit 10.1 to the Registrant’s Quarterly Report on Form 10-Q (File No. 001-38886) filed with the SEC on November 12, 2020)</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21.1</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r:id="rId28">
              <w:r>
                <w:rPr>
                  <w:rStyle w:val="InternetLink"/>
                  <w:u w:val="single"/>
                </w:rPr>
                <w:t>List of Subsidiaries (incorporated by reference to Exhibit 21.1 to the Registrant’s Registration Statement on Form S-1 (File No. 333-230745) filed with the SEC on April 5, 2019)</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23.1*</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pPr>
            <w:hyperlink w:anchor="trvi-ex231_11.htm">
              <w:r>
                <w:rPr>
                  <w:rStyle w:val="InternetLink"/>
                  <w:u w:val="single"/>
                </w:rPr>
                <w:t>Consent of Ernst &amp; Young LLP, independent registered public accounting firm</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31.1*</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576" w:type="dxa"/>
            <w:tcBorders/>
            <w:shd w:fill="FFFFFF" w:val="clear"/>
          </w:tcPr>
          <w:p>
            <w:pPr>
              <w:pStyle w:val="TableContents"/>
              <w:spacing w:before="0" w:after="0"/>
              <w:ind w:left="0" w:right="0" w:hanging="0"/>
              <w:rPr/>
            </w:pPr>
            <w:hyperlink w:anchor="trvi-ex311_9.htm">
              <w:r>
                <w:rPr>
                  <w:rStyle w:val="InternetLink"/>
                  <w:u w:val="single"/>
                </w:rPr>
                <w:t>Certification of Principal Executive Officer Pursuant to Rules 13a-14(a) and 15d-14(a) under the Securities Exchange Act of 1934, as Adopted Pursuant to Section 302 of the Sarbanes-Oxley Act of 2002.</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31.2*</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576" w:type="dxa"/>
            <w:tcBorders/>
            <w:shd w:fill="FFFFFF" w:val="clear"/>
          </w:tcPr>
          <w:p>
            <w:pPr>
              <w:pStyle w:val="TableContents"/>
              <w:spacing w:before="0" w:after="0"/>
              <w:ind w:left="0" w:right="0" w:hanging="0"/>
              <w:rPr/>
            </w:pPr>
            <w:hyperlink w:anchor="trvi-ex312_7.htm">
              <w:r>
                <w:rPr>
                  <w:rStyle w:val="InternetLink"/>
                  <w:u w:val="single"/>
                </w:rPr>
                <w:t>Certification of Principal Financial Officer Pursuant to Rules 13a-14(a) and 15d-14(a) under the Securities Exchange Act of 1934, as Adopted Pursuant to Section 302 of the Sarbanes-Oxley Act of 2002.</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32.1*</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576" w:type="dxa"/>
            <w:tcBorders/>
            <w:shd w:fill="FFFFFF" w:val="clear"/>
          </w:tcPr>
          <w:p>
            <w:pPr>
              <w:pStyle w:val="TableContents"/>
              <w:spacing w:before="0" w:after="0"/>
              <w:ind w:left="0" w:right="0" w:hanging="0"/>
              <w:rPr/>
            </w:pPr>
            <w:hyperlink w:anchor="trvi-ex321_10.htm">
              <w:r>
                <w:rPr>
                  <w:rStyle w:val="InternetLink"/>
                  <w:u w:val="single"/>
                </w:rPr>
                <w:t>Certification of Principal Executive Officer Pursuant to 18 U.S.C. Section 1350, as Adopted Pursuant to Section 906 of the Sarbanes-Oxley Act of 2002.</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32.2*</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576" w:type="dxa"/>
            <w:tcBorders/>
            <w:shd w:fill="FFFFFF" w:val="clear"/>
          </w:tcPr>
          <w:p>
            <w:pPr>
              <w:pStyle w:val="TableContents"/>
              <w:spacing w:before="0" w:after="0"/>
              <w:ind w:left="0" w:right="0" w:hanging="0"/>
              <w:rPr/>
            </w:pPr>
            <w:hyperlink w:anchor="trvi-ex322_6.htm">
              <w:r>
                <w:rPr>
                  <w:rStyle w:val="InternetLink"/>
                  <w:u w:val="single"/>
                </w:rPr>
                <w:t>Certification of Principal Financial Officer Pursuant to 18 U.S.C. Section 1350, as Adopted Pursuant to Section 906 of the Sarbanes-Oxley Act of 2002.</w:t>
              </w:r>
            </w:hyperlink>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101.INS</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576" w:type="dxa"/>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Instance Document</w:t>
            </w:r>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101.SCH</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Schema Document</w:t>
            </w:r>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101.CAL</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Calculation Linkbase Document</w:t>
            </w:r>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101.DEF</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Definition Linkbase Document</w:t>
            </w:r>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101.LAB</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Label Linkbase Document</w:t>
            </w:r>
          </w:p>
        </w:tc>
      </w:tr>
      <w:tr>
        <w:trPr/>
        <w:tc>
          <w:tcPr>
            <w:tcW w:w="569" w:type="dxa"/>
            <w:tcBorders/>
            <w:shd w:fill="FFFFFF"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101.PRE</w:t>
            </w:r>
          </w:p>
        </w:tc>
        <w:tc>
          <w:tcPr>
            <w:tcW w:w="60" w:type="dxa"/>
            <w:tcBorders/>
            <w:shd w:fill="FFFFFF" w:val="clear"/>
          </w:tcPr>
          <w:p>
            <w:pPr>
              <w:pStyle w:val="TableContents"/>
              <w:spacing w:before="0" w:after="0"/>
              <w:ind w:left="0" w:right="0" w:hanging="0"/>
              <w:rPr/>
            </w:pPr>
            <w:r>
              <w:rPr/>
              <w:t> </w:t>
            </w:r>
          </w:p>
        </w:tc>
        <w:tc>
          <w:tcPr>
            <w:tcW w:w="9576" w:type="dxa"/>
            <w:tcBorders/>
            <w:shd w:fill="FFFFFF"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XBRL Taxonomy Extension Presentation Linkbase Document</w:t>
            </w:r>
          </w:p>
        </w:tc>
      </w:tr>
    </w:tbl>
    <w:p>
      <w:pPr>
        <w:pStyle w:val="TextBody"/>
        <w:pBdr>
          <w:bottom w:val="single" w:sz="6" w:space="1" w:color="000000"/>
        </w:pBdr>
        <w:spacing w:before="0" w:after="0"/>
        <w:rPr/>
      </w:pPr>
      <w:r>
        <w:rPr/>
        <w:t> </w:t>
      </w:r>
    </w:p>
    <w:tbl>
      <w:tblPr>
        <w:tblW w:w="1360" w:type="dxa"/>
        <w:jc w:val="left"/>
        <w:tblInd w:w="0" w:type="dxa"/>
        <w:tblCellMar>
          <w:top w:w="0" w:type="dxa"/>
          <w:left w:w="0" w:type="dxa"/>
          <w:bottom w:w="0" w:type="dxa"/>
          <w:right w:w="0" w:type="dxa"/>
        </w:tblCellMar>
      </w:tblPr>
      <w:tblGrid>
        <w:gridCol w:w="125"/>
        <w:gridCol w:w="1235"/>
      </w:tblGrid>
      <w:tr>
        <w:trPr/>
        <w:tc>
          <w:tcPr>
            <w:tcW w:w="125"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5"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Filed herewith.</w:t>
            </w:r>
          </w:p>
        </w:tc>
      </w:tr>
    </w:tbl>
    <w:tbl>
      <w:tblPr>
        <w:tblW w:w="5020" w:type="dxa"/>
        <w:jc w:val="left"/>
        <w:tblInd w:w="0" w:type="dxa"/>
        <w:tblCellMar>
          <w:top w:w="0" w:type="dxa"/>
          <w:left w:w="0" w:type="dxa"/>
          <w:bottom w:w="0" w:type="dxa"/>
          <w:right w:w="0" w:type="dxa"/>
        </w:tblCellMar>
      </w:tblPr>
      <w:tblGrid>
        <w:gridCol w:w="125"/>
        <w:gridCol w:w="4895"/>
      </w:tblGrid>
      <w:tr>
        <w:trPr/>
        <w:tc>
          <w:tcPr>
            <w:tcW w:w="125"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95"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Management contract or compensatory plan or arrangement.</w:t>
            </w:r>
          </w:p>
        </w:tc>
      </w:tr>
    </w:tbl>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40" w:after="0"/>
              <w:rPr>
                <w:caps w:val="false"/>
                <w:smallCaps w:val="false"/>
                <w:color w:val="000000"/>
                <w:highlight w:val="white"/>
              </w:rPr>
            </w:pPr>
            <w:r>
              <w:rPr>
                <w:caps w:val="false"/>
                <w:smallCaps w:val="false"/>
                <w:color w:val="000000"/>
                <w:highlight w:val="white"/>
              </w:rPr>
              <w:t>†</w:t>
            </w:r>
          </w:p>
        </w:tc>
        <w:tc>
          <w:tcPr>
            <w:tcW w:w="10065" w:type="dxa"/>
            <w:tcBorders/>
            <w:shd w:fill="auto" w:val="clear"/>
          </w:tcPr>
          <w:p>
            <w:pPr>
              <w:pStyle w:val="TableContents"/>
              <w:spacing w:before="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Confidential treatment has been granted as to certain portions, which portions have been omitted and filed separately with the Securities and Exchange Commission.</w:t>
            </w:r>
          </w:p>
        </w:tc>
      </w:tr>
    </w:tbl>
    <w:p>
      <w:pPr>
        <w:pStyle w:val="TextBody"/>
        <w:spacing w:before="360" w:after="0"/>
        <w:rPr>
          <w:rFonts w:ascii="Times New Roman" w:hAnsi="Times New Roman"/>
          <w:b/>
          <w:i w:val="false"/>
          <w:caps w:val="false"/>
          <w:smallCaps w:val="false"/>
          <w:color w:val="000000"/>
          <w:sz w:val="20"/>
        </w:rPr>
      </w:pPr>
      <w:bookmarkStart w:id="139" w:name="ITEM_16_FORM_10K_SUMMARY1"/>
      <w:bookmarkEnd w:id="139"/>
      <w:r>
        <w:rPr>
          <w:rFonts w:ascii="Times New Roman" w:hAnsi="Times New Roman"/>
          <w:b/>
          <w:i w:val="false"/>
          <w:caps w:val="false"/>
          <w:smallCaps w:val="false"/>
          <w:color w:val="000000"/>
          <w:sz w:val="20"/>
        </w:rPr>
        <w:t>Item 16</w:t>
      </w:r>
      <w:bookmarkStart w:id="140" w:name="ITEM_16_FORM_10K_SUMMARY"/>
      <w:bookmarkEnd w:id="140"/>
      <w:r>
        <w:rPr>
          <w:rFonts w:ascii="Times New Roman" w:hAnsi="Times New Roman"/>
          <w:b/>
          <w:i w:val="false"/>
          <w:caps w:val="false"/>
          <w:smallCaps w:val="false"/>
          <w:color w:val="000000"/>
          <w:sz w:val="20"/>
        </w:rPr>
        <w:t>. Form 10-K Summary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p>
    <w:p>
      <w:pPr>
        <w:pStyle w:val="TextBody"/>
        <w:spacing w:before="240" w:after="0"/>
        <w:jc w:val="center"/>
        <w:rPr>
          <w:rFonts w:ascii="Times New Roman" w:hAnsi="Times New Roman"/>
          <w:b w:val="false"/>
          <w:i w:val="false"/>
          <w:caps w:val="false"/>
          <w:smallCaps w:val="false"/>
          <w:sz w:val="20"/>
        </w:rPr>
      </w:pPr>
      <w:bookmarkStart w:id="141" w:name="_AEIOULastRenderedPageBreakAEIOU8"/>
      <w:bookmarkEnd w:id="141"/>
      <w:r>
        <w:rPr>
          <w:rFonts w:ascii="Times New Roman" w:hAnsi="Times New Roman"/>
          <w:b w:val="false"/>
          <w:i w:val="false"/>
          <w:caps w:val="false"/>
          <w:smallCaps w:val="false"/>
          <w:sz w:val="20"/>
        </w:rPr>
        <w:t>110</w:t>
      </w:r>
    </w:p>
    <w:p>
      <w:pPr>
        <w:pStyle w:val="HorizontalLine"/>
        <w:rPr/>
      </w:pPr>
      <w:r>
        <w:rPr/>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SIGNATURES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i w:val="false"/>
          <w:caps w:val="false"/>
          <w:smallCaps w:val="false"/>
          <w:color w:val="000000"/>
          <w:sz w:val="20"/>
        </w:rPr>
        <w:t>.</w:t>
      </w:r>
    </w:p>
    <w:p>
      <w:pPr>
        <w:pStyle w:val="TextBody"/>
        <w:spacing w:before="0" w:after="0"/>
        <w:rPr/>
      </w:pPr>
      <w:r>
        <w:rPr/>
        <w:t> </w:t>
      </w:r>
    </w:p>
    <w:tbl>
      <w:tblPr>
        <w:tblW w:w="5370" w:type="dxa"/>
        <w:jc w:val="center"/>
        <w:tblInd w:w="0" w:type="dxa"/>
        <w:tblCellMar>
          <w:top w:w="0" w:type="dxa"/>
          <w:left w:w="0" w:type="dxa"/>
          <w:bottom w:w="0" w:type="dxa"/>
          <w:right w:w="0" w:type="dxa"/>
        </w:tblCellMar>
      </w:tblPr>
      <w:tblGrid>
        <w:gridCol w:w="1790"/>
        <w:gridCol w:w="60"/>
        <w:gridCol w:w="320"/>
        <w:gridCol w:w="3200"/>
      </w:tblGrid>
      <w:tr>
        <w:trPr/>
        <w:tc>
          <w:tcPr>
            <w:tcW w:w="179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20" w:type="dxa"/>
            <w:gridSpan w:val="2"/>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TREVI THERAPEUTICS, INC.</w:t>
            </w:r>
          </w:p>
        </w:tc>
      </w:tr>
      <w:tr>
        <w:trPr/>
        <w:tc>
          <w:tcPr>
            <w:tcW w:w="179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200"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Jennifer Good</w:t>
            </w:r>
          </w:p>
        </w:tc>
      </w:tr>
      <w:tr>
        <w:trPr/>
        <w:tc>
          <w:tcPr>
            <w:tcW w:w="17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Jennifer Good</w:t>
            </w:r>
          </w:p>
        </w:tc>
      </w:tr>
      <w:tr>
        <w:trPr/>
        <w:tc>
          <w:tcPr>
            <w:tcW w:w="17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President and Chief Executive Officer</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rPr/>
      </w:pPr>
      <w:r>
        <w:rPr/>
        <w:t> </w:t>
      </w:r>
    </w:p>
    <w:tbl>
      <w:tblPr>
        <w:tblW w:w="7575" w:type="dxa"/>
        <w:jc w:val="center"/>
        <w:tblInd w:w="0" w:type="dxa"/>
        <w:tblCellMar>
          <w:top w:w="0" w:type="dxa"/>
          <w:left w:w="0" w:type="dxa"/>
          <w:bottom w:w="28" w:type="dxa"/>
          <w:right w:w="0" w:type="dxa"/>
        </w:tblCellMar>
      </w:tblPr>
      <w:tblGrid>
        <w:gridCol w:w="2315"/>
        <w:gridCol w:w="60"/>
        <w:gridCol w:w="3830"/>
        <w:gridCol w:w="60"/>
        <w:gridCol w:w="1310"/>
      </w:tblGrid>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Name</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Title</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Date</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Jennifer Good</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 Director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Jennifer Good</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Christopher Seiter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Officer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Christopher Seiter</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jc w:val="center"/>
              <w:rPr/>
            </w:pPr>
            <w:r>
              <w:rPr/>
              <w:t> </w:t>
            </w:r>
          </w:p>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Frank Muscolo</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Controller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Frank Muscolo</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Accounting Officer)</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jc w:val="center"/>
              <w:rPr/>
            </w:pPr>
            <w:r>
              <w:rPr/>
              <w:t> </w:t>
            </w:r>
          </w:p>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David Meeker, M.D.</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Chairman of the Board</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David Meeker, M.D.</w:t>
            </w:r>
          </w:p>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/s/  James V. Cassella, Ph.D.</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James V. Cassella, Ph.D.</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Dominick Colangelo</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Dominick Colangelo</w:t>
            </w:r>
          </w:p>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Michael Heffernan</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Lead Director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Michael Heffernan</w:t>
            </w:r>
          </w:p>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Edward Mathers</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Edward Mathers</w:t>
            </w:r>
          </w:p>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Anne VanLent</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383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Anne VanLent</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r>
        <w:trPr/>
        <w:tc>
          <w:tcPr>
            <w:tcW w:w="231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383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10" w:type="dxa"/>
            <w:tcBorders/>
            <w:shd w:fill="FFFFFF" w:val="clear"/>
            <w:tcMar>
              <w:bottom w:w="0" w:type="dxa"/>
            </w:tcMar>
            <w:vAlign w:val="bottom"/>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142" w:name="_AEIOULastRenderedPageBreakAEIOU9"/>
      <w:bookmarkEnd w:id="142"/>
      <w:r>
        <w:rPr>
          <w:rFonts w:ascii="Times New Roman" w:hAnsi="Times New Roman"/>
          <w:b/>
          <w:i w:val="false"/>
          <w:caps w:val="false"/>
          <w:smallCaps w:val="false"/>
          <w:color w:val="000000"/>
          <w:sz w:val="20"/>
        </w:rPr>
        <w:t xml:space="preserve">Trevi Therapeutics, Inc. </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Index to Consolidated Financial Statements </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Years Ended December 31, 2020 and 2019 </w:t>
      </w:r>
    </w:p>
    <w:p>
      <w:pPr>
        <w:pStyle w:val="TextBody"/>
        <w:spacing w:before="8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Contents </w:t>
      </w:r>
    </w:p>
    <w:p>
      <w:pPr>
        <w:pStyle w:val="TextBody"/>
        <w:spacing w:before="0" w:after="0"/>
        <w:rPr>
          <w:caps w:val="false"/>
          <w:smallCaps w:val="false"/>
          <w:color w:val="000000"/>
        </w:rPr>
      </w:pPr>
      <w:r>
        <w:rPr>
          <w:caps w:val="false"/>
          <w:smallCaps w:val="false"/>
          <w:color w:val="000000"/>
        </w:rPr>
        <w:t> </w:t>
      </w:r>
    </w:p>
    <w:tbl>
      <w:tblPr>
        <w:tblW w:w="8725" w:type="dxa"/>
        <w:jc w:val="center"/>
        <w:tblInd w:w="0" w:type="dxa"/>
        <w:tblCellMar>
          <w:top w:w="0" w:type="dxa"/>
          <w:left w:w="0" w:type="dxa"/>
          <w:bottom w:w="0" w:type="dxa"/>
          <w:right w:w="0" w:type="dxa"/>
        </w:tblCellMar>
      </w:tblPr>
      <w:tblGrid>
        <w:gridCol w:w="8435"/>
        <w:gridCol w:w="290"/>
      </w:tblGrid>
      <w:tr>
        <w:trPr/>
        <w:tc>
          <w:tcPr>
            <w:tcW w:w="843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8435" w:type="dxa"/>
            <w:tcBorders/>
            <w:shd w:fill="auto" w:val="clear"/>
          </w:tcPr>
          <w:p>
            <w:pPr>
              <w:pStyle w:val="TableContents"/>
              <w:spacing w:before="0" w:after="0"/>
              <w:ind w:left="240" w:right="0" w:hanging="240"/>
              <w:rPr/>
            </w:pPr>
            <w:hyperlink w:anchor="REPORT_INDEPENDENT_REGISTERED_PUBLIC_ACC">
              <w:r>
                <w:rPr>
                  <w:rStyle w:val="InternetLink"/>
                  <w:rFonts w:ascii="Times New Roman" w:hAnsi="Times New Roman"/>
                  <w:b w:val="false"/>
                  <w:i w:val="false"/>
                  <w:caps w:val="false"/>
                  <w:smallCaps w:val="false"/>
                  <w:color w:val="000000"/>
                  <w:sz w:val="20"/>
                  <w:u w:val="single"/>
                </w:rPr>
                <w:t>Report of Independent Registered Public Accounting Firm</w:t>
              </w:r>
            </w:hyperlink>
            <w:r>
              <w:rPr>
                <w:rFonts w:ascii="Times New Roman" w:hAnsi="Times New Roman"/>
                <w:b w:val="false"/>
                <w:i w:val="false"/>
                <w:caps w:val="false"/>
                <w:smallCaps w:val="false"/>
                <w:color w:val="000000"/>
                <w:sz w:val="20"/>
              </w:rPr>
              <w:t xml:space="preserve"> </w:t>
            </w:r>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F-2</w:t>
            </w:r>
          </w:p>
        </w:tc>
      </w:tr>
      <w:tr>
        <w:trPr/>
        <w:tc>
          <w:tcPr>
            <w:tcW w:w="8435" w:type="dxa"/>
            <w:tcBorders/>
            <w:shd w:fill="auto" w:val="clear"/>
            <w:vAlign w:val="center"/>
          </w:tcPr>
          <w:p>
            <w:pPr>
              <w:pStyle w:val="TableContents"/>
              <w:spacing w:before="0" w:after="0"/>
              <w:ind w:left="0" w:right="0" w:hanging="0"/>
              <w:rPr/>
            </w:pPr>
            <w:r>
              <w:rPr/>
              <w:t> </w:t>
            </w:r>
          </w:p>
        </w:tc>
        <w:tc>
          <w:tcPr>
            <w:tcW w:w="290" w:type="dxa"/>
            <w:tcBorders/>
            <w:shd w:fill="auto" w:val="clear"/>
            <w:vAlign w:val="bottom"/>
          </w:tcPr>
          <w:p>
            <w:pPr>
              <w:pStyle w:val="TableContents"/>
              <w:spacing w:before="0" w:after="0"/>
              <w:ind w:left="0" w:right="0" w:hanging="0"/>
              <w:jc w:val="right"/>
              <w:rPr/>
            </w:pPr>
            <w:r>
              <w:rPr/>
              <w:t> </w:t>
            </w:r>
          </w:p>
        </w:tc>
      </w:tr>
      <w:tr>
        <w:trPr/>
        <w:tc>
          <w:tcPr>
            <w:tcW w:w="8435" w:type="dxa"/>
            <w:tcBorders/>
            <w:shd w:fill="auto" w:val="clear"/>
          </w:tcPr>
          <w:p>
            <w:pPr>
              <w:pStyle w:val="TableContents"/>
              <w:spacing w:before="0" w:after="0"/>
              <w:ind w:left="240" w:right="0" w:hanging="24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Consolidated Financial Statements</w:t>
            </w:r>
          </w:p>
        </w:tc>
        <w:tc>
          <w:tcPr>
            <w:tcW w:w="290" w:type="dxa"/>
            <w:tcBorders/>
            <w:shd w:fill="auto" w:val="clear"/>
            <w:vAlign w:val="bottom"/>
          </w:tcPr>
          <w:p>
            <w:pPr>
              <w:pStyle w:val="TableContents"/>
              <w:spacing w:before="0" w:after="0"/>
              <w:ind w:left="0" w:right="0" w:hanging="0"/>
              <w:jc w:val="right"/>
              <w:rPr/>
            </w:pPr>
            <w:r>
              <w:rPr/>
              <w:t> </w:t>
            </w:r>
          </w:p>
        </w:tc>
      </w:tr>
      <w:tr>
        <w:trPr/>
        <w:tc>
          <w:tcPr>
            <w:tcW w:w="8435" w:type="dxa"/>
            <w:tcBorders/>
            <w:shd w:fill="auto" w:val="clear"/>
          </w:tcPr>
          <w:p>
            <w:pPr>
              <w:pStyle w:val="TableContents"/>
              <w:spacing w:before="0" w:after="0"/>
              <w:ind w:left="240" w:right="0" w:hanging="240"/>
              <w:rPr/>
            </w:pPr>
            <w:hyperlink w:anchor="CONSOLIDATED_BALANCE_SHEETS">
              <w:r>
                <w:rPr>
                  <w:rStyle w:val="InternetLink"/>
                  <w:rFonts w:ascii="Times New Roman" w:hAnsi="Times New Roman"/>
                  <w:b w:val="false"/>
                  <w:i w:val="false"/>
                  <w:caps w:val="false"/>
                  <w:smallCaps w:val="false"/>
                  <w:color w:val="000000"/>
                  <w:sz w:val="20"/>
                  <w:u w:val="single"/>
                </w:rPr>
                <w:t>Consolidated Balance Sheets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F-3</w:t>
            </w:r>
          </w:p>
        </w:tc>
      </w:tr>
      <w:tr>
        <w:trPr/>
        <w:tc>
          <w:tcPr>
            <w:tcW w:w="8435" w:type="dxa"/>
            <w:tcBorders/>
            <w:shd w:fill="auto" w:val="clear"/>
          </w:tcPr>
          <w:p>
            <w:pPr>
              <w:pStyle w:val="TableContents"/>
              <w:spacing w:before="0" w:after="0"/>
              <w:ind w:left="240" w:right="0" w:hanging="240"/>
              <w:rPr/>
            </w:pPr>
            <w:hyperlink w:anchor="CONSOLIDATED_STATEMENTS_OPERATIONS">
              <w:r>
                <w:rPr>
                  <w:rStyle w:val="InternetLink"/>
                  <w:rFonts w:ascii="Times New Roman" w:hAnsi="Times New Roman"/>
                  <w:b w:val="false"/>
                  <w:i w:val="false"/>
                  <w:caps w:val="false"/>
                  <w:smallCaps w:val="false"/>
                  <w:color w:val="000000"/>
                  <w:sz w:val="20"/>
                  <w:u w:val="single"/>
                </w:rPr>
                <w:t>Consolidated Statements of Operations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F-4</w:t>
            </w:r>
          </w:p>
        </w:tc>
      </w:tr>
      <w:tr>
        <w:trPr/>
        <w:tc>
          <w:tcPr>
            <w:tcW w:w="8435" w:type="dxa"/>
            <w:tcBorders/>
            <w:shd w:fill="auto" w:val="clear"/>
          </w:tcPr>
          <w:p>
            <w:pPr>
              <w:pStyle w:val="TableContents"/>
              <w:spacing w:before="0" w:after="0"/>
              <w:ind w:left="240" w:right="0" w:hanging="240"/>
              <w:rPr/>
            </w:pPr>
            <w:hyperlink w:anchor="CONSOLIDATED_STATEMENTS_REDEEMABLE_CONVE">
              <w:r>
                <w:rPr>
                  <w:rStyle w:val="InternetLink"/>
                  <w:rFonts w:ascii="Times New Roman" w:hAnsi="Times New Roman"/>
                  <w:b w:val="false"/>
                  <w:i w:val="false"/>
                  <w:caps w:val="false"/>
                  <w:smallCaps w:val="false"/>
                  <w:color w:val="000000"/>
                  <w:sz w:val="20"/>
                  <w:u w:val="single"/>
                </w:rPr>
                <w:t>Consolidated Statements of Redeemable Convertible Preferred Stock and Stockholders’ Equity (Deficit)</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F-5</w:t>
            </w:r>
          </w:p>
        </w:tc>
      </w:tr>
      <w:tr>
        <w:trPr/>
        <w:tc>
          <w:tcPr>
            <w:tcW w:w="8435" w:type="dxa"/>
            <w:tcBorders/>
            <w:shd w:fill="auto" w:val="clear"/>
          </w:tcPr>
          <w:p>
            <w:pPr>
              <w:pStyle w:val="TableContents"/>
              <w:spacing w:before="0" w:after="0"/>
              <w:ind w:left="240" w:right="0" w:hanging="240"/>
              <w:rPr/>
            </w:pPr>
            <w:hyperlink w:anchor="CONSOLIDATED_STATEMENTS_CASH_FLOWS">
              <w:r>
                <w:rPr>
                  <w:rStyle w:val="InternetLink"/>
                  <w:rFonts w:ascii="Times New Roman" w:hAnsi="Times New Roman"/>
                  <w:b w:val="false"/>
                  <w:i w:val="false"/>
                  <w:caps w:val="false"/>
                  <w:smallCaps w:val="false"/>
                  <w:color w:val="000000"/>
                  <w:sz w:val="20"/>
                  <w:u w:val="single"/>
                </w:rPr>
                <w:t>Consolidated Statements of Cash Flows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F-6</w:t>
            </w:r>
          </w:p>
        </w:tc>
      </w:tr>
      <w:tr>
        <w:trPr/>
        <w:tc>
          <w:tcPr>
            <w:tcW w:w="8435" w:type="dxa"/>
            <w:tcBorders/>
            <w:shd w:fill="auto" w:val="clear"/>
          </w:tcPr>
          <w:p>
            <w:pPr>
              <w:pStyle w:val="TableContents"/>
              <w:spacing w:before="0" w:after="0"/>
              <w:ind w:left="240" w:right="0" w:hanging="240"/>
              <w:rPr/>
            </w:pPr>
            <w:hyperlink w:anchor="NOTES_TO_CONSOLIDATED_FINANCIAL_STATEMEN">
              <w:r>
                <w:rPr>
                  <w:rStyle w:val="InternetLink"/>
                  <w:rFonts w:ascii="Times New Roman" w:hAnsi="Times New Roman"/>
                  <w:b w:val="false"/>
                  <w:i w:val="false"/>
                  <w:caps w:val="false"/>
                  <w:smallCaps w:val="false"/>
                  <w:color w:val="000000"/>
                  <w:sz w:val="20"/>
                  <w:u w:val="single"/>
                </w:rPr>
                <w:t>Notes to Consolidated Financial Statements</w:t>
              </w:r>
            </w:hyperlink>
          </w:p>
        </w:tc>
        <w:tc>
          <w:tcPr>
            <w:tcW w:w="29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F-7</w:t>
            </w:r>
          </w:p>
        </w:tc>
      </w:tr>
    </w:tbl>
    <w:p>
      <w:pPr>
        <w:pStyle w:val="TextBody"/>
        <w:spacing w:before="240" w:after="0"/>
        <w:rPr>
          <w:caps w:val="false"/>
          <w:smallCaps w:val="false"/>
          <w:color w:val="000000"/>
        </w:rPr>
      </w:pPr>
      <w:r>
        <w:rPr>
          <w:caps w:val="false"/>
          <w:smallCaps w:val="false"/>
          <w:color w:val="000000"/>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143" w:name="REPORT_INDEPENDENT_REGISTERED_PUBLIC_ACC"/>
      <w:bookmarkEnd w:id="143"/>
      <w:r>
        <w:rPr>
          <w:rFonts w:ascii="Times New Roman" w:hAnsi="Times New Roman"/>
          <w:b/>
          <w:i w:val="false"/>
          <w:caps w:val="false"/>
          <w:smallCaps w:val="false"/>
          <w:color w:val="000000"/>
          <w:sz w:val="20"/>
        </w:rPr>
        <w:t xml:space="preserve">Report of Independent Registered Public Accounting Firm </w:t>
      </w:r>
    </w:p>
    <w:p>
      <w:pPr>
        <w:pStyle w:val="TextBody"/>
        <w:spacing w:before="240" w:after="0"/>
        <w:jc w:val="center"/>
        <w:rPr/>
      </w:pPr>
      <w:r>
        <w:rPr/>
        <w:t> </w:t>
      </w:r>
    </w:p>
    <w:p>
      <w:pPr>
        <w:pStyle w:val="TextBody"/>
        <w:spacing w:before="0" w:after="0"/>
        <w:jc w:val="center"/>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To the Stockholders and the Board of Directors of Trevi Therapeutics, Inc. </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Opinion on the Financial Statements</w:t>
      </w:r>
    </w:p>
    <w:p>
      <w:pPr>
        <w:pStyle w:val="TextBody"/>
        <w:spacing w:before="0" w:after="0"/>
        <w:rPr/>
      </w:pPr>
      <w:r>
        <w:rPr/>
        <w:t> </w:t>
      </w:r>
    </w:p>
    <w:p>
      <w:pPr>
        <w:pStyle w:val="TextBody"/>
        <w:spacing w:lineRule="auto" w:line="288"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audited the accompanying consolidated balance sheets of Trevi Therapeutics, Inc. (the Company) as of December 31, 2020 and 2019, the related consolidated statements of operations</w:t>
      </w:r>
      <w:r>
        <w:rPr>
          <w:rFonts w:ascii="Times New Roman" w:hAnsi="Times New Roman"/>
          <w:b/>
          <w:i w:val="false"/>
          <w:caps w:val="false"/>
          <w:smallCaps w:val="false"/>
          <w:sz w:val="20"/>
        </w:rPr>
        <w:t>,</w:t>
      </w:r>
      <w:r>
        <w:rPr>
          <w:rFonts w:ascii="Times New Roman" w:hAnsi="Times New Roman"/>
          <w:b w:val="false"/>
          <w:i w:val="false"/>
          <w:caps w:val="false"/>
          <w:smallCaps w:val="false"/>
          <w:sz w:val="20"/>
        </w:rPr>
        <w:t xml:space="preserve"> redeemable convertible preferred stock and stockholders' equity, and cash flows for each of the two years in the period ended December 31, 2020, and the related notes</w:t>
      </w:r>
      <w:r>
        <w:rPr>
          <w:rFonts w:ascii="Times New Roman" w:hAnsi="Times New Roman"/>
          <w:b w:val="false"/>
          <w:i w:val="false"/>
          <w:caps w:val="false"/>
          <w:smallCaps w:val="false"/>
          <w:sz w:val="20"/>
          <w:highlight w:val="white"/>
        </w:rPr>
        <w:t xml:space="preserve"> </w:t>
      </w:r>
      <w:r>
        <w:rPr>
          <w:rFonts w:ascii="Times New Roman" w:hAnsi="Times New Roman"/>
          <w:b w:val="false"/>
          <w:i w:val="false"/>
          <w:caps w:val="false"/>
          <w:smallCaps w:val="false"/>
          <w:sz w:val="20"/>
        </w:rPr>
        <w:t>(collectively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Basis for Opinion</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Ernst &amp; Young LLP</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served as the Company’s auditor since 2013.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Stamford, Connecticut</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p>
      <w:pPr>
        <w:pStyle w:val="TextBody"/>
        <w:spacing w:before="240" w:after="0"/>
        <w:jc w:val="center"/>
        <w:rPr/>
      </w:pPr>
      <w:r>
        <w:rPr/>
        <w:t> </w:t>
      </w:r>
    </w:p>
    <w:p>
      <w:pPr>
        <w:pStyle w:val="TextBody"/>
        <w:spacing w:before="240" w:after="0"/>
        <w:rPr>
          <w:caps w:val="false"/>
          <w:smallCaps w:val="false"/>
          <w:color w:val="000000"/>
        </w:rPr>
      </w:pPr>
      <w:r>
        <w:rPr>
          <w:caps w:val="false"/>
          <w:smallCaps w:val="false"/>
          <w:color w:val="000000"/>
        </w:rPr>
        <w:t> </w:t>
      </w:r>
    </w:p>
    <w:p>
      <w:pPr>
        <w:pStyle w:val="TextBody"/>
        <w:spacing w:before="0" w:after="0"/>
        <w:rPr/>
      </w:pPr>
      <w:r>
        <w:rPr/>
        <w:t> </w:t>
      </w:r>
    </w:p>
    <w:p>
      <w:pPr>
        <w:pStyle w:val="TextBody"/>
        <w:spacing w:before="24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Trevi Therapeutics, Inc. </w:t>
      </w:r>
    </w:p>
    <w:p>
      <w:pPr>
        <w:pStyle w:val="TextBody"/>
        <w:spacing w:before="120" w:after="0"/>
        <w:jc w:val="center"/>
        <w:rPr>
          <w:rFonts w:ascii="Times New Roman" w:hAnsi="Times New Roman"/>
          <w:b/>
          <w:i w:val="false"/>
          <w:caps w:val="false"/>
          <w:smallCaps w:val="false"/>
          <w:color w:val="000000"/>
          <w:sz w:val="20"/>
        </w:rPr>
      </w:pPr>
      <w:bookmarkStart w:id="144" w:name="CONSOLIDATED_BALANCE_SHEETS"/>
      <w:bookmarkEnd w:id="144"/>
      <w:r>
        <w:rPr>
          <w:rFonts w:ascii="Times New Roman" w:hAnsi="Times New Roman"/>
          <w:b/>
          <w:i w:val="false"/>
          <w:caps w:val="false"/>
          <w:smallCaps w:val="false"/>
          <w:color w:val="000000"/>
          <w:sz w:val="20"/>
        </w:rPr>
        <w:t xml:space="preserve">Consolidated Balance Sheets </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(Amounts in thousands, except share and per share amounts) </w:t>
      </w:r>
    </w:p>
    <w:p>
      <w:pPr>
        <w:pStyle w:val="TextBody"/>
        <w:spacing w:before="0" w:after="0"/>
        <w:rPr/>
      </w:pPr>
      <w:r>
        <w:rPr/>
        <w:t> </w:t>
      </w:r>
    </w:p>
    <w:tbl>
      <w:tblPr>
        <w:tblW w:w="6935" w:type="dxa"/>
        <w:jc w:val="center"/>
        <w:tblInd w:w="0" w:type="dxa"/>
        <w:tblCellMar>
          <w:top w:w="0" w:type="dxa"/>
          <w:left w:w="0" w:type="dxa"/>
          <w:bottom w:w="28" w:type="dxa"/>
          <w:right w:w="0" w:type="dxa"/>
        </w:tblCellMar>
      </w:tblPr>
      <w:tblGrid>
        <w:gridCol w:w="5105"/>
        <w:gridCol w:w="60"/>
        <w:gridCol w:w="110"/>
        <w:gridCol w:w="665"/>
        <w:gridCol w:w="80"/>
        <w:gridCol w:w="60"/>
        <w:gridCol w:w="110"/>
        <w:gridCol w:w="665"/>
        <w:gridCol w:w="80"/>
      </w:tblGrid>
      <w:tr>
        <w:trPr/>
        <w:tc>
          <w:tcPr>
            <w:tcW w:w="51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45" w:name="_Hlk65850406"/>
            <w:bookmarkEnd w:id="145"/>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45,001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57,313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Tax credit and other receivables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558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Prepaid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1,003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1,681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Total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46,269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59,552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Deferred offering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Operating lease right-of-use asset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312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Security deposits and other non-current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Property, equipment and leasehold improvements,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bottom w:val="doub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Total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47,131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60,001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Liabilities and 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2,016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1,599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Accrued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3,426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3,501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Operating lease liability - current portion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113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Total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5,555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5,199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13,954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Operating lease liability - long term portion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Commitments and contingencies (Note 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Common stock: $0.001 par value; 200,000,000 shares authorized at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December 31, 2020 and 2019; 18,546,786 and 17,834,570 shares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issued and outstanding at December 31, 2020 and 2019, respectively.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Preferred stock: $0.001 par value; 5,000,000 shares authorized at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December 31, 2020 and 2019; no shares issued or outstanding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8"/>
              </w:rPr>
              <w:t>at December 31, 2020 or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174,240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168,746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Accumulated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(146,977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(114,219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510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Total stockholders’ equity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27,282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54,545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0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Total liabilities and stockholders’ equity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47,131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60,001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See accompanying notes. </w:t>
      </w:r>
    </w:p>
    <w:p>
      <w:pPr>
        <w:pStyle w:val="TextBody"/>
        <w:spacing w:before="240" w:after="0"/>
        <w:jc w:val="center"/>
        <w:rPr>
          <w:rFonts w:ascii="Times New Roman" w:hAnsi="Times New Roman"/>
          <w:b w:val="false"/>
          <w:i w:val="false"/>
          <w:caps w:val="false"/>
          <w:smallCaps w:val="false"/>
          <w:sz w:val="20"/>
        </w:rPr>
      </w:pPr>
      <w:bookmarkStart w:id="146" w:name="_AEIOULastRenderedPageBreakAEIOU12"/>
      <w:bookmarkEnd w:id="146"/>
      <w:r>
        <w:rPr>
          <w:rFonts w:ascii="Times New Roman" w:hAnsi="Times New Roman"/>
          <w:b w:val="false"/>
          <w:i w:val="false"/>
          <w:caps w:val="false"/>
          <w:smallCaps w:val="false"/>
          <w:sz w:val="20"/>
        </w:rPr>
        <w:t>F-3</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Trevi Therapeutics, Inc. </w:t>
      </w:r>
    </w:p>
    <w:p>
      <w:pPr>
        <w:pStyle w:val="TextBody"/>
        <w:spacing w:before="120" w:after="0"/>
        <w:jc w:val="center"/>
        <w:rPr>
          <w:rFonts w:ascii="Times New Roman" w:hAnsi="Times New Roman"/>
          <w:b/>
          <w:i w:val="false"/>
          <w:caps w:val="false"/>
          <w:smallCaps w:val="false"/>
          <w:color w:val="000000"/>
          <w:sz w:val="20"/>
        </w:rPr>
      </w:pPr>
      <w:bookmarkStart w:id="147" w:name="CONSOLIDATED_STATEMENTS_OPERATIONS"/>
      <w:bookmarkEnd w:id="147"/>
      <w:r>
        <w:rPr>
          <w:rFonts w:ascii="Times New Roman" w:hAnsi="Times New Roman"/>
          <w:b/>
          <w:i w:val="false"/>
          <w:caps w:val="false"/>
          <w:smallCaps w:val="false"/>
          <w:color w:val="000000"/>
          <w:sz w:val="20"/>
        </w:rPr>
        <w:t xml:space="preserve">Consolidated Statements of Operations </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(Amounts in thousands, except share and per share amounts) </w:t>
      </w:r>
    </w:p>
    <w:p>
      <w:pPr>
        <w:pStyle w:val="TextBody"/>
        <w:spacing w:before="0" w:after="0"/>
        <w:rPr/>
      </w:pPr>
      <w:r>
        <w:rPr/>
        <w:t> </w:t>
      </w:r>
    </w:p>
    <w:tbl>
      <w:tblPr>
        <w:tblW w:w="7619" w:type="dxa"/>
        <w:jc w:val="center"/>
        <w:tblInd w:w="0" w:type="dxa"/>
        <w:tblCellMar>
          <w:top w:w="0" w:type="dxa"/>
          <w:left w:w="0" w:type="dxa"/>
          <w:bottom w:w="28" w:type="dxa"/>
          <w:right w:w="0" w:type="dxa"/>
        </w:tblCellMar>
      </w:tblPr>
      <w:tblGrid>
        <w:gridCol w:w="4985"/>
        <w:gridCol w:w="60"/>
        <w:gridCol w:w="136"/>
        <w:gridCol w:w="1035"/>
        <w:gridCol w:w="87"/>
        <w:gridCol w:w="65"/>
        <w:gridCol w:w="136"/>
        <w:gridCol w:w="1035"/>
        <w:gridCol w:w="80"/>
      </w:tblGrid>
      <w:tr>
        <w:trPr/>
        <w:tc>
          <w:tcPr>
            <w:tcW w:w="4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49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48" w:name="_Hlk65850407"/>
            <w:bookmarkEnd w:id="148"/>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22,328</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10,161</w:t>
            </w:r>
          </w:p>
        </w:tc>
        <w:tc>
          <w:tcPr>
            <w:tcW w:w="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32,489</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26,645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(32,489</w:t>
            </w:r>
          </w:p>
        </w:tc>
        <w:tc>
          <w:tcPr>
            <w:tcW w:w="8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(26,645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obligation for loan success fee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term loan derivative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(456</w:t>
            </w:r>
          </w:p>
        </w:tc>
        <w:tc>
          <w:tcPr>
            <w:tcW w:w="8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 (expense),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w:t>
            </w:r>
          </w:p>
        </w:tc>
        <w:tc>
          <w:tcPr>
            <w:tcW w:w="8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 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(32,776</w:t>
            </w:r>
          </w:p>
        </w:tc>
        <w:tc>
          <w:tcPr>
            <w:tcW w:w="8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(26,068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(32,758</w:t>
            </w:r>
          </w:p>
        </w:tc>
        <w:tc>
          <w:tcPr>
            <w:tcW w:w="8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(26,050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Accretion of redeemable 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Dividends accrued on redeemable convertible preferred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Adjusted net loss attributable to common stockholders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(32,758</w:t>
            </w:r>
          </w:p>
        </w:tc>
        <w:tc>
          <w:tcPr>
            <w:tcW w:w="87"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(26,754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 net loss per common share outstanding</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w:t>
            </w:r>
          </w:p>
        </w:tc>
        <w:tc>
          <w:tcPr>
            <w:tcW w:w="87"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3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used in net loss per share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attributable to common stockholders,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18,059,011</w:t>
            </w:r>
          </w:p>
        </w:tc>
        <w:tc>
          <w:tcPr>
            <w:tcW w:w="8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11,735,781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See accompanying notes.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F-4</w:t>
      </w:r>
    </w:p>
    <w:p>
      <w:pPr>
        <w:pStyle w:val="HorizontalLine"/>
        <w:rPr/>
      </w:pPr>
      <w:r>
        <w:rPr/>
      </w:r>
    </w:p>
    <w:p>
      <w:pPr>
        <w:pStyle w:val="TextBody"/>
        <w:spacing w:before="0" w:after="0"/>
        <w:jc w:val="center"/>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Trevi Therapeutics, Inc.</w:t>
      </w:r>
    </w:p>
    <w:p>
      <w:pPr>
        <w:pStyle w:val="TextBody"/>
        <w:spacing w:before="120" w:after="0"/>
        <w:jc w:val="center"/>
        <w:rPr>
          <w:rFonts w:ascii="Times New Roman" w:hAnsi="Times New Roman"/>
          <w:b/>
          <w:i w:val="false"/>
          <w:caps w:val="false"/>
          <w:smallCaps w:val="false"/>
          <w:color w:val="000000"/>
          <w:sz w:val="20"/>
        </w:rPr>
      </w:pPr>
      <w:bookmarkStart w:id="149" w:name="CONSOLIDATED_STATEMENTS_REDEEMABLE_CONVE"/>
      <w:bookmarkEnd w:id="149"/>
      <w:r>
        <w:rPr>
          <w:rFonts w:ascii="Times New Roman" w:hAnsi="Times New Roman"/>
          <w:b/>
          <w:i w:val="false"/>
          <w:caps w:val="false"/>
          <w:smallCaps w:val="false"/>
          <w:color w:val="000000"/>
          <w:sz w:val="20"/>
        </w:rPr>
        <w:t>Consolidated Statements of Redeemable Convertible Preferred Stock and Stockholders’ Equity (Deficit)</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(Amounts in thousands, except share amounts)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2279"/>
        <w:gridCol w:w="60"/>
        <w:gridCol w:w="60"/>
        <w:gridCol w:w="605"/>
        <w:gridCol w:w="65"/>
        <w:gridCol w:w="60"/>
        <w:gridCol w:w="80"/>
        <w:gridCol w:w="395"/>
        <w:gridCol w:w="65"/>
        <w:gridCol w:w="60"/>
        <w:gridCol w:w="60"/>
        <w:gridCol w:w="605"/>
        <w:gridCol w:w="65"/>
        <w:gridCol w:w="60"/>
        <w:gridCol w:w="80"/>
        <w:gridCol w:w="395"/>
        <w:gridCol w:w="65"/>
        <w:gridCol w:w="60"/>
        <w:gridCol w:w="60"/>
        <w:gridCol w:w="605"/>
        <w:gridCol w:w="65"/>
        <w:gridCol w:w="60"/>
        <w:gridCol w:w="80"/>
        <w:gridCol w:w="395"/>
        <w:gridCol w:w="65"/>
        <w:gridCol w:w="60"/>
        <w:gridCol w:w="60"/>
        <w:gridCol w:w="60"/>
        <w:gridCol w:w="560"/>
        <w:gridCol w:w="60"/>
        <w:gridCol w:w="60"/>
        <w:gridCol w:w="103"/>
        <w:gridCol w:w="337"/>
        <w:gridCol w:w="60"/>
        <w:gridCol w:w="60"/>
        <w:gridCol w:w="88"/>
        <w:gridCol w:w="457"/>
        <w:gridCol w:w="60"/>
        <w:gridCol w:w="60"/>
        <w:gridCol w:w="106"/>
        <w:gridCol w:w="604"/>
        <w:gridCol w:w="65"/>
        <w:gridCol w:w="60"/>
        <w:gridCol w:w="114"/>
        <w:gridCol w:w="656"/>
        <w:gridCol w:w="66"/>
      </w:tblGrid>
      <w:tr>
        <w:trPr/>
        <w:tc>
          <w:tcPr>
            <w:tcW w:w="2279"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Series A</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Redeemable</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Convertible</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Preferred Stock</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Series B</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Redeemable</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Convertible</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Preferred Stock</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Series C</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Redeemable</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Convertible</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Preferred Stock</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Additional</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Paid-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Accumulated</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Total</w:t>
            </w:r>
          </w:p>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Stockholders’</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50" w:name="_Hlk65850408"/>
            <w:bookmarkEnd w:id="150"/>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Shares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Amount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Shares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Amount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Shares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Amount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in 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Deficit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Equity (deficit)</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Balance at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15,387,923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21,033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22,608,695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33,686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38,097,672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61,023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438,600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4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(109,498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(109,494</w:t>
            </w:r>
          </w:p>
        </w:tc>
        <w:tc>
          <w:tcPr>
            <w:tcW w:w="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1,127</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Issuance of common stock from exercise of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14,736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38</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Issuance of Series C redeemable convertible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preferred stock, net of issuance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6,849,315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11,059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Dividends accrued on redeemable convertible preferred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5,406,844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326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6,478,999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551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3,792,386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1,362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(2,239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(2,239</w:t>
            </w:r>
          </w:p>
        </w:tc>
        <w:tc>
          <w:tcPr>
            <w:tcW w:w="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Accretion (amortization) of premium (discount) 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issuance of redeemable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(24</w:t>
            </w:r>
          </w:p>
        </w:tc>
        <w:tc>
          <w:tcPr>
            <w:tcW w:w="6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Accretion of discount on investor rights/obligation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84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(201</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(201</w:t>
            </w:r>
          </w:p>
        </w:tc>
        <w:tc>
          <w:tcPr>
            <w:tcW w:w="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Adjustment for excess (shortfall) of fair value over</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liquidation value of redeemable convertible preferred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(651</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(940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(403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1,994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1,994</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Accretion of issuance costs on redeemable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convertible preferred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(234</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(234</w:t>
            </w:r>
          </w:p>
        </w:tc>
        <w:tc>
          <w:tcPr>
            <w:tcW w:w="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Conversion of redeemable convertible preferred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to common stock in connection with initial public</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offering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(20,794,767</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(20,792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(29,087,694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(33,449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(48,739,373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(73,264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10,381,234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105,464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22,033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127,504</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Issuance of common stock upon completion of initial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public offering, net of underwriting discounts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commissions, and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5,500,000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48,169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48,174</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Issuance of common stock upon completion of private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placement, net of private placement agent fees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1,500,000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13,948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13,950</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(26,050</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(26,050</w:t>
            </w:r>
          </w:p>
        </w:tc>
        <w:tc>
          <w:tcPr>
            <w:tcW w:w="6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Balance at 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17,834,570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45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168,746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(114,219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54,545</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2,417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2,417</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Issuance of common stock from exercise of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18,343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34</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Issuance of common stock from employee stock purchase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5,997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12</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Issuance of common stock under at-the-market sales agreement, net of commissions and allocated fees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687,876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3,031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3,032</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9"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(32,758</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(32,758</w:t>
            </w:r>
          </w:p>
        </w:tc>
        <w:tc>
          <w:tcPr>
            <w:tcW w:w="6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2279"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Balance at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18,546,786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3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4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174,240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(146,977</w:t>
            </w:r>
          </w:p>
        </w:tc>
        <w:tc>
          <w:tcPr>
            <w:tcW w:w="6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27,282</w:t>
            </w:r>
          </w:p>
        </w:tc>
        <w:tc>
          <w:tcPr>
            <w:tcW w:w="6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See accompanying notes.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rPr>
          <w:caps w:val="false"/>
          <w:smallCaps w:val="false"/>
          <w:color w:val="000000"/>
        </w:rPr>
      </w:pPr>
      <w:r>
        <w:rPr>
          <w:caps w:val="false"/>
          <w:smallCaps w:val="false"/>
          <w:color w:val="000000"/>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Trevi Therapeutics, Inc. </w:t>
      </w:r>
    </w:p>
    <w:p>
      <w:pPr>
        <w:pStyle w:val="TextBody"/>
        <w:spacing w:before="120" w:after="0"/>
        <w:jc w:val="center"/>
        <w:rPr>
          <w:rFonts w:ascii="Times New Roman" w:hAnsi="Times New Roman"/>
          <w:b/>
          <w:i w:val="false"/>
          <w:caps w:val="false"/>
          <w:smallCaps w:val="false"/>
          <w:color w:val="000000"/>
          <w:sz w:val="20"/>
        </w:rPr>
      </w:pPr>
      <w:bookmarkStart w:id="151" w:name="CONSOLIDATED_STATEMENTS_CASH_FLOWS"/>
      <w:bookmarkEnd w:id="151"/>
      <w:r>
        <w:rPr>
          <w:rFonts w:ascii="Times New Roman" w:hAnsi="Times New Roman"/>
          <w:b/>
          <w:i w:val="false"/>
          <w:caps w:val="false"/>
          <w:smallCaps w:val="false"/>
          <w:color w:val="000000"/>
          <w:sz w:val="20"/>
        </w:rPr>
        <w:t xml:space="preserve">Consolidated Statements of Cash Flows </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(Amounts in thousands) </w:t>
      </w:r>
    </w:p>
    <w:p>
      <w:pPr>
        <w:pStyle w:val="TextBody"/>
        <w:spacing w:before="0" w:after="0"/>
        <w:rPr/>
      </w:pPr>
      <w:r>
        <w:rPr/>
        <w:t> </w:t>
      </w:r>
    </w:p>
    <w:tbl>
      <w:tblPr>
        <w:tblW w:w="8848" w:type="dxa"/>
        <w:jc w:val="center"/>
        <w:tblInd w:w="0" w:type="dxa"/>
        <w:tblCellMar>
          <w:top w:w="0" w:type="dxa"/>
          <w:left w:w="0" w:type="dxa"/>
          <w:bottom w:w="28" w:type="dxa"/>
          <w:right w:w="0" w:type="dxa"/>
        </w:tblCellMar>
      </w:tblPr>
      <w:tblGrid>
        <w:gridCol w:w="6215"/>
        <w:gridCol w:w="60"/>
        <w:gridCol w:w="181"/>
        <w:gridCol w:w="950"/>
        <w:gridCol w:w="132"/>
        <w:gridCol w:w="99"/>
        <w:gridCol w:w="181"/>
        <w:gridCol w:w="950"/>
        <w:gridCol w:w="80"/>
      </w:tblGrid>
      <w:tr>
        <w:trPr/>
        <w:tc>
          <w:tcPr>
            <w:tcW w:w="6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52" w:name="_Hlk65850409"/>
            <w:bookmarkEnd w:id="152"/>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49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For the 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2020</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(32,758</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(26,050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Changes in fair value of obligation for loan success fee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Changes in fair value of term loan derivative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Accretion/accrual of term loan discounts and debt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227</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2,417</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Changes in operating assets and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Receivables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Prepaid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449</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417</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expenses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w:t>
            </w:r>
          </w:p>
        </w:tc>
        <w:tc>
          <w:tcPr>
            <w:tcW w:w="13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1,416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used in operating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(29,000</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(23,093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Acquisitions of property, equipment and leasehold improvements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w:t>
            </w:r>
          </w:p>
        </w:tc>
        <w:tc>
          <w:tcPr>
            <w:tcW w:w="13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used in 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w:t>
            </w:r>
          </w:p>
        </w:tc>
        <w:tc>
          <w:tcPr>
            <w:tcW w:w="13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Payment of loan success fee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14,000</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Financing costs of term loan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w:t>
            </w:r>
          </w:p>
        </w:tc>
        <w:tc>
          <w:tcPr>
            <w:tcW w:w="13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at-the-market sales, net of commissions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3,135</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exercises of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the employee stock purchase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sale of Series C redeemable convertible preferred stock, net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9,963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issuance of common shares upon completion of initial public offering, net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of underwriting commissions and discounts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51,150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private placement, net of private placement agent fees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13,950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Payments of offering costs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(377</w:t>
            </w:r>
          </w:p>
        </w:tc>
        <w:tc>
          <w:tcPr>
            <w:tcW w:w="13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(1,213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shd w:fill="CFF0FC" w:val="clear"/>
            <w:tcMar>
              <w:bottom w:w="0" w:type="dxa"/>
            </w:tcMar>
          </w:tcPr>
          <w:p>
            <w:pPr>
              <w:pStyle w:val="TableContents"/>
              <w:spacing w:before="0" w:after="0"/>
              <w:ind w:left="821"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provided by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16,720</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73,213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increase (decrease) for year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(12,312</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50,111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and cash equivalents at beginning of year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57,313</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7,202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and cash equivalents at end of year</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45,001</w:t>
            </w:r>
          </w:p>
        </w:tc>
        <w:tc>
          <w:tcPr>
            <w:tcW w:w="13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57,313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Supplemental disclosure of cash flow information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paid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180</w:t>
            </w:r>
          </w:p>
        </w:tc>
        <w:tc>
          <w:tcPr>
            <w:tcW w:w="13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taxes paid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State research tax credits exchanged for cash</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w:t>
            </w:r>
          </w:p>
        </w:tc>
        <w:tc>
          <w:tcPr>
            <w:tcW w:w="13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Supplemental disclosure of non-cash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Offering costs included in accrued expenses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w:t>
            </w:r>
          </w:p>
        </w:tc>
        <w:tc>
          <w:tcPr>
            <w:tcW w:w="13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1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Accretion on redeemable convertible preferred stock</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(1,535</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21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Dividends accrued on redeemable convertible preferred stock</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2,239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See accompanying notes. </w:t>
      </w:r>
    </w:p>
    <w:p>
      <w:pPr>
        <w:pStyle w:val="TextBody"/>
        <w:spacing w:before="240" w:after="0"/>
        <w:jc w:val="center"/>
        <w:rPr>
          <w:rFonts w:ascii="Times New Roman" w:hAnsi="Times New Roman"/>
          <w:b w:val="false"/>
          <w:i w:val="false"/>
          <w:caps w:val="false"/>
          <w:smallCaps w:val="false"/>
          <w:sz w:val="20"/>
        </w:rPr>
      </w:pPr>
      <w:bookmarkStart w:id="153" w:name="_AEIOULastRenderedPageBreakAEIOU13"/>
      <w:bookmarkEnd w:id="153"/>
      <w:r>
        <w:rPr>
          <w:rFonts w:ascii="Times New Roman" w:hAnsi="Times New Roman"/>
          <w:b w:val="false"/>
          <w:i w:val="false"/>
          <w:caps w:val="false"/>
          <w:smallCaps w:val="false"/>
          <w:sz w:val="20"/>
        </w:rPr>
        <w:t>F-6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Trevi Therapeutics, Inc. </w:t>
      </w:r>
    </w:p>
    <w:p>
      <w:pPr>
        <w:pStyle w:val="TextBody"/>
        <w:spacing w:before="120" w:after="0"/>
        <w:jc w:val="center"/>
        <w:rPr>
          <w:rFonts w:ascii="Times New Roman" w:hAnsi="Times New Roman"/>
          <w:b/>
          <w:i w:val="false"/>
          <w:caps w:val="false"/>
          <w:smallCaps w:val="false"/>
          <w:color w:val="000000"/>
          <w:sz w:val="20"/>
        </w:rPr>
      </w:pPr>
      <w:bookmarkStart w:id="154" w:name="NOTES_TO_CONSOLIDATED_FINANCIAL_STATEMEN"/>
      <w:bookmarkEnd w:id="154"/>
      <w:r>
        <w:rPr>
          <w:rFonts w:ascii="Times New Roman" w:hAnsi="Times New Roman"/>
          <w:b/>
          <w:i w:val="false"/>
          <w:caps w:val="false"/>
          <w:smallCaps w:val="false"/>
          <w:color w:val="000000"/>
          <w:sz w:val="20"/>
        </w:rPr>
        <w:t xml:space="preserve">Notes to Consolidated Financial Statements </w:t>
      </w:r>
    </w:p>
    <w:p>
      <w:pPr>
        <w:pStyle w:val="TextBody"/>
        <w:spacing w:before="12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(Amounts in thousands, except share and per share amounts) </w:t>
      </w:r>
    </w:p>
    <w:p>
      <w:pPr>
        <w:pStyle w:val="TextBody"/>
        <w:spacing w:before="120" w:after="0"/>
        <w:jc w:val="center"/>
        <w:rPr/>
      </w:pPr>
      <w:r>
        <w:rPr/>
        <w:t> </w:t>
      </w:r>
    </w:p>
    <w:tbl>
      <w:tblPr>
        <w:tblW w:w="2095" w:type="dxa"/>
        <w:jc w:val="left"/>
        <w:tblInd w:w="0" w:type="dxa"/>
        <w:tblCellMar>
          <w:top w:w="0" w:type="dxa"/>
          <w:left w:w="0" w:type="dxa"/>
          <w:bottom w:w="0" w:type="dxa"/>
          <w:right w:w="0" w:type="dxa"/>
        </w:tblCellMar>
      </w:tblPr>
      <w:tblGrid>
        <w:gridCol w:w="170"/>
        <w:gridCol w:w="1925"/>
      </w:tblGrid>
      <w:tr>
        <w:trPr/>
        <w:tc>
          <w:tcPr>
            <w:tcW w:w="170" w:type="dxa"/>
            <w:tcBorders/>
            <w:shd w:fill="auto" w:val="clear"/>
          </w:tcPr>
          <w:p>
            <w:pPr>
              <w:pStyle w:val="TableContents"/>
              <w:spacing w:before="24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w:t>
            </w:r>
          </w:p>
        </w:tc>
        <w:tc>
          <w:tcPr>
            <w:tcW w:w="1925" w:type="dxa"/>
            <w:tcBorders/>
            <w:shd w:fill="auto" w:val="clear"/>
          </w:tcPr>
          <w:p>
            <w:pPr>
              <w:pStyle w:val="TableContents"/>
              <w:spacing w:before="24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Nature of the Business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Trevi Therapeutics, Inc. (“Trevi” or the “Company”) is a clinical-stage biopharmaceutical company focused on the development and commercialization of Haduvio (nalbuphine ER) to treat serious neurologically mediated conditions. The Company is currently developing Haduvio for the treatment of chronic pruritus associated with prurigo nodularis and chronic cough in patients with idiopathic pulmonary fibrosis (“IPF”).  The Company is also in the planning stages for developing Haduvio in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Haduvio is an oral extended release formulation of nalbuphine. Nalbuphine is a mixed κ-opioid receptor agonist and μ-opioid receptor antagonist that has been approved and marketed as an injectable for pain indications for more than 20 years in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April 22, 2019, the Company filed an amendment to the Company’s amended and restated certificate of incorporation to effect a one-for-9.5 reverse stock split of the Company’s common stock, which resulted in a proportional adjustment to the existing conversion ratios for each series of the Company’s redeemable convertible preferred stock. Accordingly, all share and per share amounts in the Consolidated Financial Statements have been retrospectively adjusted, where applicable, to reflect the effect of the reverse stock split and adjustments of the redeemable convertible preferred stock conversion for all periods presented.   </w:t>
      </w:r>
    </w:p>
    <w:p>
      <w:pPr>
        <w:pStyle w:val="TextBody"/>
        <w:spacing w:before="240" w:after="0"/>
        <w:rPr>
          <w:rFonts w:ascii="Times New Roman" w:hAnsi="Times New Roman"/>
          <w:b w:val="false"/>
          <w:i w:val="false"/>
          <w:caps w:val="false"/>
          <w:smallCaps w:val="false"/>
          <w:color w:val="000000"/>
          <w:sz w:val="20"/>
        </w:rPr>
      </w:pPr>
      <w:bookmarkStart w:id="155" w:name="_Hlk62218802"/>
      <w:bookmarkEnd w:id="155"/>
      <w:r>
        <w:rPr>
          <w:rFonts w:ascii="Times New Roman" w:hAnsi="Times New Roman"/>
          <w:b w:val="false"/>
          <w:i w:val="false"/>
          <w:caps w:val="false"/>
          <w:smallCaps w:val="false"/>
          <w:color w:val="000000"/>
          <w:sz w:val="20"/>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term loan facilities, with proceeds from the Company’s initial public offering (“IPO”) and concurrent private placement completed in May 2019 and with sales of common stock under the Company’s sales agreement with SVB Leerink LLC (the “ATM Sales Agreement”).  The Company has incurred recurring losses since inception, including net losses attributable to the Company of $32.8 million and $26.1 million for the years ended December 31, 2020 and 2019, respectively.  In addition, as of December 31, 2020, the Company had an accumulated deficit of $147.0 million. The Company expects to continue to generate operating losses for the foreseeable future. As of March 25, 2021, the issuance date of these Consolidated Financial Statements, the Company expects that its cash and cash equivalents of $45.0 million as of December 31, 2020, in addition to proceeds from the ATM Sales Agreement subsequent to December 31, 2020, will be sufficient to fund its operating expenses and capital expenditure requirements through at least 12 months from the date of issuance of these Consolidated Financial Statements.</w:t>
      </w:r>
    </w:p>
    <w:tbl>
      <w:tblPr>
        <w:tblW w:w="3955" w:type="dxa"/>
        <w:jc w:val="left"/>
        <w:tblInd w:w="0" w:type="dxa"/>
        <w:tblCellMar>
          <w:top w:w="0" w:type="dxa"/>
          <w:left w:w="0" w:type="dxa"/>
          <w:bottom w:w="0" w:type="dxa"/>
          <w:right w:w="0" w:type="dxa"/>
        </w:tblCellMar>
      </w:tblPr>
      <w:tblGrid>
        <w:gridCol w:w="170"/>
        <w:gridCol w:w="3785"/>
      </w:tblGrid>
      <w:tr>
        <w:trPr/>
        <w:tc>
          <w:tcPr>
            <w:tcW w:w="170"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w:t>
            </w:r>
          </w:p>
        </w:tc>
        <w:tc>
          <w:tcPr>
            <w:tcW w:w="3785" w:type="dxa"/>
            <w:tcBorders/>
            <w:shd w:fill="auto" w:val="clear"/>
          </w:tcPr>
          <w:p>
            <w:pPr>
              <w:pStyle w:val="TableContents"/>
              <w:spacing w:before="360" w:after="0"/>
              <w:rPr>
                <w:rFonts w:ascii="Times New Roman" w:hAnsi="Times New Roman"/>
                <w:b/>
                <w:i w:val="false"/>
                <w:caps w:val="false"/>
                <w:smallCaps w:val="false"/>
                <w:color w:val="000000"/>
                <w:sz w:val="20"/>
              </w:rPr>
            </w:pPr>
            <w:bookmarkStart w:id="156" w:name="_Hlk62568347"/>
            <w:bookmarkEnd w:id="156"/>
            <w:r>
              <w:rPr>
                <w:rFonts w:ascii="Times New Roman" w:hAnsi="Times New Roman"/>
                <w:b/>
                <w:i w:val="false"/>
                <w:caps w:val="false"/>
                <w:smallCaps w:val="false"/>
                <w:color w:val="000000"/>
                <w:sz w:val="20"/>
              </w:rPr>
              <w:t xml:space="preserve">Summary of Significant Accounting Policies </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Basis of Presentation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accompanying Consolidated Financial Statements include the accounts of Trevi Therapeutics, Inc. and its wholly-owned subsidiary Trevi Therapeutics Limited. Intercompany balances and transactions have been eliminated.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amounts presented are in thousands of dollars, except share and per share amounts, unless noted otherwise.  The Company has evaluated events occurring subsequent to December 31, 2020 for potential recognition or disclosure in the Consolidated Financial Statements and concluded there were no subsequent events that required recognition or disclosure other than those provided.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Use of Estimates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preparation of financial statements in conformity with accounting principles generally accepted in the United States of America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research and development expenses (“R&amp;D”)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Cash Equivalents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The Company classifies short-term, highly liquid investments with an original term of three months or less at the date of purchase as cash equivalents.</w:t>
      </w:r>
      <w:r>
        <w:rPr>
          <w:rFonts w:ascii="Times New Roman" w:hAnsi="Times New Roman"/>
          <w:b w:val="false"/>
          <w:i w:val="false"/>
          <w:caps w:val="false"/>
          <w:smallCaps w:val="false"/>
          <w:color w:val="000000"/>
          <w:sz w:val="20"/>
        </w:rPr>
        <w:t xml:space="preserve"> </w:t>
      </w:r>
    </w:p>
    <w:p>
      <w:pPr>
        <w:pStyle w:val="TextBody"/>
        <w:spacing w:before="360" w:after="0"/>
        <w:rPr>
          <w:rFonts w:ascii="Times New Roman" w:hAnsi="Times New Roman"/>
          <w:b/>
          <w:i/>
          <w:caps w:val="false"/>
          <w:smallCaps w:val="false"/>
          <w:color w:val="000000"/>
          <w:sz w:val="20"/>
        </w:rPr>
      </w:pPr>
      <w:bookmarkStart w:id="157" w:name="_Hlk62568935"/>
      <w:bookmarkEnd w:id="157"/>
      <w:r>
        <w:rPr>
          <w:rFonts w:ascii="Times New Roman" w:hAnsi="Times New Roman"/>
          <w:b/>
          <w:i/>
          <w:caps w:val="false"/>
          <w:smallCaps w:val="false"/>
          <w:color w:val="000000"/>
          <w:sz w:val="20"/>
        </w:rPr>
        <w:t xml:space="preserve">Fair Value Measurements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financial instruments have consisted of cash and cash equivalents, tax credit and other receivables, accounts payable, accrued expenses, term loans, term loan derivative liability and obligation for loan success fee (Note 7).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short-term nature of those instruments. The carrying amount of the term loan approximates its fair value due to its floating market-based interest rate. The fair value of the term loan derivative liability is estimated utilizing a probability-weighted cash flow approach (Note 7). The fair value of the obligation for loan success fee was estimated utilizing a probability-weighted income approach, including variables for the timing of the success event and other probability estimates.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Current accounting guidance defines fair value, establishes a framework for measuring fair value in accordance with Accounting Standards Codification (“ASC”) 820, </w:t>
      </w:r>
      <w:r>
        <w:rPr>
          <w:rFonts w:ascii="Times New Roman" w:hAnsi="Times New Roman"/>
          <w:b w:val="false"/>
          <w:i/>
          <w:caps w:val="false"/>
          <w:smallCaps w:val="false"/>
          <w:color w:val="000000"/>
          <w:sz w:val="20"/>
        </w:rPr>
        <w:t>Fair Value Measurements and Disclosures</w:t>
      </w:r>
      <w:r>
        <w:rPr>
          <w:rFonts w:ascii="Times New Roman" w:hAnsi="Times New Roman"/>
          <w:b w:val="false"/>
          <w:i w:val="false"/>
          <w:caps w:val="false"/>
          <w:smallCaps w:val="false"/>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Level 1—Observable inputs—quoted prices in active markets for identical assets and liabilities.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Level 3—Unobservable inputs—includes amounts derived from valuation models where one or more significant inputs are unobservable and require the company to develop relevant assumptions.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summarizes the financial assets and financial liabilities measured at fair value on a recurring basis as of December 31, 2020 and 2019, and the basis for that measurement, by level within the fair value hierarchy (Note 7).  There were no such financial liabilities as of December 31, 2019: </w:t>
      </w:r>
    </w:p>
    <w:p>
      <w:pPr>
        <w:pStyle w:val="TextBody"/>
        <w:spacing w:before="0" w:after="0"/>
        <w:rPr/>
      </w:pPr>
      <w:r>
        <w:rPr/>
        <w:t> </w:t>
      </w:r>
    </w:p>
    <w:tbl>
      <w:tblPr>
        <w:tblW w:w="5858" w:type="dxa"/>
        <w:jc w:val="center"/>
        <w:tblInd w:w="0" w:type="dxa"/>
        <w:tblCellMar>
          <w:top w:w="0" w:type="dxa"/>
          <w:left w:w="0" w:type="dxa"/>
          <w:bottom w:w="28" w:type="dxa"/>
          <w:right w:w="0" w:type="dxa"/>
        </w:tblCellMar>
      </w:tblPr>
      <w:tblGrid>
        <w:gridCol w:w="3485"/>
        <w:gridCol w:w="60"/>
        <w:gridCol w:w="125"/>
        <w:gridCol w:w="590"/>
        <w:gridCol w:w="60"/>
        <w:gridCol w:w="60"/>
        <w:gridCol w:w="210"/>
        <w:gridCol w:w="439"/>
        <w:gridCol w:w="60"/>
        <w:gridCol w:w="60"/>
        <w:gridCol w:w="175"/>
        <w:gridCol w:w="474"/>
        <w:gridCol w:w="60"/>
      </w:tblGrid>
      <w:tr>
        <w:trPr/>
        <w:tc>
          <w:tcPr>
            <w:tcW w:w="34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assets carried at fair value: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44,095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liabilities carried at fair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bottom w:val="sing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2019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top w:val="single" w:sz="6" w:space="0" w:color="000000"/>
            </w:tcBorders>
            <w:shd w:fill="FFFFFF" w:val="clear"/>
            <w:tcMar>
              <w:top w:w="28" w:type="dxa"/>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assets carried at fair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54,593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represents a roll-forward of the fair value of Level 3 instruments (significant unobservable inputs): </w:t>
      </w:r>
    </w:p>
    <w:p>
      <w:pPr>
        <w:pStyle w:val="TextBody"/>
        <w:spacing w:before="0" w:after="0"/>
        <w:rPr/>
      </w:pPr>
      <w:r>
        <w:rPr/>
        <w:t> </w:t>
      </w:r>
    </w:p>
    <w:tbl>
      <w:tblPr>
        <w:tblW w:w="5760" w:type="dxa"/>
        <w:jc w:val="center"/>
        <w:tblInd w:w="0" w:type="dxa"/>
        <w:tblCellMar>
          <w:top w:w="0" w:type="dxa"/>
          <w:left w:w="0" w:type="dxa"/>
          <w:bottom w:w="28" w:type="dxa"/>
          <w:right w:w="0" w:type="dxa"/>
        </w:tblCellMar>
      </w:tblPr>
      <w:tblGrid>
        <w:gridCol w:w="4370"/>
        <w:gridCol w:w="60"/>
        <w:gridCol w:w="125"/>
        <w:gridCol w:w="335"/>
        <w:gridCol w:w="60"/>
        <w:gridCol w:w="60"/>
        <w:gridCol w:w="125"/>
        <w:gridCol w:w="545"/>
        <w:gridCol w:w="80"/>
      </w:tblGrid>
      <w:tr>
        <w:trPr/>
        <w:tc>
          <w:tcPr>
            <w:tcW w:w="43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beginning of year(1)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obligation for loan success fee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obligation for term loan derivative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single" w:sz="6" w:space="0" w:color="000000"/>
            </w:tcBorders>
            <w:shd w:fill="FFFFFF" w:val="clear"/>
          </w:tcPr>
          <w:p>
            <w:pPr>
              <w:pStyle w:val="TableContents"/>
              <w:spacing w:lineRule="auto" w:line="288"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settlements(2)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7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Ending balance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994"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balance at January 1, 2019 relates to the $460 obligation for the loan success fee and the $1,096 fair value of the Series C redeemable convertible preferred stock liability at the time of the third tranche of the Series C Preferred Stock financing in January 2019.</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9999"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net settlements in the year ended December 31, 2019 relate to the $1,096 fair value of the Series C redeemable convertible preferred stock liability at the time of the third tranche of the Series C Preferred Stock financing in January 2019 and the payment of the $675 obligation for the loan success fee in May 2019. </w:t>
            </w:r>
          </w:p>
        </w:tc>
      </w:tr>
    </w:tbl>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Property, Equipment and Leasehold Improvements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Impairment of Long-Lived Assets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ASC 360, </w:t>
      </w:r>
      <w:r>
        <w:rPr>
          <w:rFonts w:ascii="Times New Roman" w:hAnsi="Times New Roman"/>
          <w:b w:val="false"/>
          <w:i/>
          <w:caps w:val="false"/>
          <w:smallCaps w:val="false"/>
          <w:color w:val="000000"/>
          <w:sz w:val="20"/>
        </w:rPr>
        <w:t xml:space="preserve">Property, Plant, and Equipment, </w:t>
      </w:r>
      <w:r>
        <w:rPr>
          <w:rFonts w:ascii="Times New Roman" w:hAnsi="Times New Roman"/>
          <w:b w:val="false"/>
          <w:i w:val="false"/>
          <w:caps w:val="false"/>
          <w:smallCaps w:val="false"/>
          <w:color w:val="000000"/>
          <w:sz w:val="20"/>
        </w:rPr>
        <w:t>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 There was no impairment or disposal of long-lived assets during the years ended December 31, 2020 and 2019, respectively.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Foreign Currency Transactions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at times, contracts with vendors and consultants outside of the United States, resulting in liabilities denominated in foreign currency. The transactions are recorded in U.S. dollars on the transaction dates and any currency fluctuation through the payment date is recorded as currency gains or losses in the Consolidated Statements of Operations. Net foreign currency gains and losses in 2020 and 2019 were insignificant.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Deferred Offering Costs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relating to the Company’s ATM Sales Agreement were $284 as of December 31, 2020, excluding $105, which has been recorded as a reduction to stockholders’ equity in connection with sales under the agreement. The Company’s IPO was completed in May 2019 and IPO costs incurred in 2019 were recorded as a reduction to stockholders’ equity.  As a result, deferred offering costs were $0 as of December 31, 2019.</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Research and Development Expenses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All of the Company’s research and development expenses consist of expenses incurred in connection with the development of Haduvio. These expenses include certain payroll and personnel expenses, including stock-based compensation, consulting costs, contract manufacturing costs and fees paid to clinical research organizations (“CROs”) to conduct certain research and development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research and development expenses as they are incurred.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Accrued Research and Development Expenses</w:t>
      </w:r>
    </w:p>
    <w:p>
      <w:pPr>
        <w:pStyle w:val="TextBody"/>
        <w:spacing w:before="120" w:after="0"/>
        <w:rPr>
          <w:rFonts w:ascii="Times New Roman" w:hAnsi="Times New Roman"/>
          <w:b w:val="false"/>
          <w:i w:val="false"/>
          <w:caps w:val="false"/>
          <w:smallCaps w:val="false"/>
          <w:color w:val="000000"/>
          <w:sz w:val="20"/>
        </w:rPr>
      </w:pPr>
      <w:bookmarkStart w:id="158" w:name="_Hlk65509686"/>
      <w:bookmarkEnd w:id="158"/>
      <w:r>
        <w:rPr>
          <w:rFonts w:ascii="Times New Roman" w:hAnsi="Times New Roman"/>
          <w:b w:val="false"/>
          <w:i w:val="false"/>
          <w:caps w:val="false"/>
          <w:smallCaps w:val="false"/>
          <w:color w:val="000000"/>
          <w:sz w:val="20"/>
        </w:rPr>
        <w:t>The Company has entered into agreements with CROs, contract manufacturing organizations (“CMOs”) and other companies that provide services in connection with the Company’s research and development activities.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Consolidated Balance Sheet.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non-current deposits, as applicable, and are recognized as expenses as the goods are delivered or the related services are performed.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Patent Costs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All patent-related costs in connection with filing and prosecuting patent applications are expensed to general and administrative expense as incurred, as recoverability of such expenditures is uncertain.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Stock-Based Compensation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accounts for stock-based compensation arrangements with employees and non-employees for consultancy services in accordance with ASC 718, </w:t>
      </w:r>
      <w:r>
        <w:rPr>
          <w:rFonts w:ascii="Times New Roman" w:hAnsi="Times New Roman"/>
          <w:b w:val="false"/>
          <w:i/>
          <w:caps w:val="false"/>
          <w:smallCaps w:val="false"/>
          <w:color w:val="000000"/>
          <w:sz w:val="20"/>
        </w:rPr>
        <w:t>Stock Compensation</w:t>
      </w:r>
      <w:r>
        <w:rPr>
          <w:rFonts w:ascii="Times New Roman" w:hAnsi="Times New Roman"/>
          <w:b w:val="false"/>
          <w:i w:val="false"/>
          <w:caps w:val="false"/>
          <w:smallCaps w:val="false"/>
          <w:color w:val="000000"/>
          <w:sz w:val="20"/>
        </w:rPr>
        <w:t xml:space="preserve"> (“ASC 718”). ASC 718 requires the recognition of compensation expense, using a fair value based method, for costs related to all stock-based payments including stock options. The Company’s determination of the fair value of stock options on the date of grant utilizes the Black-Scholes option-pricing model for stock options with time-based vesting, and is impacted by the price of its common stock as well as changes in assumptions regarding a number of complex and subjective variables. These variables include expected term that options will remain outstanding, expected common stock price volatility over the term of the option awards, risk-free interest rates and expected dividends.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fair value is recognized over the period during which an optionee is required to provide services in exchange for the option award, known as the requisite service period (usually the vesting period) on a straight-line basis. Forfeitures are accounted for as they occur.</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analysis and judgment to develop.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Expected Term—The expected term assumption represents the weighted average period that the stock-based awards are expected to be outstanding. The Company has elected to use the “simplified method” for estimating the expected term of the options, whereby the expected term equals the arithmetic average of the vesting term and the original contractual term of the option.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Expected Dividend—The Black-Scholes valuation model calls for a single expected dividend yield as an input. The Company currently has no history or expectation of paying cash dividends on its common stock.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Risk-Free Interest Rate—The risk-free interest rate is based on the yield available on U.S. Treasury zero-coupon issues similar in duration to the expected term of the equity-settled award.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Prior to the Company’s IPO in May 2019, the estimated fair value of the common stock underlying the Company’s stock options was determined at each grant date by the Company’s board of directors, with input from management. All options to purchase shares of common stock were intended to be exercisable at a price per share not less than the per share fair value of the Company’s common stock underlying those options on the date of grant.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absence of a public trading market for the Company’s common stock prior to the Company’s IPO in May 2019, on each grant date, the Company developed an estimate of the fair value of its common stock based on the information known to the Company on the date of grant, upon a review of any recent events and their potential impact on the estimated fair value per share of the common stock, and in part on input from an independent third-party valuation. As is provided for in Section 409A of the Internal Revenue Code of 1986, as amended (the “Code”), the Company generally relied on valuations for up to twelve months unless the Company had experienced a material event that would have affected the estimated fair value of its common stock.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valuations of the Company’s common stock performed prior to the Company’s IPO in May 2019, were determined in accordance with the guidelines outlined in the American Institute of Certified Public Accountants Practice Aid, Valuation of Privately-Held-Company Equity Securities Issued as Compensation (the “Practice Aid”). The methodology to determine the fair value of common stock included estimating the fair value of the enterprise using a market approach, which estimates the fair value of the Company by including an estimation of the value of the business based on guideline public companies under a number of different scenarios. The assumptions used to determine the estimated fair value of the Company’s common stock were based on numerous objective and subjective factors, combined with management judgment, including external market conditions affecting the pharmaceutical and biotechnology industry and trends within the industry; the Company’s stage of development; the rights, preferences and privileges of the Company’s convertible preferred stock relative to those of the Company’s common stock; the prices at which the Company sold shares of convertible preferred stock; the Company’s financial condition and operating results, including the Company’s levels of available capital resources; the progress of the Company’s research and development efforts, stage of development and business strategy; equity market conditions affecting comparable public companies; general U.S. market conditions; and the lack of marketability of the Company’s common stock.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 </w:t>
      </w:r>
    </w:p>
    <w:p>
      <w:pPr>
        <w:pStyle w:val="TextBody"/>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Option Pricing Method (“OPM”)—The OPM treats common stock and convertible preferred stock as call options on the total equity value of a company, with exercise prices based on the value thresholds at which the allocation among the various holders of a company’s securities changes. Under this method,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F-11</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 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Probability Weighted Expected Return Method (“PWERM”)—Under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Hybrid Method—The hybrid method is a PWERM where the equity value in one of the scenarios is calculated using an OPM. In the hybrid method used by the Company, it considered an IPO as the other potential future liquidity event. The equity value for the IPO scenario was determined using the guideline public company (“GPC”), method under the market approach. The relative probability of the IPO scenario was determined based on an analysis of market conditions at the time and expectations as to the timing and likely prospects of the IPO at each valuation date. In application of the GPC method, the Company considered publicly traded companies in the biopharmaceutical industry that had a similar profile to the Company’s as well as recently completed IPOs as indicators of estimated future value in an IPO. The Company then discounted that future value back to the valuation date at an appropriate discount rate.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determining the estimated fair value of the Company’s common stock prior to Company’s IPO in May 2019, the board of directors considered the fact that the Company’s stockholders could not freely trade the Company’s common stock in the public markets. Accordingly, the Company’s board of directors applied discounts to reflect the lack of marketability of common stock based on the weighted-average expected time to liquidity. The estimated fair value of the Company’s common stock at each grant date reflected a non-marketability discount partially based on the anticipated likelihood and timing of a future liquidity event.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Subsequent to the completion of the Company’s IPO in May 2019, the </w:t>
      </w:r>
      <w:r>
        <w:rPr>
          <w:rFonts w:ascii="Times New Roman" w:hAnsi="Times New Roman"/>
          <w:b w:val="false"/>
          <w:i w:val="false"/>
          <w:caps w:val="false"/>
          <w:smallCaps w:val="false"/>
          <w:color w:val="000000"/>
          <w:sz w:val="20"/>
          <w:highlight w:val="white"/>
        </w:rPr>
        <w:t>fair value of the Company’s common stock has been determined based on the closing price of the Company’s common stock as reported on the date of grant on the primary stock exchange on which the Company’s common stock is traded.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Income Taxes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applies the provisions of ASC 740, </w:t>
      </w:r>
      <w:r>
        <w:rPr>
          <w:rFonts w:ascii="Times New Roman" w:hAnsi="Times New Roman"/>
          <w:b w:val="false"/>
          <w:i/>
          <w:caps w:val="false"/>
          <w:smallCaps w:val="false"/>
          <w:color w:val="000000"/>
          <w:sz w:val="20"/>
        </w:rPr>
        <w:t>Income Taxe</w:t>
      </w:r>
      <w:r>
        <w:rPr>
          <w:rFonts w:ascii="Times New Roman" w:hAnsi="Times New Roman"/>
          <w:b w:val="false"/>
          <w:i w:val="false"/>
          <w:caps w:val="false"/>
          <w:smallCaps w:val="false"/>
          <w:color w:val="000000"/>
          <w:sz w:val="20"/>
        </w:rPr>
        <w:t xml:space="preserve">s (“ASC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It is the opinion of Company management that there are no material uncertainties regarding the tax positions that the Company has taken through December 31, 2020 and December 31, 2019. The Company does not have any interest or penalties accrued related to tax positions as it does not have any unrecognized tax benefits. In the event the Company determines that accrual of interest or penalties are necessary in the future, the amount will be presented as a component of interest expense.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Redeemable Convertible Preferred Shares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Prior to the Company’s IPO in May 2019, shares of the Company’s redeemable convertible preferred stock were redeemable at the option of the holder on or after July 14, 2020 and carried a cumulative coupon dividend rate of 6%. The redemption amount was the </w:t>
      </w:r>
      <w:r>
        <w:rPr>
          <w:rFonts w:ascii="Times New Roman" w:hAnsi="Times New Roman"/>
          <w:b w:val="false"/>
          <w:i w:val="false"/>
          <w:caps w:val="false"/>
          <w:smallCaps w:val="false"/>
          <w:color w:val="000000"/>
          <w:sz w:val="20"/>
          <w:highlight w:val="white"/>
        </w:rPr>
        <w:t xml:space="preserve">greater of the liquidation value (invested amount plus accruing dividends) or the fair value of the shares of preferred stock on the date of redemption. The Company was accounting for its shares of preferred stock under the requirements of ASC 480, </w:t>
      </w:r>
      <w:r>
        <w:rPr>
          <w:rFonts w:ascii="Times New Roman" w:hAnsi="Times New Roman"/>
          <w:b w:val="false"/>
          <w:i/>
          <w:caps w:val="false"/>
          <w:smallCaps w:val="false"/>
          <w:color w:val="000000"/>
          <w:sz w:val="20"/>
        </w:rPr>
        <w:t>Distinguishing Liabilities from Equity</w:t>
      </w:r>
      <w:r>
        <w:rPr>
          <w:rFonts w:ascii="Times New Roman" w:hAnsi="Times New Roman"/>
          <w:b w:val="false"/>
          <w:i w:val="false"/>
          <w:caps w:val="false"/>
          <w:smallCaps w:val="false"/>
          <w:color w:val="000000"/>
          <w:sz w:val="20"/>
          <w:highlight w:val="white"/>
        </w:rPr>
        <w:t xml:space="preserve"> (“ASC 480”), which establishes standards for how an issuer classifies and measures certain financial instruments with characteristics of both liabilities and equity. The carrying value of the shares of preferred stock was presented as temporary equity and was adjusted by periodic accretions so that the carrying amount would equal the redemption amount at the estimated date that the shares of preferred stock would be redeemed. These adjustments were effected through charges against additional paid-in capital, to the extent it was available, or accumulated deficit. For all preferred stock issuances, the difference between the amount invested by the holders of the shares of preferred stock, net of issuance costs and premiums (or discounts), as compared to the redemption value was recorded as accretion over the redemption period of the shares of preferred stock. The accretion was added to net loss to arrive at the net loss available to common stockholders in the calculation of net loss per common share.  </w:t>
      </w:r>
      <w:r>
        <w:rPr>
          <w:rFonts w:ascii="Times New Roman" w:hAnsi="Times New Roman"/>
          <w:b w:val="false"/>
          <w:i w:val="false"/>
          <w:caps w:val="false"/>
          <w:smallCaps w:val="false"/>
          <w:color w:val="000000"/>
          <w:sz w:val="20"/>
        </w:rPr>
        <w:t>All redeemable convertible preferred stock shares were converted into common stock as of the date of the Company’s IPO.</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Basic and Diluted Net Income (Loss) per Common Share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(“Series A Preferred Stock”), shares of Series B redeemable convertible preferred stock (“Series B Preferred Stock”), shares of Series C redeemable convertible preferred stock (“Series C Preferred Stock”), if any, and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Segments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one reporting segment which is also the Company’s only operating segment.  Management uses one measurement of profitability and does not segregate its business for internal reporting. All long-lived assets are maintained in the United States.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Recently Adopted Accounting Pronouncements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have been no new accounting pronouncements adopted during the year ended December 31, 2020.</w:t>
      </w:r>
    </w:p>
    <w:p>
      <w:pPr>
        <w:pStyle w:val="TextBody"/>
        <w:spacing w:before="0" w:after="0"/>
        <w:rPr/>
      </w:pPr>
      <w:r>
        <w:rPr/>
        <w:t> </w:t>
      </w:r>
    </w:p>
    <w:p>
      <w:pPr>
        <w:pStyle w:val="TextBody"/>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Recently Issued Accounting Pronouncements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have been no new accounting pronouncements issued during the year ended December 31, 2020, which could be expected to materially impact the Company’s Consolidated Financial Statements.</w:t>
      </w:r>
    </w:p>
    <w:tbl>
      <w:tblPr>
        <w:tblW w:w="1735" w:type="dxa"/>
        <w:jc w:val="left"/>
        <w:tblInd w:w="0" w:type="dxa"/>
        <w:tblCellMar>
          <w:top w:w="0" w:type="dxa"/>
          <w:left w:w="0" w:type="dxa"/>
          <w:bottom w:w="0" w:type="dxa"/>
          <w:right w:w="0" w:type="dxa"/>
        </w:tblCellMar>
      </w:tblPr>
      <w:tblGrid>
        <w:gridCol w:w="170"/>
        <w:gridCol w:w="1565"/>
      </w:tblGrid>
      <w:tr>
        <w:trPr/>
        <w:tc>
          <w:tcPr>
            <w:tcW w:w="170"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w:t>
            </w:r>
          </w:p>
        </w:tc>
        <w:tc>
          <w:tcPr>
            <w:tcW w:w="1565"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Prepaid Expenses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consist of the following:</w:t>
      </w:r>
    </w:p>
    <w:p>
      <w:pPr>
        <w:pStyle w:val="TextBody"/>
        <w:spacing w:before="0" w:after="0"/>
        <w:rPr/>
      </w:pPr>
      <w:r>
        <w:rPr/>
        <w:t> </w:t>
      </w:r>
    </w:p>
    <w:tbl>
      <w:tblPr>
        <w:tblW w:w="3818" w:type="dxa"/>
        <w:jc w:val="center"/>
        <w:tblInd w:w="0" w:type="dxa"/>
        <w:tblCellMar>
          <w:top w:w="0" w:type="dxa"/>
          <w:left w:w="0" w:type="dxa"/>
          <w:bottom w:w="28" w:type="dxa"/>
          <w:right w:w="0" w:type="dxa"/>
        </w:tblCellMar>
      </w:tblPr>
      <w:tblGrid>
        <w:gridCol w:w="2270"/>
        <w:gridCol w:w="60"/>
        <w:gridCol w:w="133"/>
        <w:gridCol w:w="517"/>
        <w:gridCol w:w="64"/>
        <w:gridCol w:w="64"/>
        <w:gridCol w:w="133"/>
        <w:gridCol w:w="517"/>
        <w:gridCol w:w="60"/>
      </w:tblGrid>
      <w:tr>
        <w:trPr/>
        <w:tc>
          <w:tcPr>
            <w:tcW w:w="22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59" w:name="_Hlk64564246"/>
            <w:bookmarkEnd w:id="159"/>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2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R&amp;D payments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corporate insurance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562</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1,003</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F-13</w:t>
      </w:r>
    </w:p>
    <w:p>
      <w:pPr>
        <w:pStyle w:val="HorizontalLine"/>
        <w:rPr/>
      </w:pPr>
      <w:r>
        <w:rPr/>
      </w:r>
    </w:p>
    <w:p>
      <w:pPr>
        <w:pStyle w:val="TextBody"/>
        <w:spacing w:before="0" w:after="0"/>
        <w:rPr/>
      </w:pPr>
      <w:r>
        <w:rPr/>
        <w:t> </w:t>
      </w:r>
    </w:p>
    <w:tbl>
      <w:tblPr>
        <w:tblW w:w="760" w:type="dxa"/>
        <w:jc w:val="left"/>
        <w:tblInd w:w="0" w:type="dxa"/>
        <w:tblCellMar>
          <w:top w:w="0" w:type="dxa"/>
          <w:left w:w="0" w:type="dxa"/>
          <w:bottom w:w="0" w:type="dxa"/>
          <w:right w:w="0" w:type="dxa"/>
        </w:tblCellMar>
      </w:tblPr>
      <w:tblGrid>
        <w:gridCol w:w="170"/>
        <w:gridCol w:w="590"/>
      </w:tblGrid>
      <w:tr>
        <w:trPr/>
        <w:tc>
          <w:tcPr>
            <w:tcW w:w="170"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w:t>
            </w:r>
          </w:p>
        </w:tc>
        <w:tc>
          <w:tcPr>
            <w:tcW w:w="590"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Leases</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The incremental borrowing rate used on existing leases as of December 31, 2020 was 13.0% .  The right-of-use asset also includes any lease payments related to initial direct costs and prepayments, and excludes lease incentives.  Lease expense is recognized on a straight line basis over the lease term.  The Company had no new leases during the years ended December 31, 2020 and 2019.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operating leases consist of real estate and equipment and have remaining terms of approximately 2 years and 3 months. The Company has no financing leases. The following table summarizes the Company’s operating leases as presented on its Consolidated Balance Sheets:</w:t>
      </w:r>
    </w:p>
    <w:p>
      <w:pPr>
        <w:pStyle w:val="TextBody"/>
        <w:spacing w:before="0" w:after="0"/>
        <w:rPr/>
      </w:pPr>
      <w:r>
        <w:rPr/>
        <w:t> </w:t>
      </w:r>
    </w:p>
    <w:tbl>
      <w:tblPr>
        <w:tblW w:w="5166" w:type="dxa"/>
        <w:jc w:val="center"/>
        <w:tblInd w:w="0" w:type="dxa"/>
        <w:tblCellMar>
          <w:top w:w="0" w:type="dxa"/>
          <w:left w:w="0" w:type="dxa"/>
          <w:bottom w:w="28" w:type="dxa"/>
          <w:right w:w="0" w:type="dxa"/>
        </w:tblCellMar>
      </w:tblPr>
      <w:tblGrid>
        <w:gridCol w:w="3620"/>
        <w:gridCol w:w="60"/>
        <w:gridCol w:w="171"/>
        <w:gridCol w:w="460"/>
        <w:gridCol w:w="82"/>
        <w:gridCol w:w="82"/>
        <w:gridCol w:w="171"/>
        <w:gridCol w:w="460"/>
        <w:gridCol w:w="60"/>
      </w:tblGrid>
      <w:tr>
        <w:trPr/>
        <w:tc>
          <w:tcPr>
            <w:tcW w:w="36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60" w:name="_Hlk65850412"/>
            <w:bookmarkEnd w:id="160"/>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doub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 portion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long term portion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20" w:type="dxa"/>
            <w:tcBorders>
              <w:bottom w:val="double" w:sz="6" w:space="0" w:color="000000"/>
            </w:tcBorders>
            <w:shd w:fill="FFFFFF" w:val="cle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liabilities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Future minimum lease payments under the operating leases are as follows as of December 31, 2020:</w:t>
      </w:r>
    </w:p>
    <w:p>
      <w:pPr>
        <w:pStyle w:val="TextBody"/>
        <w:spacing w:before="0" w:after="0"/>
        <w:rPr/>
      </w:pPr>
      <w:r>
        <w:rPr/>
        <w:t> </w:t>
      </w:r>
    </w:p>
    <w:tbl>
      <w:tblPr>
        <w:tblW w:w="5114" w:type="dxa"/>
        <w:jc w:val="center"/>
        <w:tblInd w:w="0" w:type="dxa"/>
        <w:tblCellMar>
          <w:top w:w="0" w:type="dxa"/>
          <w:left w:w="0" w:type="dxa"/>
          <w:bottom w:w="28" w:type="dxa"/>
          <w:right w:w="0" w:type="dxa"/>
        </w:tblCellMar>
      </w:tblPr>
      <w:tblGrid>
        <w:gridCol w:w="3545"/>
        <w:gridCol w:w="60"/>
        <w:gridCol w:w="388"/>
        <w:gridCol w:w="1041"/>
        <w:gridCol w:w="80"/>
      </w:tblGrid>
      <w:tr>
        <w:trPr/>
        <w:tc>
          <w:tcPr>
            <w:tcW w:w="35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bookmarkStart w:id="161" w:name="_Hlk64564248"/>
            <w:bookmarkEnd w:id="161"/>
            <w:r>
              <w:rPr>
                <w:rFonts w:ascii="Times New Roman" w:hAnsi="Times New Roman"/>
                <w:b w:val="false"/>
                <w:i w:val="false"/>
                <w:caps w:val="false"/>
                <w:smallCaps w:val="false"/>
                <w:color w:val="000000"/>
                <w:sz w:val="20"/>
              </w:rPr>
              <w:t>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payments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discount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Carrying value of operating lease liabilities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Lease expense under operating leases, including leases of office equipment, was $124 for each of the years ended December 31, 2020 and 2019. Lease payments made were $138 and $125 in the years ended December 31, 2020 and 2019, respectively, with such amounts reflected in the Consolidated Statements of Cash Flows in operating activities.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F-14</w:t>
      </w:r>
    </w:p>
    <w:p>
      <w:pPr>
        <w:pStyle w:val="HorizontalLine"/>
        <w:rPr/>
      </w:pPr>
      <w:r>
        <w:rPr/>
      </w:r>
    </w:p>
    <w:p>
      <w:pPr>
        <w:pStyle w:val="TextBody"/>
        <w:spacing w:before="0" w:after="0"/>
        <w:rPr/>
      </w:pPr>
      <w:r>
        <w:rPr/>
        <w:t> </w:t>
      </w:r>
    </w:p>
    <w:tbl>
      <w:tblPr>
        <w:tblW w:w="4900" w:type="dxa"/>
        <w:jc w:val="left"/>
        <w:tblInd w:w="0" w:type="dxa"/>
        <w:tblCellMar>
          <w:top w:w="0" w:type="dxa"/>
          <w:left w:w="0" w:type="dxa"/>
          <w:bottom w:w="0" w:type="dxa"/>
          <w:right w:w="0" w:type="dxa"/>
        </w:tblCellMar>
      </w:tblPr>
      <w:tblGrid>
        <w:gridCol w:w="170"/>
        <w:gridCol w:w="4730"/>
      </w:tblGrid>
      <w:tr>
        <w:trPr/>
        <w:tc>
          <w:tcPr>
            <w:tcW w:w="170" w:type="dxa"/>
            <w:tcBorders/>
            <w:shd w:fill="auto" w:val="clear"/>
          </w:tcPr>
          <w:p>
            <w:pPr>
              <w:pStyle w:val="TableContents"/>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w:t>
            </w:r>
          </w:p>
        </w:tc>
        <w:tc>
          <w:tcPr>
            <w:tcW w:w="4730" w:type="dxa"/>
            <w:tcBorders/>
            <w:shd w:fill="auto" w:val="clear"/>
          </w:tcPr>
          <w:p>
            <w:pPr>
              <w:pStyle w:val="TableContents"/>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Property, Equipment and Leasehold Improvements, Net</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equipment and leasehold improvements, net consist of the following:  </w:t>
      </w:r>
    </w:p>
    <w:p>
      <w:pPr>
        <w:pStyle w:val="TextBody"/>
        <w:spacing w:before="0" w:after="0"/>
        <w:rPr/>
      </w:pPr>
      <w:r>
        <w:rPr/>
        <w:t> </w:t>
      </w:r>
    </w:p>
    <w:p>
      <w:pPr>
        <w:pStyle w:val="TextBody"/>
        <w:spacing w:before="0" w:after="0"/>
        <w:rPr/>
      </w:pPr>
      <w:r>
        <w:rPr/>
        <w:t> </w:t>
      </w:r>
    </w:p>
    <w:tbl>
      <w:tblPr>
        <w:tblW w:w="5982" w:type="dxa"/>
        <w:jc w:val="center"/>
        <w:tblInd w:w="0" w:type="dxa"/>
        <w:tblCellMar>
          <w:top w:w="0" w:type="dxa"/>
          <w:left w:w="0" w:type="dxa"/>
          <w:bottom w:w="28" w:type="dxa"/>
          <w:right w:w="0" w:type="dxa"/>
        </w:tblCellMar>
      </w:tblPr>
      <w:tblGrid>
        <w:gridCol w:w="4415"/>
        <w:gridCol w:w="60"/>
        <w:gridCol w:w="159"/>
        <w:gridCol w:w="504"/>
        <w:gridCol w:w="102"/>
        <w:gridCol w:w="76"/>
        <w:gridCol w:w="159"/>
        <w:gridCol w:w="427"/>
        <w:gridCol w:w="80"/>
      </w:tblGrid>
      <w:tr>
        <w:trPr/>
        <w:tc>
          <w:tcPr>
            <w:tcW w:w="44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62" w:name="_Hlk65850413"/>
            <w:bookmarkEnd w:id="162"/>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63" w:name="_Hlk64564249"/>
            <w:bookmarkEnd w:id="163"/>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 website development and office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10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1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10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Depreciation was $47 and $39 for the years ended December 31, 2020 and 2019, respectively. </w:t>
      </w:r>
    </w:p>
    <w:tbl>
      <w:tblPr>
        <w:tblW w:w="1810" w:type="dxa"/>
        <w:jc w:val="left"/>
        <w:tblInd w:w="0" w:type="dxa"/>
        <w:tblCellMar>
          <w:top w:w="0" w:type="dxa"/>
          <w:left w:w="0" w:type="dxa"/>
          <w:bottom w:w="0" w:type="dxa"/>
          <w:right w:w="0" w:type="dxa"/>
        </w:tblCellMar>
      </w:tblPr>
      <w:tblGrid>
        <w:gridCol w:w="170"/>
        <w:gridCol w:w="1640"/>
      </w:tblGrid>
      <w:tr>
        <w:trPr/>
        <w:tc>
          <w:tcPr>
            <w:tcW w:w="170"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w:t>
            </w:r>
          </w:p>
        </w:tc>
        <w:tc>
          <w:tcPr>
            <w:tcW w:w="1640"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Accrued Expenses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 consist of the following:</w:t>
      </w:r>
    </w:p>
    <w:p>
      <w:pPr>
        <w:pStyle w:val="TextBody"/>
        <w:spacing w:before="0" w:after="0"/>
        <w:rPr/>
      </w:pPr>
      <w:r>
        <w:rPr/>
        <w:t> </w:t>
      </w:r>
    </w:p>
    <w:tbl>
      <w:tblPr>
        <w:tblW w:w="4898" w:type="dxa"/>
        <w:jc w:val="center"/>
        <w:tblInd w:w="0" w:type="dxa"/>
        <w:tblCellMar>
          <w:top w:w="0" w:type="dxa"/>
          <w:left w:w="0" w:type="dxa"/>
          <w:bottom w:w="28" w:type="dxa"/>
          <w:right w:w="0" w:type="dxa"/>
        </w:tblCellMar>
      </w:tblPr>
      <w:tblGrid>
        <w:gridCol w:w="3350"/>
        <w:gridCol w:w="60"/>
        <w:gridCol w:w="133"/>
        <w:gridCol w:w="517"/>
        <w:gridCol w:w="64"/>
        <w:gridCol w:w="64"/>
        <w:gridCol w:w="133"/>
        <w:gridCol w:w="517"/>
        <w:gridCol w:w="60"/>
      </w:tblGrid>
      <w:tr>
        <w:trPr/>
        <w:tc>
          <w:tcPr>
            <w:tcW w:w="33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R&amp;D projects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1,754</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consulting and professional fees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560</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 and benefits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954</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3,426</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3,501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580" w:type="dxa"/>
        <w:jc w:val="left"/>
        <w:tblInd w:w="0" w:type="dxa"/>
        <w:tblCellMar>
          <w:top w:w="0" w:type="dxa"/>
          <w:left w:w="0" w:type="dxa"/>
          <w:bottom w:w="0" w:type="dxa"/>
          <w:right w:w="0" w:type="dxa"/>
        </w:tblCellMar>
      </w:tblPr>
      <w:tblGrid>
        <w:gridCol w:w="170"/>
        <w:gridCol w:w="410"/>
      </w:tblGrid>
      <w:tr>
        <w:trPr/>
        <w:tc>
          <w:tcPr>
            <w:tcW w:w="170"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w:t>
            </w:r>
          </w:p>
        </w:tc>
        <w:tc>
          <w:tcPr>
            <w:tcW w:w="410"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Debt</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Silicon Valley Bank Term Loan</w:t>
      </w:r>
    </w:p>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20"/>
        </w:rPr>
      </w:pPr>
      <w:bookmarkStart w:id="164" w:name="_AEIOULastRenderedPageBreakAEIOU14"/>
      <w:bookmarkEnd w:id="164"/>
      <w:r>
        <w:rPr>
          <w:rFonts w:ascii="Times New Roman" w:hAnsi="Times New Roman"/>
          <w:b w:val="false"/>
          <w:i w:val="false"/>
          <w:caps w:val="false"/>
          <w:smallCaps w:val="false"/>
          <w:color w:val="000000"/>
          <w:sz w:val="20"/>
        </w:rPr>
        <w:t xml:space="preserve">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Company may use the proceeds from the SVB Term Loan for working capital and general corporate purposes. The SVB Term Loan bears interest at a floating rate per annum equal to the greater of (A) the prime rate plus 1.00% and (B) 4.25%. If SVB receives evidence satisfactory to it that the Company has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will be adjusted to a floating rate equal to the greater of (A) the prime rate plus 3.00% and (B) 6.25% (see term loan derivative liability discussion below). On the first business day of each month, the Company will be required to make monthly interest payments and commencing on March 1, 2022,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 If the Company fails to meet certain equity raise requirements under the SVB Loan Agreement, it will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F-15</w:t>
      </w:r>
    </w:p>
    <w:p>
      <w:pPr>
        <w:pStyle w:val="HorizontalLine"/>
        <w:rPr/>
      </w:pPr>
      <w:r>
        <w:rPr/>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 required to deposit unrestricted and unencumbered cash equal to 100% of the principal amount of the SVB Term Loan then outstanding in a cash 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w:t>
      </w:r>
    </w:p>
    <w:p>
      <w:pPr>
        <w:pStyle w:val="TextBody"/>
        <w:spacing w:before="0" w:after="0"/>
        <w:rPr>
          <w:caps w:val="false"/>
          <w:smallCaps w:val="false"/>
          <w:color w:val="000000"/>
        </w:rPr>
      </w:pPr>
      <w:r>
        <w:rPr>
          <w:caps w:val="false"/>
          <w:smallCaps w:val="false"/>
          <w:color w:val="000000"/>
        </w:rPr>
        <w:t> </w:t>
      </w:r>
    </w:p>
    <w:p>
      <w:pPr>
        <w:pStyle w:val="TextBody"/>
        <w:spacing w:before="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August 2020, in connection with the SVB Term Loan, the Company paid $57 in financing costs to a third party, which were recorded as deferred charges—loan and will be amortized over the life of the SVB Term Loan using the effective interest method. Amortization of these deferred financing charges totaled $9 for the year ended December 31, 2020, and is included in interest expense in the Company’s Consolidated Statements of Operations. Loan discount—unamortized deferred charges totaled $48 for the year ended December 31, 2020, and is included as a direct reduction of the carrying value of the term loan payable on the Company’s Consolidated Balance Sheet.</w:t>
      </w:r>
    </w:p>
    <w:p>
      <w:pPr>
        <w:pStyle w:val="TextBody"/>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August 2020, in connection with the execution of the SVB Loan Agreement, the Company paid $27 in financing costs to SVB, which were recorded as loan discounts. These loan discounts are included as a reduction in the balance of the term loan payable on the Company’s Consolidated Balance Sheet and will be accreted over the life of the SVB Term Loan using the effective interest method. Accretion of these loan discounts totaled $4 for the year ended December 31, 2020, and is included in interest expense in the Company’s Consolidated Statements of Operations. At December 31, 2020 the loan discount-financing costs balance was $23.</w:t>
      </w:r>
    </w:p>
    <w:p>
      <w:pPr>
        <w:pStyle w:val="TextBody"/>
        <w:spacing w:before="40" w:after="0"/>
        <w:rPr/>
      </w:pPr>
      <w:r>
        <w:rPr/>
        <w:t> </w:t>
      </w:r>
    </w:p>
    <w:p>
      <w:pPr>
        <w:pStyle w:val="TextBody"/>
        <w:spacing w:before="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Consolidated Balance Sheet. For the year ended December 31, 2020, $183 was accrued for the final payment fee, with such amount included in interest expense in the Company’s Consolidated Statements of Operations. </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Upon the occurrence of the Phase 3 Event, the interest rate on the SVB Term Loan will increase by 2.00% (the “Contingent Interest Rate Increase”) as described above. The Contingent Interest Rate Increase represents a free-standing financial instrument. Accordingly, the Company accounted for the Contingent Interest Rate Increase as a derivative under ASC 815, </w:t>
      </w:r>
      <w:r>
        <w:rPr>
          <w:rFonts w:ascii="Times New Roman" w:hAnsi="Times New Roman"/>
          <w:b w:val="false"/>
          <w:i/>
          <w:caps w:val="false"/>
          <w:smallCaps w:val="false"/>
          <w:color w:val="000000"/>
          <w:sz w:val="20"/>
        </w:rPr>
        <w:t>Derivatives and Hedging</w:t>
      </w:r>
      <w:r>
        <w:rPr>
          <w:rFonts w:ascii="Times New Roman" w:hAnsi="Times New Roman"/>
          <w:b w:val="false"/>
          <w:i w:val="false"/>
          <w:caps w:val="false"/>
          <w:smallCaps w:val="false"/>
          <w:color w:val="000000"/>
          <w:sz w:val="20"/>
        </w:rPr>
        <w:t>, and therefore, recorded a term loan derivative liability for the Contingent Interest Rate Increase at its fair value of $187 on the Effective Date of the SVB Loan Agreement. The Company adjusts this liability to fair value at each reporting date it remains outstanding, with such adjustments recorded as non-cash charges in other income (expense) in the Company’s Consolidated Statements of Operations. The total fair value of this liability was determined to be $196 at December 31, 2020. The change in fair value of the term loan derivative liability as of December 31, 2020 as compared to the fair value at its last measurement date (its date of inception) was $9. The term loan derivative liability is presented as a non-current liability in the Company’s Consolidated Balance Sheet as of December 31, 2020. Upon recording such term loan derivative liability, the Company also recorded an offsetting term loan discount – interest, to be amortized to interest expense in the Company’s Consolidated Statements of Operations through the SVB Term Loan’s maturity date using the effective interest method.  Such amortization was $29 for the year ended December 31, 2020.  At December 31, 2020, the balance of the term loan discount – interest was $158 and is included as a reduction in the balance of the term loan payable on the Company’s Consolidated Balance Sheet as of December 31, 2020.</w:t>
      </w:r>
    </w:p>
    <w:p>
      <w:pPr>
        <w:pStyle w:val="TextBody"/>
        <w:spacing w:before="240" w:after="0"/>
        <w:rPr>
          <w:rFonts w:ascii="Times New Roman" w:hAnsi="Times New Roman"/>
          <w:b w:val="false"/>
          <w:i w:val="false"/>
          <w:caps w:val="false"/>
          <w:smallCaps w:val="false"/>
          <w:color w:val="000000"/>
          <w:sz w:val="20"/>
        </w:rPr>
      </w:pPr>
      <w:bookmarkStart w:id="165" w:name="_Hlk55927320"/>
      <w:bookmarkEnd w:id="165"/>
      <w:r>
        <w:rPr>
          <w:rFonts w:ascii="Times New Roman" w:hAnsi="Times New Roman"/>
          <w:b w:val="false"/>
          <w:i w:val="false"/>
          <w:caps w:val="false"/>
          <w:smallCaps w:val="false"/>
          <w:color w:val="000000"/>
          <w:sz w:val="20"/>
        </w:rPr>
        <w:t>Fair values of the term loan derivative liability are estimated utilizing a probability-weighted cash flow approach, including variables for the timing of the Phase 3 Event and other probability estimates.  For the fair value calculations of the term loan derivative liability at its inception and at December 31, 2020, significant inputs included the Contingent Interest Rate Increase of 2.00%, a discount rate of 12.0%; and the SVB Term Loan maturity date of February 1, 2024.</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F-16</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bookmarkStart w:id="166" w:name="_AEIOULastRenderedPageBreakAEIOU15"/>
      <w:bookmarkEnd w:id="166"/>
      <w:r>
        <w:rPr>
          <w:rFonts w:ascii="Times New Roman" w:hAnsi="Times New Roman"/>
          <w:b w:val="false"/>
          <w:i w:val="false"/>
          <w:caps w:val="false"/>
          <w:smallCaps w:val="false"/>
          <w:color w:val="000000"/>
          <w:sz w:val="20"/>
        </w:rPr>
        <w:t>For the year ended December 31, 2020, interest expense under the SVB Term Loan totaled $456, which includes amortization of deferred financing charges, accretion of loan discount-financing costs, accrual of the final payment fee, amortization of the term loan discount-interest and the stated interest on the SVB Term Loan, all as described above.  There was no such interest expense on the SVB Term Loan for the year ended December 31, 2019. As of December 31, 2020, the Company had outstanding borrowings of $14.0 million under the SVB Term Loan and the term loan payable balance as presented in the Company’s Consolidated Balance Sheet as of December 31, 2020 was comprised as shown below.  There were no outstanding borrowings under the SVB Term Loan as of December 31, 2019.</w:t>
      </w:r>
    </w:p>
    <w:p>
      <w:pPr>
        <w:pStyle w:val="TextBody"/>
        <w:spacing w:before="0" w:after="0"/>
        <w:rPr/>
      </w:pPr>
      <w:r>
        <w:rPr/>
        <w:t> </w:t>
      </w:r>
    </w:p>
    <w:tbl>
      <w:tblPr>
        <w:tblW w:w="5414" w:type="dxa"/>
        <w:jc w:val="center"/>
        <w:tblInd w:w="0" w:type="dxa"/>
        <w:tblCellMar>
          <w:top w:w="0" w:type="dxa"/>
          <w:left w:w="0" w:type="dxa"/>
          <w:bottom w:w="0" w:type="dxa"/>
          <w:right w:w="0" w:type="dxa"/>
        </w:tblCellMar>
      </w:tblPr>
      <w:tblGrid>
        <w:gridCol w:w="4325"/>
        <w:gridCol w:w="176"/>
        <w:gridCol w:w="833"/>
        <w:gridCol w:w="80"/>
      </w:tblGrid>
      <w:tr>
        <w:trPr/>
        <w:tc>
          <w:tcPr>
            <w:tcW w:w="432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outstanding under term loan</w:t>
            </w:r>
          </w:p>
        </w:tc>
        <w:tc>
          <w:tcPr>
            <w:tcW w:w="176"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discount - interest</w:t>
            </w:r>
          </w:p>
        </w:tc>
        <w:tc>
          <w:tcPr>
            <w:tcW w:w="1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2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discount - unamortized deferred charges</w:t>
            </w:r>
          </w:p>
        </w:tc>
        <w:tc>
          <w:tcPr>
            <w:tcW w:w="1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2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discount - financing costs, net of accretion</w:t>
            </w:r>
          </w:p>
        </w:tc>
        <w:tc>
          <w:tcPr>
            <w:tcW w:w="1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2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loan-final payment fee</w:t>
            </w:r>
          </w:p>
        </w:tc>
        <w:tc>
          <w:tcPr>
            <w:tcW w:w="17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3"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13,954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current portion</w:t>
            </w:r>
          </w:p>
        </w:tc>
        <w:tc>
          <w:tcPr>
            <w:tcW w:w="17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3"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2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Term loan payable, non current</w:t>
            </w:r>
          </w:p>
        </w:tc>
        <w:tc>
          <w:tcPr>
            <w:tcW w:w="17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13,954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 on the SVB Term Loan, which is comprised of interest payments, accretion and amortization of term loan discounts and the accrual of the final payment fee, is shown below for the year ended December 31, 2020.  There was no such expense under the SVB Term Loan for the year ended December 31, 2019.    </w:t>
      </w:r>
    </w:p>
    <w:p>
      <w:pPr>
        <w:pStyle w:val="TextBody"/>
        <w:spacing w:before="0" w:after="0"/>
        <w:rPr/>
      </w:pPr>
      <w:r>
        <w:rPr/>
        <w:t> </w:t>
      </w:r>
    </w:p>
    <w:tbl>
      <w:tblPr>
        <w:tblW w:w="6114" w:type="dxa"/>
        <w:jc w:val="center"/>
        <w:tblInd w:w="0" w:type="dxa"/>
        <w:tblCellMar>
          <w:top w:w="0" w:type="dxa"/>
          <w:left w:w="0" w:type="dxa"/>
          <w:bottom w:w="0" w:type="dxa"/>
          <w:right w:w="0" w:type="dxa"/>
        </w:tblCellMar>
      </w:tblPr>
      <w:tblGrid>
        <w:gridCol w:w="4085"/>
        <w:gridCol w:w="60"/>
        <w:gridCol w:w="518"/>
        <w:gridCol w:w="1391"/>
        <w:gridCol w:w="60"/>
      </w:tblGrid>
      <w:tr>
        <w:trPr/>
        <w:tc>
          <w:tcPr>
            <w:tcW w:w="408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payments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Accretion and amortization of term loan discounts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Accrual of the final payment fee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85" w:type="dxa"/>
            <w:tcBorders>
              <w:bottom w:val="doub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9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456</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Solar Capital Term Loan</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December 29, 2014, the Company entered into a loan and security agreement (the “Loan Agreement”) with Solar Capital, Ltd. (“Solar”) and Square 1 Bank (“Square 1”), together (the “Lenders”), which provided $15.0 million in debt financing (the “Term Loan”).  On June 29, 2018, the maturity date of the Loan Agreement, the Company made its final payments of principal, interest and all final fees due to the Lenders in connection with the Term Loan.  As a result, there were no outstanding borrowings under the Term Loan as of December 31, 2020 and 2019, and the Company’s obligations to the Lenders under the Loan Agreement, other than the obligations under the Success Fee Agreement as described below, were terminated.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Under the terms of the Loan Agreement, the Company was obligated to pay the Lenders a Success Fee (“Success Fee”) under a Success Fee Agreement (“Success Fee Agreement”) upon the first occurrence of an Exit Event, as defined. The Exit Event included, among other things, the completion of a public offering of common stock. The amount of the Success Fee was equal to 4.5% of the $15.0 million Term Loan funded. The Success Fee Agreement was scheduled to terminate on the earlier to occur of (a) payment in full of the Success Fee pursuant to its terms, or (b) December 29, 2021. The completion of the IPO on May 9, 2019 (see Note 8) triggered the Success Fee payment obligation and the Company made payments to its Lenders totaling $675 in May 2019.  Upon such payments, the Success Fee Agreement terminated.</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F-17</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Success Fee Agreement represented a free-standing financial instrument. Accordingly, the Company accounted for the Success Fee provision as a derivative under ASC 815, </w:t>
      </w:r>
      <w:r>
        <w:rPr>
          <w:rFonts w:ascii="Times New Roman" w:hAnsi="Times New Roman"/>
          <w:b w:val="false"/>
          <w:i/>
          <w:caps w:val="false"/>
          <w:smallCaps w:val="false"/>
          <w:color w:val="000000"/>
          <w:sz w:val="20"/>
        </w:rPr>
        <w:t>Derivatives and Hedging</w:t>
      </w:r>
      <w:r>
        <w:rPr>
          <w:rFonts w:ascii="Times New Roman" w:hAnsi="Times New Roman"/>
          <w:b w:val="false"/>
          <w:i w:val="false"/>
          <w:caps w:val="false"/>
          <w:smallCaps w:val="false"/>
          <w:color w:val="000000"/>
          <w:sz w:val="20"/>
        </w:rPr>
        <w:t xml:space="preserve">, and therefore recorded an obligation for the Success Fee at its fair value on the closing date of each advance under the Loan Agreement. Upon recording such obligations for the Success Fee, the Company also recorded an offsetting loan discount, which was accreted to interest expense in the Company’s Statements of Operations through the Term Loan’s maturity date. The Company adjusted these liabilities for the Success Fee to fair value at each reporting date they remained outstanding. As discussed above, the Success Fee was paid in May 2019; and therefore, the total fair value of the Success Fee liabilities was $0 at December 31, 2020 and 2019. The Company recorded non-cash charges in the amount of $0 and $215 for the years ended December 31, 2020 and 2019, respectively, representing the changes in the fair value of these liabilities since their last measurement date. The fair values of the obligation for the Success Fee were estimated utilizing a probability-weighted cash flow approach, including variables for the timing of the Exit Event and other probability estimates. The non-cash charges are included in other income (expense) in the Company’s Consolidated Statements of Operations. </w:t>
      </w:r>
    </w:p>
    <w:p>
      <w:pPr>
        <w:pStyle w:val="TextBody"/>
        <w:spacing w:before="0" w:after="0"/>
        <w:rPr/>
      </w:pPr>
      <w:r>
        <w:rPr/>
        <w:t> </w:t>
      </w:r>
    </w:p>
    <w:tbl>
      <w:tblPr>
        <w:tblW w:w="1960" w:type="dxa"/>
        <w:jc w:val="left"/>
        <w:tblInd w:w="0" w:type="dxa"/>
        <w:tblCellMar>
          <w:top w:w="0" w:type="dxa"/>
          <w:left w:w="0" w:type="dxa"/>
          <w:bottom w:w="0" w:type="dxa"/>
          <w:right w:w="0" w:type="dxa"/>
        </w:tblCellMar>
      </w:tblPr>
      <w:tblGrid>
        <w:gridCol w:w="170"/>
        <w:gridCol w:w="1790"/>
      </w:tblGrid>
      <w:tr>
        <w:trPr/>
        <w:tc>
          <w:tcPr>
            <w:tcW w:w="170"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w:t>
            </w:r>
          </w:p>
        </w:tc>
        <w:tc>
          <w:tcPr>
            <w:tcW w:w="1790"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Stockholders’ Equity</w:t>
            </w:r>
          </w:p>
        </w:tc>
      </w:tr>
    </w:tbl>
    <w:p>
      <w:pPr>
        <w:pStyle w:val="TextBody"/>
        <w:spacing w:before="0" w:after="0"/>
        <w:rPr/>
      </w:pPr>
      <w:r>
        <w:rPr/>
        <w:t> </w:t>
      </w:r>
    </w:p>
    <w:p>
      <w:pPr>
        <w:pStyle w:val="TextBody"/>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Preferred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and 2019, the Company’s restated certificate of incorporation authorized the Company to issue 5,000,000 shares of preferred stock.</w:t>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Common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2020 and 2019, the Company’s restated certificate of incorporation authorized the Company to issue 200,000,000 shares of common stock, with a par value of $0.001 per share.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and 2019, the Company had reserved 3,646,200 and 2,778,812 shares of common stock, respectively, for the exercise of outstanding stock options and the number of shares of common stock remaining available for future stock-based awards under the Company’s 2012 Stock Incentive Plan, 2019 Stock Incentive Plan and 2019 Employee Stock Purchase Plan, as shown in the table below:</w:t>
      </w:r>
    </w:p>
    <w:p>
      <w:pPr>
        <w:pStyle w:val="TextBody"/>
        <w:spacing w:before="0" w:after="0"/>
        <w:rPr/>
      </w:pPr>
      <w:r>
        <w:rPr/>
        <w:t> </w:t>
      </w:r>
    </w:p>
    <w:tbl>
      <w:tblPr>
        <w:tblW w:w="8430" w:type="dxa"/>
        <w:jc w:val="center"/>
        <w:tblInd w:w="0" w:type="dxa"/>
        <w:tblCellMar>
          <w:top w:w="0" w:type="dxa"/>
          <w:left w:w="0" w:type="dxa"/>
          <w:bottom w:w="28" w:type="dxa"/>
          <w:right w:w="0" w:type="dxa"/>
        </w:tblCellMar>
      </w:tblPr>
      <w:tblGrid>
        <w:gridCol w:w="6380"/>
        <w:gridCol w:w="60"/>
        <w:gridCol w:w="60"/>
        <w:gridCol w:w="845"/>
        <w:gridCol w:w="60"/>
        <w:gridCol w:w="60"/>
        <w:gridCol w:w="60"/>
        <w:gridCol w:w="845"/>
        <w:gridCol w:w="60"/>
      </w:tblGrid>
      <w:tr>
        <w:trPr/>
        <w:tc>
          <w:tcPr>
            <w:tcW w:w="63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67" w:name="_Hlk65850416"/>
            <w:bookmarkEnd w:id="167"/>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68" w:name="_Hlk64564253"/>
            <w:bookmarkEnd w:id="168"/>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of common stock reserved for future issuance under the 2012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Incentive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921,824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1,043,992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of common stock reserved for future issuance under the 2019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Incentive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2,396,922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1,579,714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Shares of common stock reserved for future issuance under the 2019 Employee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 Purchase Plan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327,454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155,106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8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3,646,200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2,778,812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Initial Public Offering and Concurrent Private Placement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May 9, 2019, the Company completed its IPO and a concurrent private placement in which it issued and sold an aggregate of 7,000,000 shares of common stock at an offering price of $10.00 per share, for net proceeds of $62.1 million, after deducting aggregate underwriting discounts and commissions and private placement agent fees of $4.9 million and other offering expenses of $3.0 million. The Company’s common stock began trading on The Nasdaq Global Market on May 7, 2019 under the ticker symbol “TRVI”.</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F-18</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At-the-Market Offering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June 2020, the Company entered into the ATM Sales Agreement with SVB Leerink LLC, under which the Company may issue and sell shares of its common stock, from time to time, having an aggregate offering price of up to $12.0 million. Sales of common stock under the ATM Sales Agreement may be made by any method that is deemed an “at the market” offering as defined in Rule 415(a)(4) under the Securities Act of 1933, as amended. The Company is not obligated to make any sales of its common stock under the ATM Sales Agreement.  The Company began making sales pursuant to the ATM Sales Agreement in July 2020, and as of December 31, 2020, the Company had issued and sold an aggregate of 687,876 shares of common stock for gross proceeds of $3.2 million, before deducting estimated commissions and allocated fees of $0.2 million.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Subsequent to December 31, 2020, and through March 24, 2021, the Company had issued and sold an additional 1,367,621 shares of common stock for gross proceeds of $4.4 million, before deducting estimated commissions and allocated fees of $0.3 million under the ATM Sales Agreement.</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Stock Based Awards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spacing w:before="240" w:after="0"/>
        <w:rPr>
          <w:rFonts w:ascii="Times New Roman" w:hAnsi="Times New Roman"/>
          <w:b w:val="false"/>
          <w:i w:val="false"/>
          <w:caps w:val="false"/>
          <w:smallCaps w:val="false"/>
          <w:color w:val="000000"/>
          <w:sz w:val="20"/>
        </w:rPr>
      </w:pPr>
      <w:bookmarkStart w:id="169" w:name="_cp_text_1_891"/>
      <w:bookmarkStart w:id="170" w:name="_cp_text_4_881"/>
      <w:bookmarkStart w:id="171" w:name="_cp_text_1_871"/>
      <w:bookmarkEnd w:id="169"/>
      <w:bookmarkEnd w:id="170"/>
      <w:bookmarkEnd w:id="171"/>
      <w:r>
        <w:rPr>
          <w:rFonts w:ascii="Times New Roman" w:hAnsi="Times New Roman"/>
          <w:b w:val="false"/>
          <w:i w:val="false"/>
          <w:caps w:val="false"/>
          <w:smallCaps w:val="false"/>
          <w:color w:val="000000"/>
          <w:sz w:val="20"/>
        </w:rPr>
        <w:t xml:space="preserve">As of December 31, 2020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Stock Incentive Plan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w:t>
      </w:r>
      <w:bookmarkStart w:id="172" w:name="_cp_text_1_87"/>
      <w:bookmarkEnd w:id="172"/>
      <w:r>
        <w:rPr>
          <w:rFonts w:ascii="Times New Roman" w:hAnsi="Times New Roman"/>
          <w:b w:val="false"/>
          <w:i w:val="false"/>
          <w:caps w:val="false"/>
          <w:smallCaps w:val="false"/>
          <w:color w:val="000000"/>
          <w:sz w:val="20"/>
        </w:rPr>
        <w:t>The number of shares reserved for issuance </w:t>
      </w:r>
      <w:bookmarkStart w:id="173" w:name="_cp_text_4_88"/>
      <w:bookmarkEnd w:id="173"/>
      <w:r>
        <w:rPr>
          <w:rFonts w:ascii="Times New Roman" w:hAnsi="Times New Roman"/>
          <w:b w:val="false"/>
          <w:i w:val="false"/>
          <w:caps w:val="false"/>
          <w:smallCaps w:val="false"/>
          <w:color w:val="000000"/>
          <w:sz w:val="20"/>
        </w:rPr>
        <w:t>under the 2019 Plan </w:t>
      </w:r>
      <w:bookmarkStart w:id="174" w:name="_cp_text_1_89"/>
      <w:bookmarkEnd w:id="174"/>
      <w:r>
        <w:rPr>
          <w:rFonts w:ascii="Times New Roman" w:hAnsi="Times New Roman"/>
          <w:b w:val="false"/>
          <w:i w:val="false"/>
          <w:caps w:val="false"/>
          <w:smallCaps w:val="false"/>
          <w:color w:val="000000"/>
          <w:sz w:val="20"/>
        </w:rPr>
        <w:t>increased, pursuant to the terms of the 2019 Plan, by an additional 713,383 shares, equal to 4% of the Company’s then-outstanding common stock, effective as of January 1, 2020.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2012 Plan was adopted by the Company’s board of directors and stockholders. The Company’s board of directors administers the 2012 Plan. The 2012 Plan provides for the issuance of stock-based awards to the Company’s employees, officers and directors, as well as non-employee/consultants and advisors to the Company.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Options granted under the 2019 Plan and the 2012 Plan have a maximum term of ten years. Options granted to employees, officers and non-employee consultants vest over four years based on varying vesting schedules including: 25% vesting on the first anniversary date of grant and the balance ratably over the next 36 months or vesting in equal monthly or quarterly installments over four years.  Options granted to directors generally vest over up to one to two years.  As of December 31, 2020 and 2019, respectively, options to purchase 1,249,653 and 631,234 shares of common stock were granted and outstanding, net of cancelations, under the 2019 Plan. As of December 31, 2020 and 2019, respectively, options to purchase 921,824 and 1,043,992 shares of common stock were granted and outstanding, net of cancelations, under the 2012 Plan.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April 2019, the Company’s board of directors adopted a resolution effective on May 7, 2019 that no further stock options or other equity-based awards may be granted under the 2012 Plan.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F-19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summary of the Company’s combined stock option activity for the 2019 Plan and the 2012 Plan for the year ended December 31, 2020 is as follows:</w:t>
      </w:r>
    </w:p>
    <w:p>
      <w:pPr>
        <w:pStyle w:val="TextBody"/>
        <w:spacing w:before="0" w:after="0"/>
        <w:rPr/>
      </w:pPr>
      <w:r>
        <w:rPr/>
        <w:t> </w:t>
      </w:r>
    </w:p>
    <w:tbl>
      <w:tblPr>
        <w:tblW w:w="7724" w:type="dxa"/>
        <w:jc w:val="center"/>
        <w:tblInd w:w="0" w:type="dxa"/>
        <w:tblCellMar>
          <w:top w:w="0" w:type="dxa"/>
          <w:left w:w="0" w:type="dxa"/>
          <w:bottom w:w="28" w:type="dxa"/>
          <w:right w:w="0" w:type="dxa"/>
        </w:tblCellMar>
      </w:tblPr>
      <w:tblGrid>
        <w:gridCol w:w="3665"/>
        <w:gridCol w:w="60"/>
        <w:gridCol w:w="60"/>
        <w:gridCol w:w="845"/>
        <w:gridCol w:w="80"/>
        <w:gridCol w:w="60"/>
        <w:gridCol w:w="175"/>
        <w:gridCol w:w="535"/>
        <w:gridCol w:w="60"/>
        <w:gridCol w:w="60"/>
        <w:gridCol w:w="162"/>
        <w:gridCol w:w="743"/>
        <w:gridCol w:w="60"/>
        <w:gridCol w:w="60"/>
        <w:gridCol w:w="281"/>
        <w:gridCol w:w="758"/>
        <w:gridCol w:w="60"/>
      </w:tblGrid>
      <w:tr>
        <w:trPr/>
        <w:tc>
          <w:tcPr>
            <w:tcW w:w="36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75" w:name="_Hlk64564255"/>
            <w:bookmarkEnd w:id="175"/>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Term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1,675,226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764,583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(163,463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(86,526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(18,343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2,171,477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exercisable as of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1,009,847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unvested as of 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1,161,630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weighted average grant-date fair value per share of stock options granted was $3.68 and $5.06 for the years ended December 31, 2020 and 2019, respectively.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aggregate fair value of stock options that vested during the years ended December 31, 2020 and 2019 was $2.2 million and $688, respectively.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2020 and 2019 was $81 and $105, respectively.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assumptions that the Company used to determine the fair value of the stock options granted were as follows, presented on a weighted average basis:</w:t>
      </w:r>
    </w:p>
    <w:p>
      <w:pPr>
        <w:pStyle w:val="TextBody"/>
        <w:spacing w:before="0" w:after="0"/>
        <w:rPr/>
      </w:pPr>
      <w:r>
        <w:rPr/>
        <w:t> </w:t>
      </w:r>
    </w:p>
    <w:tbl>
      <w:tblPr>
        <w:tblW w:w="4917" w:type="dxa"/>
        <w:jc w:val="center"/>
        <w:tblInd w:w="0" w:type="dxa"/>
        <w:tblCellMar>
          <w:top w:w="0" w:type="dxa"/>
          <w:left w:w="0" w:type="dxa"/>
          <w:bottom w:w="28" w:type="dxa"/>
          <w:right w:w="0" w:type="dxa"/>
        </w:tblCellMar>
      </w:tblPr>
      <w:tblGrid>
        <w:gridCol w:w="2765"/>
        <w:gridCol w:w="60"/>
        <w:gridCol w:w="101"/>
        <w:gridCol w:w="645"/>
        <w:gridCol w:w="314"/>
        <w:gridCol w:w="101"/>
        <w:gridCol w:w="101"/>
        <w:gridCol w:w="645"/>
        <w:gridCol w:w="185"/>
      </w:tblGrid>
      <w:tr>
        <w:trPr/>
        <w:tc>
          <w:tcPr>
            <w:tcW w:w="27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76" w:name="_Hlk64564256"/>
            <w:bookmarkEnd w:id="176"/>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3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31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81.5</w:t>
            </w:r>
          </w:p>
        </w:tc>
        <w:tc>
          <w:tcPr>
            <w:tcW w:w="3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78.7</w:t>
            </w:r>
          </w:p>
        </w:tc>
        <w:tc>
          <w:tcPr>
            <w:tcW w:w="1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3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life of options (in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3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April 2019, the Company’s board of directors adopted the 2019 Employee Stock Purchase Plan (the “2019 ESPP”), which became effective on May 7, 2019. The 2019 ESPP is administered by the Company’s board of directors.  The Company recognized $5 of stock-based compensation expense for the 2019 ESPP during the year ended December 31, 2020.  During the year ended December 31, 2019, there was no activity under the 2019 ESPP.</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The aggregate number of shares of the Company’s common stock that may be issued under the 2019 ESPP increased, pursuant to the terms of the 2019 ESPP, by an additional 178,345 shares, equal to 1% of the Company’s then-outstanding common stock, effective as of January 1, 2020.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of the Company’s employees are eligible to participate in the 2019 ESPP, provided that:</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4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4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such person is customarily employed by the Company for more than 20 hours a week and for more than five months in a calendar year;</w:t>
            </w:r>
          </w:p>
        </w:tc>
      </w:tr>
    </w:tbl>
    <w:tbl>
      <w:tblPr>
        <w:tblW w:w="9430" w:type="dxa"/>
        <w:jc w:val="left"/>
        <w:tblInd w:w="0" w:type="dxa"/>
        <w:tblCellMar>
          <w:top w:w="0" w:type="dxa"/>
          <w:left w:w="0" w:type="dxa"/>
          <w:bottom w:w="0" w:type="dxa"/>
          <w:right w:w="0" w:type="dxa"/>
        </w:tblCellMar>
      </w:tblPr>
      <w:tblGrid>
        <w:gridCol w:w="60"/>
        <w:gridCol w:w="110"/>
        <w:gridCol w:w="9260"/>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9260"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such person has been employed by the Company for at least three months prior to enrolling in the 2019 ESPP; and</w:t>
            </w:r>
          </w:p>
        </w:tc>
      </w:tr>
    </w:tbl>
    <w:tbl>
      <w:tblPr>
        <w:tblW w:w="9655" w:type="dxa"/>
        <w:jc w:val="left"/>
        <w:tblInd w:w="0" w:type="dxa"/>
        <w:tblCellMar>
          <w:top w:w="0" w:type="dxa"/>
          <w:left w:w="0" w:type="dxa"/>
          <w:bottom w:w="0" w:type="dxa"/>
          <w:right w:w="0" w:type="dxa"/>
        </w:tblCellMar>
      </w:tblPr>
      <w:tblGrid>
        <w:gridCol w:w="60"/>
        <w:gridCol w:w="110"/>
        <w:gridCol w:w="9485"/>
      </w:tblGrid>
      <w:tr>
        <w:trPr/>
        <w:tc>
          <w:tcPr>
            <w:tcW w:w="6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left"/>
              <w:rPr>
                <w:caps w:val="false"/>
                <w:smallCaps w:val="false"/>
                <w:color w:val="000000"/>
                <w:spacing w:val="0"/>
              </w:rPr>
            </w:pPr>
            <w:r>
              <w:rPr>
                <w:caps w:val="false"/>
                <w:smallCaps w:val="false"/>
                <w:color w:val="000000"/>
                <w:spacing w:val="0"/>
              </w:rPr>
              <w:t>•</w:t>
            </w:r>
          </w:p>
        </w:tc>
        <w:tc>
          <w:tcPr>
            <w:tcW w:w="9485" w:type="dxa"/>
            <w:tcBorders/>
            <w:shd w:fill="auto" w:val="clear"/>
          </w:tcPr>
          <w:p>
            <w:pPr>
              <w:pStyle w:val="TableContents"/>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such person was an employee of the Company on the first day of the applicable offering period under the 2019 ESPP.</w:t>
            </w:r>
          </w:p>
        </w:tc>
      </w:tr>
    </w:tbl>
    <w:p>
      <w:pPr>
        <w:pStyle w:val="TextBody"/>
        <w:spacing w:before="4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the classifications of stock-based compensation expenses for the 2012 Plan, the 2019 Plan and the 2019 ESPP recognized in the Consolidated Statements of Operations:</w:t>
      </w:r>
    </w:p>
    <w:p>
      <w:pPr>
        <w:pStyle w:val="TextBody"/>
        <w:spacing w:before="0" w:after="0"/>
        <w:rPr/>
      </w:pPr>
      <w:r>
        <w:rPr/>
        <w:t> </w:t>
      </w:r>
    </w:p>
    <w:tbl>
      <w:tblPr>
        <w:tblW w:w="4943" w:type="dxa"/>
        <w:jc w:val="center"/>
        <w:tblInd w:w="0" w:type="dxa"/>
        <w:tblCellMar>
          <w:top w:w="0" w:type="dxa"/>
          <w:left w:w="0" w:type="dxa"/>
          <w:bottom w:w="28" w:type="dxa"/>
          <w:right w:w="0" w:type="dxa"/>
        </w:tblCellMar>
      </w:tblPr>
      <w:tblGrid>
        <w:gridCol w:w="2915"/>
        <w:gridCol w:w="60"/>
        <w:gridCol w:w="178"/>
        <w:gridCol w:w="691"/>
        <w:gridCol w:w="85"/>
        <w:gridCol w:w="85"/>
        <w:gridCol w:w="178"/>
        <w:gridCol w:w="691"/>
        <w:gridCol w:w="60"/>
      </w:tblGrid>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77" w:name="_Hlk64564257"/>
            <w:bookmarkEnd w:id="177"/>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360</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2,057</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2,417</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total unrecognized compensation cost related to the unvested share-based awards was $4.4 million, which is expected to be recognized over a weighted average period of 2.5 years.</w:t>
      </w:r>
    </w:p>
    <w:p>
      <w:pPr>
        <w:pStyle w:val="TextBody"/>
        <w:spacing w:before="12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Redeemable Convertible Preferred Stock </w:t>
      </w:r>
    </w:p>
    <w:p>
      <w:pPr>
        <w:pStyle w:val="TextBody"/>
        <w:spacing w:before="12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Upon the closing of the IPO, the Company’s outstanding redeemable convertible preferred stock, including the accrued dividends thereon, automatically converted into an aggregate of 10,381,234 shares of the Company’s common stock.  Upon such conversion of the redeemable convertible preferred stock, the Company reclassified the carrying values of the redeemable convertible preferred stock to common stock and additional paid-in capital. </w:t>
      </w:r>
    </w:p>
    <w:p>
      <w:pPr>
        <w:pStyle w:val="TextBody"/>
        <w:spacing w:before="12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Prior to the conversion into common stock as noted above, the Company’s redeemable convertible preferred stock was redeemable on or after July 14, 2020 and carried a cumulative coupon dividend rate of 6%. The redemption amount per share for a share of redeemable convertible preferred stock was the greater of (A) the applicable original issue price per share for such series of redeemable convertible preferred stock, plus any of the dividends accrued but unpaid thereon, whether or not declared, together with any other dividends declared but unpaid thereon, and (B) the fair market value per share of redeemable convertible preferred stock, as described below under Redemption Rights. The Company accounted for its redeemable convertible preferred stock under the requirements of ASC 480, which establishes standards for how an issuer classifies and measures certain financial instruments with characteristics of both liabilities and equity. The carrying value of the redeemable convertible preferred stock was presented as temporary equity and was adjusted by periodic accretions so that the carrying amount equaled the redemption amount at the estimated date that the redeemable convertible preferred stock would be redeemed. These adjustments were effected through charges against additional paid-in capital, to the extent it was available, or accumulated deficit. For all issuances of redeemable convertible preferred stock, the difference between the amount invested by the holders of the redeemable convertible preferred stock, net of issuance costs and premiums (or discounts), as compared to the redemption value, was recorded as accretion over the redemption period of the redeemable convertible preferred stock. The accretion was added to net loss to arrive at the net loss available to common stockholders in the calculation of net loss per common share.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F-21</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Issuance of Series A Redeemable Convertible Preferred Stock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December 4, 2012, the Company entered into the Series A Preferred Stock Purchase Agreement (the “Series A Purchase Agreement”) with TPG Biotechnology Partners III, L.P. (“TPG”) and nine other holders of the Company’s convertible notes that were issued in 2011 and 2012 (the “Series A Investors”). Pursuant to the Series A Purchase Agreement, the Company issued 6,000,000 shares (the “Series A Initial Closing”) of Series A Preferred Stock to TPG at a purchase price of $1.00 per share, resulting in proceeds, net of $128 in issuance costs, of $5.9 million (the “Series A Financing”). Concurrently, convertible notes held by the Series A Investors totaling $564, including accrued interest, were automatically converted at a conversion price of $0.467 per share in accordance with calculations specified in the applicable note purchase agreement, and the Company issued 1,207,923 shares of Series A Preferred Stock in settlement of the convertible notes.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Series A Purchase Agreement also provided for the sale of 4,000,000 additional shares of Series A Preferred Stock (the “Series A Milestone Shares”) to TPG at a purchase price of $1.00 per share upon the Company’s achievement of specified Milestone Events, as defined in the Series A Purchase Agreement, involving the Company’s Phase 1b clinical trial in uremic pruritus and a pending patent application. In the event the Milestone Events were not achieved, TPG had the right to purchase the Series A Milestone Shares, in full or in part, under the same terms and conditions as the Series A Initial Closing, including the $1.00 per share purchase price, on or before June 30, 2014.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TPG had the right to purchase, under the same terms and conditions as the Series A Initial Closing, including the $1.00 per share purchase price, the lesser of 2,500,000 additional shares of Series A Preferred Stock (the “Additional Series A Preferred Shares”) and the number of shares of Series A Preferred Stock equal to 25% of the total number of shares of Series A Preferred Stock it previously purchased for cash under the Series A Purchase Agreement. This additional right was exercisable until the date six months after the completion date of the Company’s Phase 2b/3 clinical trial of Haduvio in patients with uremic pruritus.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December 26, 2013, TPG purchased under a Series A Extension Preferred Stock Purchase Agreement (the “Series A Extension Purchase Agreement”) 6,500,000 additional shares of Series A Preferred Stock at $1.00 per share, which consisted of the Series A Milestone Shares and the Additional Series A Preferred Shares discussed above, resulting in proceeds, net of $39 in issuance costs, of $6.5 million. This agreement also provided that the Company could sell up to 2,000,000 additional shares at $1.00 per share to existing stockholders deemed accredited investors within 45 days of the December 26, 2013 closing.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January 2014, the Company issued 1,680,000 shares of Series A Preferred Stock to eight of the Series A Investors at $1.00 per share, as provided for as Additional Closings under the Series A Extension Purchase Agreement, resulting in proceeds, net of $7 in issuance costs, of $1.7 million. The Company recorded this issuance at its fair value of $1.08 per share, totaling $1.8 million before financing costs, resulting in a discount on this issuance in the amount of $134, which amount was being amortized out of the carrying value of Series A Preferred Stock over the expected redemption period, which was three years from July 14, 2017, the date of the First Tranche Closing of the Series C Preferred Stock Financing (each such term as defined below), or July 14, 2020 (the “Redemption Period”). Such amortization totaled $7 for the year ended December 31, 2019 which includes $5 of previously unaccreted discount on issuance at the time of conversion to shares of common stock.  There was no such amortization for the year ended December 31, 2020.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Holders of Series C Preferred Stock had a higher liquidation preference than the holders of Series A Preferred Stock and Series B Preferred Stock. (See Liquidation Preferences note below.)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Issuance of Series B Redeemable Convertible Preferred Stock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May 23, 2014, the Company entered into the Series B Preferred Stock Purchase Agreement (the “Series B Purchase Agreement”) with TPG. Pursuant to the Series B Purchase Agreement, the Company issued 13,043,478 shares (the “Series B Initial Closing”) of Series B Preferred Stock to TPG at a purchase price of $1.15 per share, resulting in proceeds, net of $56 in issuance costs, of $15.0 million.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Series B Purchase Agreement also provided for the sale of 4,347,826 additional shares of Series B Preferred Stock (the “Series B Milestone Shares”) to TPG at a purchase price of $1.15 per share upon the Company’s achievement of specified Milestone Events, as defined in the Series B Purchase Agreement, involving the Company’s Phase 2b/3 clinical trial of Haduvio in patients with uremic pruritus; its planned Phase 2 clinical trial of Haduvio in patients with pruritus associated with prurigo nodularis; and a pending patent application. In the event the Milestone Events were not achieved, TPG had the right to purchase the Series B Milestone Shares, in full or in part, under the same terms and conditions as the Series B Initial Closing, at a purchase price of $1.15 per share, on or before November 30, 2015.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TPG had the right to purchase, on the same terms and conditions as the Series B Initial Closing, including the $1.15 per share purchase price, the lesser of 4,347,826 additional shares of Series B Preferred Stock and the number of shares equal to 25% of the total number of shares it previously purchased for cash under the Series B Purchase Agreement (the “Additional Series B Shares”). This additional right was exercisable until the date six months after the completion date of the Company’s Phase 2b/3 clinical trial of Haduvio in patients with uremic pruritus.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October 30, 2014, TPG exercised its rights described above and purchased under an Additional Closing Agreement (the “Series B Second Closing”) 8,695,652 additional shares of Series B Preferred Stock at $1.15 per share, which consisted of the Series B Milestone Shares and the Additional Series B Shares. This agreement also provided for the Company to sell 869,565 additional shares of Series B Preferred Stock at $1.15 per share to an existing stockholder. The Series B Second Closing resulted in proceeds, net of $19 in issuance costs, of $11.0 million. The Company recorded this issuance at its fair value of $1.10 per share, totaling $10.5 million, net of financing costs, resulting in a premium on this issuance in the amount of $478 which amount was being accreted into the carrying value of the Series B Preferred Stock over the Redemption Period. Such accretion totaled $31 for the year ended December 31, 2019 which includes $22 of unaccreted premium on issuance at the time of conversion to shares of common stock.  There was no such accretion for the year ended December 31, 2020.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Holders of Series C Preferred Stock had a higher liquidation preference than the holders of Series A Preferred Stock and Series B Preferred Stock. (See Liquidation Preferences note below.)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Issuance of Series C Redeemable Convertible Preferred Stock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July 14, 2017, the Company entered into the Series C Purchase Agreement with TPG and other institutional investors (the “Series C Initial Purchasers”) for the issuance of $50.5 million of its Series C Preferred Stock. The Series C Purchase Agreement provided for the Company’s Series C Preferred Stock to be issued in two tranches, with the closing of the first tranche on July 14, 2017 (the “First Tranche Closing”) and the closing of the second tranche to occur following a determination by the Company’s board of directors that the Company’s cash and cash equivalents at such time are not sufficient to fund its operations for a period of three months following such determination (the “Second Tranche Closing”). Upon the First Tranche Closing, the Company issued 20,547,946 shares of its Series C Preferred Stock at a purchase price of $1.46 per share, resulting in proceeds of $29.7 million, net of issuance costs of $291.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Also party to the Series C Purchase Agreement were eleven holders of the Company’s Convertible Notes (together with the Initial Purchasers and the Series C Additional Purchasers, as defined below, the “Series C Investors”). Concurrently with the First Tranche Closing and pursuant to the Series C Purchase Agreement, the outstanding principal on the Company’s Convertible Notes, totaling $10.6 million, and all accrued interest thereon, totaling $564, were automatically converted at the Mandatory Conversion Price of $1.095 per share, and the Company issued 10,181,233 shares of its Series C Preferred Stock in full settlement of the Convertible Notes.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Series C Purchase Agreement provided for a subsequent closing (the “Special Closing”), on the same terms and conditions as the First Tranche Closing, including the $1.46 per share purchase price, and on October 11, 2017, the Special Closing occurred, resulting in the issuance to two additional investors (the “Series C Additional Purchasers”) of 101,707 shares of the Company’s Series C Preferred Stock, at a purchase price of $1.46 per share, resulting in proceeds of $129, net of issuance costs of $19.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November 12, 2017, one of the Series C Additional Purchasers purchased its second tranche shares pursuant to an election under the Series C Purchase Agreement, resulting in the issuance of 55,621 shares of the Company’s Series C Preferred Stock at a purchase price of $1.46 per share, resulting in proceeds of $81.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August 28, 2018, the Company amended the Series C Purchase Agreement to provide that a portion of the shares of Series C Preferred Stock that would otherwise be issued and sold at the Second Tranche Closing would instead be issued and sold at a third tranche closing (the “Third Tranche Closing”), with such closing to occur following a determination by the Company’s board of directors that the Company’s cash and cash equivalents at such time are not sufficient to fund its operations for a period of three months following such determination.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August 30, 2018, the Company completed the Second Tranche Closing, resulting in the issuance of 7,211,165 shares of the Company’s Series C Preferred Stock, at a purchase price of $1.46 per share, resulting in proceeds of $10.5 million, net of issuance costs of $32.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January 18, 2019, the Company completed the Third Tranche Closing, resulting in the issuance of 6,849,315 shares of the Company’s Series C Preferred Stock, at a purchase price of $1.46 per share, resulting in proceeds of $10.0 million, net of issuance costs of $37. At such time, the Series C redeemable convertible preferred stock liability of $1.1 million was reclassified as Series C Preferred Stock.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Series C Redeemable Convertible Preferred Stock Liability and Changes in Fair Value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discussed above, the Series C Purchase Agreement provided for the issuance and sale of Series C Preferred Stock in three separate tranches. The tranches represented a freestanding financial instrument under ASC 480 and required fair value accounting until they were settled. The Company recognized a liability on its Consolidated Balance Sheet for the obligations under this financial instrument. The Company adjusted this liability to fair value at each reporting date, as applicable, and recognized any changes in fair value of the Series C Preferred Stock in its Consolidated Statements of Operations as a component of other income (expense). The Company continued to recognize any changes in the fair value of this liability through the closing of the third tranche.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Accordingly, for the year ended December 31, 2018, the Company recorded the Series C redeemable convertible preferred stock liability at its fair value of $2.1 million, with a corresponding charge to other income (expense) in the Company’s Consolidated Statement of Operations. Upon the Second Tranche Closing in August 2018, as described above, $1.0 million was reclassified to Series C Preferred Stock. As a result, at December 31, 2018, the fair value of this liability, relating to the outstanding third tranche, was determined to be $1.1 million and was reclassified to Series C Preferred Stock upon the Third Tranche Closing in January 2019.</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fair value of the Series C redeemable convertible preferred stock liability was estimated as the excess, if any, of the fair value per share of the Company’s Series C Preferred Stock, as described below under Redemption Rights, over the purchase price of any outstanding tranches to be sold pursuant to the Series C Purchase Agreement.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Holders of Series C Preferred Stock had a higher liquidation preference than the holders of Series A Preferred Stock and Series B Preferred Stock. (See Liquidation Preferences note below.)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December 31, 2020 and 2019, there were no shares of redeemable convertible preferred stock outstanding as a result of the conversion into common stock in connection with the IPO.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Dividends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Dividends on outstanding shares of Series A, Series B and Series C Preferred Stock accrued at a rate of 6% per annum on their original purchase price of $1.00, $1.15 and $1.46 per share, respectively (the “Accruing Dividends”), whether or not declared, and were cumulative. However, Accruing Dividends on the Company’s outstanding redeemable convertible preferred stock were payable only when, as and if declared by the Company’s board of directors, or upon liquidation, redemption or conversion. No dividends were payable to the holders of the Company’s common stock unless equivalent dividends had been declared and paid on the Company’s outstanding Series A, Series B and Series C Preferred Stock. No dividends had been declared or paid by the Company through the date of the IPO.  Accruing Dividends totaled $18.4 million through the date of the IPO, at which time they were converted into common shares.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Liquidation Preferences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event of any voluntary or involuntary liquidation, dissolution or winding up of the Company or deemed liquidation event, the holders of shares of Series C Preferred Stock then outstanding were entitled to be paid out of the assets of the Company that were available for distribution to its stockholders, before any payments were to be made to the holders of Series A Preferred Stock, Series B Preferred Stock or common stock by reason of their ownership thereof, an amount per share equal to the Series C Preferred Stock original issue price of $1.46 per share,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C Preferred Stock the full amount to which they were entitled, the holders of Series C Preferred Stock were entitled to share ratably in any distribution of the assets available for distribution in proportion to the respective amounts which would otherwise be payable in respect of the shares of Series C Preferred Stock held by them upon such distribution if all amounts payable on or with respect to such shares were paid in full. </w:t>
      </w:r>
    </w:p>
    <w:p>
      <w:pPr>
        <w:pStyle w:val="TextBody"/>
        <w:spacing w:before="240" w:after="0"/>
        <w:rPr>
          <w:rFonts w:ascii="Times New Roman" w:hAnsi="Times New Roman"/>
          <w:b w:val="false"/>
          <w:i w:val="false"/>
          <w:caps w:val="false"/>
          <w:smallCaps w:val="false"/>
          <w:color w:val="000000"/>
          <w:spacing w:val="-2"/>
          <w:sz w:val="20"/>
        </w:rPr>
      </w:pPr>
      <w:r>
        <w:rPr>
          <w:rFonts w:ascii="Times New Roman" w:hAnsi="Times New Roman"/>
          <w:b w:val="false"/>
          <w:i w:val="false"/>
          <w:caps w:val="false"/>
          <w:smallCaps w:val="false"/>
          <w:color w:val="000000"/>
          <w:spacing w:val="-2"/>
          <w:sz w:val="20"/>
        </w:rPr>
        <w:t xml:space="preserve">In the event of any voluntary or involuntary liquidation, dissolution or winding up of the Company or deemed liquidation event, the holders of shares of Series A Preferred Stock and Series B Preferred Stock then outstanding were entitled to be paid out of the assets of the Company available for distribution to its stockholders after the payment of all preferential amounts required to be paid to the holders of shares of Series C Preferred Stock but before any payments were made to the holders of common stock by reason of their ownership thereof, (i) an amount per share equal to the Series A original issue price of $1.00 per share in the case of the Series A Preferred Stock, plus any Accruing Dividends accrued but unpaid thereon, whether or not declared, together with any other dividends declared but unpaid thereon, and (ii) an amount per share equal to the Series B original issue price of $1.15 per share in the case of the Series B Preferred Stock,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A Preferred Stock and Series B Preferred Stock the full amount to which they were entitled (after the payment in full of all preferential amounts required to be paid to the holders of shares of Series C Preferred Stock), the holders of shares of Series A Preferred Stock and Series B Preferred Stock were entitled to share ratably in any distribution of the assets available for distribution in respect of such shares in proportion to the respective amounts which would otherwise be payable in respect of the share of Series A Preferred Stock and Series B Preferred Stock held by them upon such distribution if all amounts payable on or with respect to such shares were paid in full.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the event of any voluntary or involuntary liquidation, dissolution or winding up of the Company or deemed liquidation event, after the payment of all preferential amounts required to be paid to the holders of shares of redeemable convertible preferred stock, the remaining assets of the Company available for distribution to its stockholders were to be distributed among the holders of the shares of redeemable convertible preferred stock and common stock, in proportion to the number of shares held by each such holder, treating for this purpose all such securities as if they had been converted into common stock pursuant to the terms of the Company’s certificate of incorporation immediately prior to such dissolution, liquidation or winding up of the Company.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Redemption Rights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Company’s certificate of incorporation provided that, unless prohibited by Delaware law governing distributions to stockholders, shares of the redeemable convertible preferred stock were to be redeemed by the Company in three annual installments commencing not more than 60 days after receipt by the Company, at any time on or after July 14, 2020, of written notice from the holders of at least a majority of the outstanding shares of redeemable convertible preferred stock, voting together as a single class on an as-converted basis, requesting redemption of all shares of redeemable convertible preferred stock (a “Redemption Request”).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that event, unless prohibited by Delaware law governing distributions to stockholders, generally in connection with an insolvent corporation, shares of Series A Preferred Stock, Series B Preferred Stock and Series C Preferred Stock, respectively, were to be redeemed by the Company at a price equal to the greater of (A) the applicable original issue price per share for such series of redeemable convertible preferred stock, plus any Accruing Dividends accrued but unpaid thereon, whether or not declared, together with any other dividends declared but unpaid thereon, and (B) the fair market value per share of Series A Preferred Stock, Series B Preferred Stock or Series C Preferred Stock, as the case may be, as of the date of the Company’s receipt of the Redemption Request. For purposes of these redemption rights, the fair market value per share of the Series A Preferred Stock was defined as the value per share of Series A Preferred Stock as mutually agreed upon by the Company and the holders of 60% of the shares of Series A Preferred Stock then outstanding, and, in the event that they were unable to reach agreement, by a third-party appraiser agreed to by the Company and the holders of a majority of the shares of Series A Preferred Stock then outstanding; the fair market value per share of the Series B Preferred Stock was defined as the value per share of Series B Preferred Stock as mutually agreed upon by the Company and the holders of 60% of the shares of Series B Preferred Stock then outstanding, and, in the event that they were unable to reach agreement, by a third-party appraiser agreed to by the Company and the holders of a majority of the shares of Series B Preferred Stock then outstanding; and the fair market value per share of the Series C Preferred Stock was defined as the value per share of Series C Preferred Stock as mutually agreed upon by the Company and the holders of 66 2/3% of the shares of Series C Preferred Stock then outstanding, and, in the event that they were unable to reach agreement, by a third-party appraiser agreed to by the Company and the holders of a majority of the shares of Series C Preferred Stock then outstanding.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a result of the redemption rights described above, the carrying values of Series A Preferred Stock of $21.0 million, Series B Preferred Stock of $33.7 million, and Series C Preferred Stock of $61.0 million as of December 31, 2018, were classified as temporary equity, and were presented between liabilities and stockholders’ equity (deficit) on the Company’s Consolidated Balance Sheets in accordance with ASC 480. The Company was accreting the carrying value of the redeemable convertible preferred stock up to the expected redemption value over the estimated Redemption Period. The accretion included cumulative unpaid and undeclared Accruing Dividends as well as additional increases, if any, when the fair value of the redeemable convertible preferred stock exceeded the liquidation value at any point during the Redemption Period.  Upon the IPO, all redeemable convertible preferred shares and Accruing Dividends thereon converted to common shares and all previously unaccreted amounts were fully accreted to the expected redemption value.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 December 31, 2018, the fair values of the Company’s Series A Preferred Stock, Series B Preferred Stock and Series C Preferred Stock were determined utilizing a probability-weighted modeling approach that included both IPO and non-IPO based scenarios. The non-IPO based scenarios included the fair value estimates of the Company’s common stock, before marketability discount, of $0.47, and each issue of its redeemable convertible preferred stock of: $0.82 for its Series A Preferred Stock; $0.86 for its Series B Preferred Stock; and $1.44 for its Series C Preferred Stock, each calculated at December 31, 2017, as there were no clinical development milestones either achieved or not achieved during the period, and it was deemed that the Company’s total equity value had not changed to any significant degree through the December 31, 2018 measurement date. Additional significant inputs utilized for the non-IPO based scenario was a probability factor of 60% and a marketability discount of 20% applied in arriving at the fair value of the common stock. The IPO-based scenario utilized an expected pre-money valuation upon IPO; cost of equity estimate of 15%; estimated time to IPO date of 0.38 years; and a probability factor of 40%.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 December 31, 2017, the fair value of the Company’s Series A Preferred Stock, Series B Preferred Stock and Series C Preferred Stock was determined utilizing the OPM; whereby each class of stock is modeled as a call option with a unique claim on the assets of the Company. Stock characteristics that were incorporated directly into the option valuation model include liquidation preferences, participation features, convertibility features and ratios, and value-sharing between classes of stock. The Company’s equity value was estimated by employing a back-solving approach to determine its implied equity value at December 31, 2017 based on the initial closing of the Series C Preferred Stock financing completed in July 2017. A Black-Scholes options pricing approach was utilized under the OPM to determine the fair value of each security, with significant inputs including a $1.44 fair value of the Series C Preferred Stock, a risk-free rate of 1.95%, volatility of 78.0% and a probability-weighted estimate of time to liquidity event of 2.71 years.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costs of approximately $166 that were netted against the proceeds from the 2013 and 2012 Series A Preferred Stock financings were being accreted to Series A Preferred Stock over the period from their respective issuance dates to the earliest redemption date of July 14, 2020. The Company recorded $7 in accretion for financing costs for the year ended December 31, 2019 which includes $5 of previously unaccreted financing costs at the time of the conversion of the Series A Preferred Stock into shares of the Company’s common stock. There was no such accretion for the year ended December 31, 2020.  In addition, the investor rights/obligation that was allocated from proceeds from the Series A Preferred Stock financings of $2.8 million, less $520 representing its fair value on the date of its exercise as noted above, was being accreted over the Redemption Period. The Company recorded $84 in accretion of investor rights/obligation in the year ended December 31, 2019 which includes $61 of previously unaccreted investor rights/obligations at the time of the conversion of the Series A Preferred Stock into shares of the Company’s common stock. There was no such accretion for the year ended December 31, 2020.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costs of approximately $76 that were netted against the proceeds from the 2014 Series B Preferred Stock financings were being accreted to Series B Preferred Stock over the period from their respective issuance dates to the earliest redemption date of July 14, 2020. The Company recorded $4 in accretion for financing costs in the year ended December 31, 2019 which includes $3 of previously unaccreted financing costs at the time of conversion of the Series B Preferred Stock into shares of the Company’s common stock. There was no such accretion for the year ended December 31, 2020.  In addition, the investor rights/obligation that was allocated from proceeds from the Series B Preferred Stock financings of $2.0 million was being accreted over the remaining Redemption Period discussed above. The Company recorded $117 in accretion of Series B Preferred Stock investor rights/obligation in the year ended December 31, 2019 which includes $85 of previously unaccreted investor rights/obligations at the time of the conversion of the Series B Preferred Stock into shares of the Company’s common stock. There was no such accretion for the year ended December 31, 2020.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costs of approximately $379 that were netted against the proceeds from the 2017, 2018 and 2019 Series C Preferred Stock financings were being accreted to Series C Preferred Stock over the period from their respective issuance dates to the earliest redemption date of July 14, 2020. The Company recorded $223 in accretion for financing costs in the year ended December 31, 2019 which includes $164 of previously unaccreted financing costs at the time of conversion of the Series C Preferred Stock into shares of the Company’s common stock. There was no such accretion for the year ended December 31, 2020.</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Optional Conversion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Each holder of Series A, Series B or Series C Preferred Stock was able to convert any or all of such holder’s redeemable convertible preferred stock into common stock at any time. Each share of Series A Preferred Stock, Series B Preferred Stock and Series C Preferred Stock was convertible into such number of shares of common stock as determined by dividing the original issue price of such series by the conversion price for such series in effect at the time of conversion. As of December 31, 2018, each share of Series A Preferred Stock, Series B Preferred Stock and Series C Preferred Stock was convertible into common stock at a one-to-one conversion ratio. As of December 31, 2020 and 2019, there were no redeemable convertible preferred shares outstanding as a result of the conversion into common shares in connection with the IPO.</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upon conversion of shares of Series A, Series B or Series C Preferred Stock, a holder was entitled to receive, at the election of the holder, either (i) payment in cash of any Accruing Dividends declared but unpaid thereon, or (ii) such number of shares of common stock as determined by dividing the Accruing Dividends for such share of Series A, Series B or Series C Preferred Stock, by the applicable conversion price for such series of redeemable preferred stock in effect at the time of conversion. The conversion prices for Series A, Series B or Series C Preferred Stock were subject to adjustment based on certain events specified in the Company’s certificate of incorporation, including anti-dilution adjustments.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Mandatory Conversion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Upon the closing of a qualified public offering of common stock, as defined in the Company’s certificate of incorporation, or approval of (i) the holders of at least 60% of the Series A Preferred Stock then outstanding, voting separately as a class, (ii) the holders of at least 60% of the Series B Preferred Stock then outstanding, voting separately as a class and (iii) the holders of at least 66 2/3% of the Series C Preferred Stock then outstanding, voting separately as a class, all outstanding shares of redeemable convertible preferred stock would have automatically converted into common stock at the then-applicable conversion rate for such shares.  At December 31, 2020 and 2019, there were no redeemable convertible preferred shares outstanding as a result of the conversion into common shares at a one-for-9.5 conversion ratio, in connection with the IPO.</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Voting Rights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Prior to the IPO, and except as otherwise provided by law or by the other provisions of the Company’s certificate of incorporation, the holders of redeemable convertible preferred stock were entitled to vote as one class with the holders of common stock on any matter presented to the stockholders of the Company for their action or consideration at any meeting of stockholders of the Company (or by written consent of stockholders in lieu of a meeting), and each holder of outstanding shares of redeemable convertible preferred stock was entitled to cast the number of votes equal to the number of whole shares of common stock into which the shares of redeemable convertible preferred stock held by such holder were convertible as of the record date for determining stockholders entitled to vote on the matter. The holders of record of the shares of the Company’s Series B Preferred Stock, exclusively and as a separate class, were entitled to elect two directors of the Company, the holders of record of the shares of Series C Preferred Stock, exclusively, and as a separate class, were entitled to elect three directors of the Company, and the holders of record of the shares of common stock of the Company, exclusively and as a separate class, were entitled to elect two directors of the Company.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Registration Rights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holders of shares of the Company’s common stock issued upon conversion of shares of Series A Preferred Stock, Series B Preferred Stock and Series C Preferred Stock have certain registration rights as set forth in an investors’ rights agreement between the Company and certain of its stockholders. </w:t>
      </w:r>
    </w:p>
    <w:p>
      <w:pPr>
        <w:pStyle w:val="TextBody"/>
        <w:spacing w:before="240" w:after="0"/>
        <w:rPr/>
      </w:pPr>
      <w:r>
        <w:rPr/>
        <w:t> </w:t>
      </w:r>
    </w:p>
    <w:tbl>
      <w:tblPr>
        <w:tblW w:w="1420" w:type="dxa"/>
        <w:jc w:val="left"/>
        <w:tblInd w:w="0" w:type="dxa"/>
        <w:tblCellMar>
          <w:top w:w="0" w:type="dxa"/>
          <w:left w:w="0" w:type="dxa"/>
          <w:bottom w:w="0" w:type="dxa"/>
          <w:right w:w="0" w:type="dxa"/>
        </w:tblCellMar>
      </w:tblPr>
      <w:tblGrid>
        <w:gridCol w:w="170"/>
        <w:gridCol w:w="1250"/>
      </w:tblGrid>
      <w:tr>
        <w:trPr/>
        <w:tc>
          <w:tcPr>
            <w:tcW w:w="170" w:type="dxa"/>
            <w:tcBorders/>
            <w:shd w:fill="auto" w:val="clear"/>
          </w:tcPr>
          <w:p>
            <w:pPr>
              <w:pStyle w:val="TableContents"/>
              <w:spacing w:before="24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w:t>
            </w:r>
          </w:p>
        </w:tc>
        <w:tc>
          <w:tcPr>
            <w:tcW w:w="1250" w:type="dxa"/>
            <w:tcBorders/>
            <w:shd w:fill="auto" w:val="clear"/>
          </w:tcPr>
          <w:p>
            <w:pPr>
              <w:pStyle w:val="TableContents"/>
              <w:spacing w:before="24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Income Taxes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each of the years ended December 31, 2020 and 2019, the Company recorded an income tax benefit related to state research and development tax credits of $18, respectively.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components of income tax (benefit) for the years ended December 31, 2020 and 2019, are as follows: </w:t>
      </w:r>
    </w:p>
    <w:p>
      <w:pPr>
        <w:pStyle w:val="TextBody"/>
        <w:spacing w:before="0" w:after="0"/>
        <w:rPr/>
      </w:pPr>
      <w:r>
        <w:rPr/>
        <w:t> </w:t>
      </w:r>
    </w:p>
    <w:tbl>
      <w:tblPr>
        <w:tblW w:w="3704" w:type="dxa"/>
        <w:jc w:val="center"/>
        <w:tblInd w:w="0" w:type="dxa"/>
        <w:tblCellMar>
          <w:top w:w="0" w:type="dxa"/>
          <w:left w:w="0" w:type="dxa"/>
          <w:bottom w:w="28" w:type="dxa"/>
          <w:right w:w="0" w:type="dxa"/>
        </w:tblCellMar>
      </w:tblPr>
      <w:tblGrid>
        <w:gridCol w:w="1655"/>
        <w:gridCol w:w="60"/>
        <w:gridCol w:w="246"/>
        <w:gridCol w:w="571"/>
        <w:gridCol w:w="157"/>
        <w:gridCol w:w="118"/>
        <w:gridCol w:w="246"/>
        <w:gridCol w:w="571"/>
        <w:gridCol w:w="80"/>
      </w:tblGrid>
      <w:tr>
        <w:trPr/>
        <w:tc>
          <w:tcPr>
            <w:tcW w:w="16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9"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178" w:name="_Hlk64564258"/>
            <w:bookmarkEnd w:id="178"/>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1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1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5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65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5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16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57"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reconciliation between income tax benefit and the expected tax benefit at the statutory rate for the years ended December 31, 2020 and 2019 is as follows: </w:t>
      </w:r>
    </w:p>
    <w:p>
      <w:pPr>
        <w:pStyle w:val="TextBody"/>
        <w:spacing w:before="0" w:after="0"/>
        <w:jc w:val="both"/>
        <w:rPr/>
      </w:pPr>
      <w:r>
        <w:rPr/>
        <w:t> </w:t>
      </w:r>
    </w:p>
    <w:tbl>
      <w:tblPr>
        <w:tblW w:w="5819" w:type="dxa"/>
        <w:jc w:val="center"/>
        <w:tblInd w:w="0" w:type="dxa"/>
        <w:tblCellMar>
          <w:top w:w="0" w:type="dxa"/>
          <w:left w:w="0" w:type="dxa"/>
          <w:bottom w:w="28" w:type="dxa"/>
          <w:right w:w="0" w:type="dxa"/>
        </w:tblCellMar>
      </w:tblPr>
      <w:tblGrid>
        <w:gridCol w:w="3665"/>
        <w:gridCol w:w="60"/>
        <w:gridCol w:w="92"/>
        <w:gridCol w:w="675"/>
        <w:gridCol w:w="283"/>
        <w:gridCol w:w="92"/>
        <w:gridCol w:w="92"/>
        <w:gridCol w:w="675"/>
        <w:gridCol w:w="185"/>
      </w:tblGrid>
      <w:tr>
        <w:trPr/>
        <w:tc>
          <w:tcPr>
            <w:tcW w:w="36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9"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7" w:type="dxa"/>
            <w:gridSpan w:val="2"/>
            <w:tcBorders>
              <w:top w:val="single" w:sz="6" w:space="0" w:color="000000"/>
              <w:bottom w:val="single" w:sz="6" w:space="0" w:color="000000"/>
            </w:tcBorders>
            <w:shd w:fill="FFFFFF" w:val="clear"/>
            <w:tcMar>
              <w:top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28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7" w:type="dxa"/>
            <w:gridSpan w:val="2"/>
            <w:tcBorders>
              <w:top w:val="single" w:sz="6" w:space="0" w:color="000000"/>
              <w:bottom w:val="single" w:sz="6" w:space="0" w:color="000000"/>
            </w:tcBorders>
            <w:shd w:fill="FFFFFF" w:val="clear"/>
            <w:tcMar>
              <w:top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18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 statutory income tax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28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6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 income tax (benefit)—net of federal tax</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w:t>
            </w:r>
          </w:p>
        </w:tc>
        <w:tc>
          <w:tcPr>
            <w:tcW w:w="2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valuation allowance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(29.1</w:t>
            </w:r>
          </w:p>
        </w:tc>
        <w:tc>
          <w:tcPr>
            <w:tcW w:w="28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6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Refundable tax credit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R&amp;D tax credits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2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65"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Standard Adoption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1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6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Effective income tax rate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283"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w:t>
            </w:r>
          </w:p>
        </w:tc>
        <w:tc>
          <w:tcPr>
            <w:tcW w:w="1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F-28</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Significant components of the Company’s deferred tax assets are as follows: </w:t>
      </w:r>
    </w:p>
    <w:p>
      <w:pPr>
        <w:pStyle w:val="TextBody"/>
        <w:spacing w:before="0" w:after="0"/>
        <w:jc w:val="both"/>
        <w:rPr/>
      </w:pPr>
      <w:r>
        <w:rPr/>
        <w:t> </w:t>
      </w:r>
    </w:p>
    <w:tbl>
      <w:tblPr>
        <w:tblW w:w="4677" w:type="dxa"/>
        <w:jc w:val="center"/>
        <w:tblInd w:w="0" w:type="dxa"/>
        <w:tblCellMar>
          <w:top w:w="0" w:type="dxa"/>
          <w:left w:w="0" w:type="dxa"/>
          <w:bottom w:w="28" w:type="dxa"/>
          <w:right w:w="0" w:type="dxa"/>
        </w:tblCellMar>
      </w:tblPr>
      <w:tblGrid>
        <w:gridCol w:w="2630"/>
        <w:gridCol w:w="60"/>
        <w:gridCol w:w="141"/>
        <w:gridCol w:w="734"/>
        <w:gridCol w:w="90"/>
        <w:gridCol w:w="67"/>
        <w:gridCol w:w="141"/>
        <w:gridCol w:w="734"/>
        <w:gridCol w:w="80"/>
      </w:tblGrid>
      <w:tr>
        <w:trPr/>
        <w:tc>
          <w:tcPr>
            <w:tcW w:w="26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79" w:name="_Hlk65850420"/>
            <w:bookmarkEnd w:id="179"/>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operating loss carryforwards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37,048</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Federal and state tax credits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4,054</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1,727</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42,829</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33,295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Valuation allowance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(42,829</w:t>
            </w:r>
          </w:p>
        </w:tc>
        <w:tc>
          <w:tcPr>
            <w:tcW w:w="9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(33,295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3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deferred tax asset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For the years ended December 31, 2020 and 2019, the Company generated federal and state net operating losses (“NOLs”) of approximately $30.8 million and $23.9 million, respectively. At December 31, 2020 and 2019, the Federal and state net operating loss balances were approximately $137.6 million and $106.8 million, respectively. The operating losses generated prior to 2018 will expire in years 2031 through 2037, unless previously utilized. The operating losses generated in 2018 or later can be carried forward indefinitely, however will only offset 80% of taxable income in a carryforward year. The Company also generated federal R&amp;D tax credits in 2020 of approximately $671. At December 31, 2020 and 2019, the federal R&amp;D tax credits were approximately $3.9 million and $3.2 million, respectively. These credits will expire in years 2032 through 2039, unless previously utilized. Due to the Series A preferred stock financing in December 2012 and the shares issued in connection with the Company’s IPO in May 2019, the Company was subject to an “ownership change” under the Code Section 382.  As a result, the Company’s ability to utilize approximately $91.3 million of its NOL carryforwards and approximately $3.0 million of research tax credits is limited.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also generated state research tax credits for the years ended December 31, 2020 and 2019 of approximately $133 and $82, respectively. The Company applied to exchange most of these credits for cash under a state-run program. These amounts, $18 and $18 for the years ended December 31, 2020 and 2019, respectively, were recognized as current income tax benefits in the Company’s Consolidated Statements of Operations. At each of December 31, 2020 and 2019, the Company’s Consolidated Balance Sheets reflect income tax receivable of $18 respectively, related to these credits. Because of the net operating loss and research credit carryforwards, tax years 2011 through 2020 remain open to U.S. federal and state tax examinations.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Income taxes are provided using the asset/liability method, in which deferred taxes are recognized for the tax consequences of temporary differences between the financial statement carrying amounts and tax bases of existing assets 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determined that operating losses it incurred since its inception on March 17, 2011, represented negative evidence sufficient to conclude a valuation allowance was necessary. As such, the Company has recorded a valuation allowance of $42.8 million and $33.3 million at December 31, 2020 and 2019, respectively, as a reserve against its net deferred tax assets. These balances reflect increases in the valuation allowance of $9.5 million and $7.4 million in 2020 and 2019, respectively, both representing an increase in net deferred tax assets.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F-29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2020 and 2019, the Company had no unrecognized tax benefits or related interest and penalties accrued. In the event the Company determines that accrual of interest or penalties are necessary in the future, the amount will be presented as a component of interest expense.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930" w:type="dxa"/>
        <w:jc w:val="left"/>
        <w:tblInd w:w="0" w:type="dxa"/>
        <w:tblCellMar>
          <w:top w:w="0" w:type="dxa"/>
          <w:left w:w="0" w:type="dxa"/>
          <w:bottom w:w="0" w:type="dxa"/>
          <w:right w:w="0" w:type="dxa"/>
        </w:tblCellMar>
      </w:tblPr>
      <w:tblGrid>
        <w:gridCol w:w="275"/>
        <w:gridCol w:w="1655"/>
      </w:tblGrid>
      <w:tr>
        <w:trPr/>
        <w:tc>
          <w:tcPr>
            <w:tcW w:w="275" w:type="dxa"/>
            <w:tcBorders/>
            <w:shd w:fill="auto" w:val="clear"/>
          </w:tcPr>
          <w:p>
            <w:pPr>
              <w:pStyle w:val="TableContents"/>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10.</w:t>
            </w:r>
          </w:p>
        </w:tc>
        <w:tc>
          <w:tcPr>
            <w:tcW w:w="1655" w:type="dxa"/>
            <w:tcBorders/>
            <w:shd w:fill="auto" w:val="clear"/>
          </w:tcPr>
          <w:p>
            <w:pPr>
              <w:pStyle w:val="TableContents"/>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Net Loss per Share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the computation of basic and diluted net loss per share attributable to common stockholders of the Company:</w:t>
      </w:r>
    </w:p>
    <w:p>
      <w:pPr>
        <w:pStyle w:val="TextBody"/>
        <w:spacing w:before="0" w:after="0"/>
        <w:rPr/>
      </w:pPr>
      <w:r>
        <w:rPr/>
        <w:t> </w:t>
      </w:r>
    </w:p>
    <w:tbl>
      <w:tblPr>
        <w:tblW w:w="7415" w:type="dxa"/>
        <w:jc w:val="center"/>
        <w:tblInd w:w="0" w:type="dxa"/>
        <w:tblCellMar>
          <w:top w:w="0" w:type="dxa"/>
          <w:left w:w="0" w:type="dxa"/>
          <w:bottom w:w="28" w:type="dxa"/>
          <w:right w:w="0" w:type="dxa"/>
        </w:tblCellMar>
      </w:tblPr>
      <w:tblGrid>
        <w:gridCol w:w="4985"/>
        <w:gridCol w:w="60"/>
        <w:gridCol w:w="125"/>
        <w:gridCol w:w="950"/>
        <w:gridCol w:w="80"/>
        <w:gridCol w:w="60"/>
        <w:gridCol w:w="125"/>
        <w:gridCol w:w="950"/>
        <w:gridCol w:w="80"/>
      </w:tblGrid>
      <w:tr>
        <w:trPr/>
        <w:tc>
          <w:tcPr>
            <w:tcW w:w="49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80" w:name="_Hlk65850421"/>
            <w:bookmarkEnd w:id="180"/>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90" w:type="dxa"/>
            <w:gridSpan w:val="6"/>
            <w:tcBorders>
              <w:bottom w:val="single" w:sz="6" w:space="0" w:color="000000"/>
            </w:tcBorders>
            <w:shd w:fill="FFFFFF" w:val="clea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81" w:name="_Hlk64564261"/>
            <w:bookmarkEnd w:id="181"/>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(32,758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(26,050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Accretion of redeemable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Dividends accrued on redeemable convertible preferred stock</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Adjusted net loss attributable to common stockholders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(32,758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(26,754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9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used in net loss per share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attributable to common stockholders,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18,059,011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11,735,781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 net loss per common share outstanding</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Accretion and dividends included in the table above were calculated through the IPO date.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potential dilutive securities, which include stock options and, for 2019 through the IPO date,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December 31, 2020 and 2019, were excluded from the calculation of diluted net loss per share attributable to common stockholders for the periods indicated because including them would have had an anti-dilutive effect:</w:t>
      </w:r>
    </w:p>
    <w:p>
      <w:pPr>
        <w:pStyle w:val="TextBody"/>
        <w:spacing w:before="0" w:after="0"/>
        <w:rPr/>
      </w:pPr>
      <w:r>
        <w:rPr/>
        <w:t> </w:t>
      </w:r>
    </w:p>
    <w:tbl>
      <w:tblPr>
        <w:tblW w:w="4215" w:type="dxa"/>
        <w:jc w:val="center"/>
        <w:tblInd w:w="0" w:type="dxa"/>
        <w:tblCellMar>
          <w:top w:w="0" w:type="dxa"/>
          <w:left w:w="0" w:type="dxa"/>
          <w:bottom w:w="28" w:type="dxa"/>
          <w:right w:w="0" w:type="dxa"/>
        </w:tblCellMar>
      </w:tblPr>
      <w:tblGrid>
        <w:gridCol w:w="2165"/>
        <w:gridCol w:w="60"/>
        <w:gridCol w:w="60"/>
        <w:gridCol w:w="845"/>
        <w:gridCol w:w="60"/>
        <w:gridCol w:w="60"/>
        <w:gridCol w:w="60"/>
        <w:gridCol w:w="845"/>
        <w:gridCol w:w="60"/>
      </w:tblGrid>
      <w:tr>
        <w:trPr/>
        <w:tc>
          <w:tcPr>
            <w:tcW w:w="21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bookmarkStart w:id="182" w:name="_Hlk64564262"/>
            <w:bookmarkEnd w:id="182"/>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 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stock options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2,171,477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1,675,226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2,171,477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1,675,226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805" w:type="dxa"/>
        <w:jc w:val="left"/>
        <w:tblInd w:w="0" w:type="dxa"/>
        <w:tblCellMar>
          <w:top w:w="0" w:type="dxa"/>
          <w:left w:w="0" w:type="dxa"/>
          <w:bottom w:w="0" w:type="dxa"/>
          <w:right w:w="0" w:type="dxa"/>
        </w:tblCellMar>
      </w:tblPr>
      <w:tblGrid>
        <w:gridCol w:w="275"/>
        <w:gridCol w:w="3530"/>
      </w:tblGrid>
      <w:tr>
        <w:trPr/>
        <w:tc>
          <w:tcPr>
            <w:tcW w:w="275"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11.</w:t>
            </w:r>
          </w:p>
        </w:tc>
        <w:tc>
          <w:tcPr>
            <w:tcW w:w="3530" w:type="dxa"/>
            <w:tcBorders/>
            <w:shd w:fill="auto" w:val="clear"/>
          </w:tcPr>
          <w:p>
            <w:pPr>
              <w:pStyle w:val="TableContents"/>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Collaborative and Licensing Agreements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enters into collaborative and licensing agreements with pharmaceutical companies to in-license, develop, manufacture and/or market products that fit within its business strategy.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Endo Pharmaceuticals Inc.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Haduvio, in all fields and for any use.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F-30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Phase 2b/3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Exclusive License Agreement with Rutgers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November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F-31</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Restructuring Agreement with MentiNova, LLC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November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$1.2 million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 </w:t>
      </w:r>
    </w:p>
    <w:tbl>
      <w:tblPr>
        <w:tblW w:w="3160" w:type="dxa"/>
        <w:jc w:val="left"/>
        <w:tblInd w:w="0" w:type="dxa"/>
        <w:tblCellMar>
          <w:top w:w="0" w:type="dxa"/>
          <w:left w:w="0" w:type="dxa"/>
          <w:bottom w:w="0" w:type="dxa"/>
          <w:right w:w="0" w:type="dxa"/>
        </w:tblCellMar>
      </w:tblPr>
      <w:tblGrid>
        <w:gridCol w:w="275"/>
        <w:gridCol w:w="2885"/>
      </w:tblGrid>
      <w:tr>
        <w:trPr/>
        <w:tc>
          <w:tcPr>
            <w:tcW w:w="275"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w:t>
            </w:r>
          </w:p>
        </w:tc>
        <w:tc>
          <w:tcPr>
            <w:tcW w:w="2885"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Commitments and Contingencies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also has commitments under lease and licensing agreements (Note 4 and Note 11).</w:t>
      </w:r>
    </w:p>
    <w:tbl>
      <w:tblPr>
        <w:tblW w:w="4195" w:type="dxa"/>
        <w:jc w:val="left"/>
        <w:tblInd w:w="0" w:type="dxa"/>
        <w:tblCellMar>
          <w:top w:w="0" w:type="dxa"/>
          <w:left w:w="0" w:type="dxa"/>
          <w:bottom w:w="0" w:type="dxa"/>
          <w:right w:w="0" w:type="dxa"/>
        </w:tblCellMar>
      </w:tblPr>
      <w:tblGrid>
        <w:gridCol w:w="275"/>
        <w:gridCol w:w="3920"/>
      </w:tblGrid>
      <w:tr>
        <w:trPr/>
        <w:tc>
          <w:tcPr>
            <w:tcW w:w="275"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w:t>
            </w:r>
          </w:p>
        </w:tc>
        <w:tc>
          <w:tcPr>
            <w:tcW w:w="3920"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Retirement Plan and Other Employee Benefits</w:t>
            </w:r>
          </w:p>
        </w:tc>
      </w:tr>
    </w:tbl>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Savings Plan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March 2013, the Company adopted and became a participating employer of a multiple employer defined contribution retirement plan that complies with Section 401(k) of the Code. All eligible employees of the Company immediately participate in the plan (with an entry date of the first day of any month), with no minimum service requirement. The 401(k) plan provides that the Company make non-discretionary matching contributions of 50% of the first 6% of elective contributions. Participants are immediately vested in their contributions, as well as any earnings thereon. Vesting in the employer match contribution portion of their accounts, as well as any earnings thereon, is based on years of credited service, vesting over a four-year period, with 25% vesting per completed year. The Company’s expense under the 401(k) plan, representing its employer matching contributions and additional contributions in accordance with regulatory compliance requirements, totaled $68 and $111 in the years ended   December 31, 2020 and 2019, respectively.</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Health Care and Life Insurance Benefits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offers health care and life insurance benefits to all eligible and active employees. Costs incurred for these benefits totaled $407 and $289 during the years ended December 31, 2020 and 2019, respectively.</w:t>
      </w:r>
    </w:p>
    <w:tbl>
      <w:tblPr>
        <w:tblW w:w="1855" w:type="dxa"/>
        <w:jc w:val="left"/>
        <w:tblInd w:w="0" w:type="dxa"/>
        <w:tblCellMar>
          <w:top w:w="0" w:type="dxa"/>
          <w:left w:w="0" w:type="dxa"/>
          <w:bottom w:w="0" w:type="dxa"/>
          <w:right w:w="0" w:type="dxa"/>
        </w:tblCellMar>
      </w:tblPr>
      <w:tblGrid>
        <w:gridCol w:w="275"/>
        <w:gridCol w:w="1580"/>
      </w:tblGrid>
      <w:tr>
        <w:trPr/>
        <w:tc>
          <w:tcPr>
            <w:tcW w:w="275"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w:t>
            </w:r>
          </w:p>
        </w:tc>
        <w:tc>
          <w:tcPr>
            <w:tcW w:w="1580" w:type="dxa"/>
            <w:tcBorders/>
            <w:shd w:fill="auto" w:val="clear"/>
          </w:tcPr>
          <w:p>
            <w:pPr>
              <w:pStyle w:val="TableContents"/>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Subsequent Events</w:t>
            </w:r>
          </w:p>
        </w:tc>
      </w:tr>
    </w:tbl>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Subsequent to December 31, 2020, and through March 24, 2021, the Company had issued and sold an additional 1,367,621 shares of common stock for gross proceeds of $4.4 million, before deducting estimated commissions and allocated fees of $0.3 million under the ATM Sales Agreement (Note 8).</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F-32</w:t>
      </w:r>
      <w:r>
        <w:br w:type="page"/>
      </w:r>
    </w:p>
    <w:p>
      <w:pPr>
        <w:pStyle w:val="TextBody"/>
        <w:spacing w:before="0" w:after="0"/>
        <w:rPr>
          <w:caps w:val="false"/>
          <w:smallCaps w:val="false"/>
        </w:rPr>
      </w:pPr>
      <w:bookmarkStart w:id="183" w:name="trvi-ex107_330.htm"/>
      <w:bookmarkStart w:id="184" w:name="kstrviex107_330"/>
      <w:bookmarkEnd w:id="183"/>
      <w:bookmarkEnd w:id="184"/>
      <w:r>
        <w:rPr>
          <w:caps w:val="false"/>
          <w:smallCaps w:val="false"/>
        </w:rPr>
        <w:t> </w:t>
      </w:r>
    </w:p>
    <w:p>
      <w:pPr>
        <w:pStyle w:val="TextBody"/>
        <w:spacing w:before="0" w:after="0"/>
        <w:jc w:val="right"/>
        <w:rPr>
          <w:rFonts w:ascii="Times New Roman" w:hAnsi="Times New Roman"/>
          <w:b/>
          <w:i w:val="false"/>
          <w:caps w:val="false"/>
          <w:smallCaps w:val="false"/>
          <w:sz w:val="24"/>
        </w:rPr>
      </w:pPr>
      <w:r>
        <w:rPr>
          <w:rFonts w:ascii="Times New Roman" w:hAnsi="Times New Roman"/>
          <w:b/>
          <w:i w:val="false"/>
          <w:caps w:val="false"/>
          <w:smallCaps w:val="false"/>
          <w:sz w:val="24"/>
        </w:rPr>
        <w:t>Exhibit 10.7</w:t>
      </w:r>
    </w:p>
    <w:p>
      <w:pPr>
        <w:pStyle w:val="TextBody"/>
        <w:spacing w:before="240" w:after="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Non-Employee Director Compensation Program</w:t>
      </w:r>
    </w:p>
    <w:tbl>
      <w:tblPr>
        <w:tblW w:w="10205" w:type="dxa"/>
        <w:jc w:val="left"/>
        <w:tblInd w:w="0" w:type="dxa"/>
        <w:tblCellMar>
          <w:top w:w="0" w:type="dxa"/>
          <w:left w:w="0" w:type="dxa"/>
          <w:bottom w:w="0" w:type="dxa"/>
          <w:right w:w="0" w:type="dxa"/>
        </w:tblCellMar>
      </w:tblPr>
      <w:tblGrid>
        <w:gridCol w:w="60"/>
        <w:gridCol w:w="206"/>
        <w:gridCol w:w="9939"/>
      </w:tblGrid>
      <w:tr>
        <w:trPr/>
        <w:tc>
          <w:tcPr>
            <w:tcW w:w="60" w:type="dxa"/>
            <w:tcBorders/>
            <w:shd w:fill="auto" w:val="clear"/>
          </w:tcPr>
          <w:p>
            <w:pPr>
              <w:pStyle w:val="TableContents"/>
              <w:spacing w:before="240" w:after="0"/>
              <w:jc w:val="both"/>
              <w:rPr>
                <w:caps w:val="false"/>
                <w:smallCaps w:val="false"/>
              </w:rPr>
            </w:pPr>
            <w:r>
              <w:rPr>
                <w:caps w:val="false"/>
                <w:smallCaps w:val="false"/>
              </w:rPr>
              <w:t> </w:t>
            </w:r>
          </w:p>
        </w:tc>
        <w:tc>
          <w:tcPr>
            <w:tcW w:w="206"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w:t>
            </w:r>
          </w:p>
        </w:tc>
        <w:tc>
          <w:tcPr>
            <w:tcW w:w="9939"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i/>
                <w:caps w:val="false"/>
                <w:smallCaps w:val="false"/>
                <w:sz w:val="24"/>
              </w:rPr>
              <w:t>Initial Stock Option Grant</w:t>
            </w:r>
            <w:r>
              <w:rPr>
                <w:rFonts w:ascii="Times New Roman" w:hAnsi="Times New Roman"/>
                <w:b w:val="false"/>
                <w:i/>
                <w:caps w:val="false"/>
                <w:smallCaps w:val="false"/>
                <w:sz w:val="24"/>
              </w:rPr>
              <w:t>.</w:t>
            </w:r>
            <w:r>
              <w:rPr>
                <w:rFonts w:ascii="Times New Roman" w:hAnsi="Times New Roman"/>
                <w:b w:val="false"/>
                <w:i w:val="false"/>
                <w:caps w:val="false"/>
                <w:smallCaps w:val="false"/>
                <w:sz w:val="24"/>
              </w:rPr>
              <w:t xml:space="preserve"> Each non-employee director will receive an option under the 2019 Stock Incentive Plan (the “2019 Plan”) to purchase 40,000 shares of Common Stock upon his or her initial election or appointment to the Board.  Subject to the non-employee director’s continued service as a director, employee or consultant, the option will vest with respect to (i) 50% of the underlying shares on the earlier of (A) the first anniversary of the date of grant and (B) the date of the first annual meeting of stockholders of the Company held following the date of grant and (ii) the remaining 50% of the underlying shares on the earlier of (A) the second anniversary of the date of grant and (B) the date of the second annual meeting of stockholders of the Company held following the date of grant, and, in the event of a change in control of the Company, the vesting of the option will accelerate in full.  The exercise price of the option will be equal to the fair market value of the Common Stock on the date of grant.</w:t>
            </w:r>
          </w:p>
        </w:tc>
      </w:tr>
    </w:tbl>
    <w:tbl>
      <w:tblPr>
        <w:tblW w:w="10205" w:type="dxa"/>
        <w:jc w:val="left"/>
        <w:tblInd w:w="0" w:type="dxa"/>
        <w:tblCellMar>
          <w:top w:w="0" w:type="dxa"/>
          <w:left w:w="0" w:type="dxa"/>
          <w:bottom w:w="0" w:type="dxa"/>
          <w:right w:w="0" w:type="dxa"/>
        </w:tblCellMar>
      </w:tblPr>
      <w:tblGrid>
        <w:gridCol w:w="60"/>
        <w:gridCol w:w="223"/>
        <w:gridCol w:w="9922"/>
      </w:tblGrid>
      <w:tr>
        <w:trPr/>
        <w:tc>
          <w:tcPr>
            <w:tcW w:w="60" w:type="dxa"/>
            <w:tcBorders/>
            <w:shd w:fill="auto" w:val="clear"/>
          </w:tcPr>
          <w:p>
            <w:pPr>
              <w:pStyle w:val="TableContents"/>
              <w:spacing w:before="240" w:after="0"/>
              <w:jc w:val="both"/>
              <w:rPr>
                <w:caps w:val="false"/>
                <w:smallCaps w:val="false"/>
              </w:rPr>
            </w:pPr>
            <w:r>
              <w:rPr>
                <w:caps w:val="false"/>
                <w:smallCaps w:val="false"/>
              </w:rPr>
              <w:t> </w:t>
            </w:r>
          </w:p>
        </w:tc>
        <w:tc>
          <w:tcPr>
            <w:tcW w:w="223"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w:t>
            </w:r>
          </w:p>
        </w:tc>
        <w:tc>
          <w:tcPr>
            <w:tcW w:w="9922"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i/>
                <w:caps w:val="false"/>
                <w:smallCaps w:val="false"/>
                <w:sz w:val="24"/>
              </w:rPr>
              <w:t>Annual Stock Option Grant</w:t>
            </w:r>
            <w:r>
              <w:rPr>
                <w:rFonts w:ascii="Times New Roman" w:hAnsi="Times New Roman"/>
                <w:b w:val="false"/>
                <w:i/>
                <w:caps w:val="false"/>
                <w:smallCaps w:val="false"/>
                <w:sz w:val="24"/>
              </w:rPr>
              <w:t>.</w:t>
            </w:r>
            <w:r>
              <w:rPr>
                <w:rFonts w:ascii="Times New Roman" w:hAnsi="Times New Roman"/>
                <w:b w:val="false"/>
                <w:i w:val="false"/>
                <w:caps w:val="false"/>
                <w:smallCaps w:val="false"/>
                <w:sz w:val="24"/>
              </w:rPr>
              <w:t xml:space="preserve">  Each non-employee director who has served on the Board for at least six months will receive a grant of an option under the 2019 Plan to purchase </w:t>
            </w:r>
            <w:r>
              <w:rPr>
                <w:rFonts w:ascii="Times New Roman" w:hAnsi="Times New Roman"/>
                <w:b w:val="false"/>
                <w:i w:val="false"/>
                <w:caps w:val="false"/>
                <w:smallCaps w:val="false"/>
                <w:color w:val="000000"/>
                <w:sz w:val="24"/>
              </w:rPr>
              <w:t>20,000</w:t>
            </w:r>
            <w:r>
              <w:rPr>
                <w:rFonts w:ascii="Times New Roman" w:hAnsi="Times New Roman"/>
                <w:b w:val="false"/>
                <w:i w:val="false"/>
                <w:caps w:val="false"/>
                <w:smallCaps w:val="false"/>
                <w:sz w:val="24"/>
              </w:rPr>
              <w:t xml:space="preserve"> shares of Common Stock on the date of each of the Company’s annual meetings of stockholders. Unless otherwise provided at the time of grant, subject to the non-employee director’s continued service as a director, employee or consultant, the option will vest in full on the earlier of the first anniversary of the date of grant or the date of the next annual meeting of stockholders held following the date of grant, and, in the event of a change in control of the Company, the vesting of the option will accelerate in full.  The exercise price of the option will be equal to the fair market value of the Common Stock on the date of grant.</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240" w:after="0"/>
              <w:jc w:val="both"/>
              <w:rPr>
                <w:caps w:val="false"/>
                <w:smallCaps w:val="false"/>
              </w:rPr>
            </w:pPr>
            <w:r>
              <w:rPr>
                <w:caps w:val="false"/>
                <w:smallCaps w:val="false"/>
              </w:rPr>
              <w:t> </w:t>
            </w:r>
          </w:p>
        </w:tc>
        <w:tc>
          <w:tcPr>
            <w:tcW w:w="204"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(c)</w:t>
            </w:r>
          </w:p>
        </w:tc>
        <w:tc>
          <w:tcPr>
            <w:tcW w:w="9941"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i/>
                <w:caps w:val="false"/>
                <w:smallCaps w:val="false"/>
                <w:sz w:val="24"/>
              </w:rPr>
              <w:t>Annual Fee; Reimbursement of Travel and Other Expenses</w:t>
            </w:r>
            <w:r>
              <w:rPr>
                <w:rFonts w:ascii="Times New Roman" w:hAnsi="Times New Roman"/>
                <w:b w:val="false"/>
                <w:i w:val="false"/>
                <w:caps w:val="false"/>
                <w:smallCaps w:val="false"/>
                <w:sz w:val="24"/>
              </w:rPr>
              <w:t>.  Each non-employee director will receive an annual fee of $40,000 relating to such director’s service on the Board.  Each non-employee director will also receive an annual fee of $7,500 for serving on the Audit Committee, $5,000 for serving on the Compensation Committee and $4,000 for serving on the Nominating and Corporate Governance Committee of the Board.  The chair of the Audit Committee will receive an additional annual fee of $7,500, the chair of the Compensation Committee will receive an additional annual fee of $5,000 and the chair of the Nominating and Corporate Governance Committee will receive an additional annual fee of $4,000.  The chair of the Board will receive an additional annual fee of $30,000. If there is a lead director, the lead director will receive an additional annual fee of $15,000 if further approved by the Board.  Each annual fee shall be payable in arrears in four equal quarterly installments on the last day of each quarter, provided that the amount of such payment shall be prorated for any portion of such quarter that the director was not serving on the Board, on such committee or in such position.  Each non-employee director will also be reimbursed for reasonable travel and other expenses in connection with attending meetings of the Board and any committee on which he or she serves.</w:t>
            </w:r>
          </w:p>
        </w:tc>
      </w:tr>
    </w:tbl>
    <w:p>
      <w:pPr>
        <w:pStyle w:val="TextBody"/>
        <w:spacing w:before="240" w:after="0"/>
        <w:rPr>
          <w:caps w:val="false"/>
          <w:smallCaps w:val="false"/>
        </w:rPr>
      </w:pPr>
      <w:r>
        <w:rPr>
          <w:caps w:val="false"/>
          <w:smallCaps w:val="false"/>
        </w:rPr>
        <w:t> </w:t>
      </w:r>
      <w:r>
        <w:br w:type="page"/>
      </w:r>
    </w:p>
    <w:p>
      <w:pPr>
        <w:pStyle w:val="TextBody"/>
        <w:spacing w:before="0" w:after="180"/>
        <w:jc w:val="right"/>
        <w:rPr>
          <w:rFonts w:ascii="font-weight:normal;font-style:normal;text-transform:none;font-variant: normal" w:hAnsi="font-weight:normal;font-style:normal;text-transform:none;font-variant: normal"/>
          <w:color w:val="333333"/>
          <w:sz w:val="21"/>
        </w:rPr>
      </w:pPr>
      <w:bookmarkStart w:id="185" w:name="trvi-ex231_11.htm"/>
      <w:bookmarkStart w:id="186" w:name="kstrviex231_11"/>
      <w:bookmarkEnd w:id="185"/>
      <w:bookmarkEnd w:id="186"/>
      <w:r>
        <w:rPr>
          <w:rFonts w:ascii="font-weight:normal;font-style:normal;text-transform:none;font-variant: normal" w:hAnsi="font-weight:normal;font-style:normal;text-transform:none;font-variant: normal"/>
          <w:color w:val="333333"/>
          <w:sz w:val="21"/>
        </w:rPr>
        <w:t>Exhibit 23.1</w:t>
      </w:r>
    </w:p>
    <w:p>
      <w:pPr>
        <w:pStyle w:val="TextBody"/>
        <w:spacing w:before="0" w:after="180"/>
        <w:jc w:val="center"/>
        <w:rPr>
          <w:rFonts w:ascii="font-weight:normal;font-style:normal;text-transform:none;font-variant: normal" w:hAnsi="font-weight:normal;font-style:normal;text-transform:none;font-variant: normal"/>
          <w:color w:val="333333"/>
          <w:sz w:val="21"/>
        </w:rPr>
      </w:pPr>
      <w:r>
        <w:rPr>
          <w:rFonts w:ascii="font-weight:normal;font-style:normal;text-transform:none;font-variant: normal" w:hAnsi="font-weight:normal;font-style:normal;text-transform:none;font-variant: normal"/>
          <w:color w:val="333333"/>
          <w:sz w:val="21"/>
        </w:rPr>
        <w:t>Consent of Independent Registered Public Accounting Firm</w:t>
      </w:r>
    </w:p>
    <w:p>
      <w:pPr>
        <w:pStyle w:val="TextBody"/>
        <w:spacing w:before="0" w:after="180"/>
        <w:rPr>
          <w:rFonts w:ascii="font-weight:normal;font-style:normal;text-transform:none;font-variant: normal" w:hAnsi="font-weight:normal;font-style:normal;text-transform:none;font-variant: normal"/>
          <w:color w:val="333333"/>
          <w:sz w:val="21"/>
        </w:rPr>
      </w:pPr>
      <w:r>
        <w:rPr>
          <w:rFonts w:ascii="font-weight:normal;font-style:normal;text-transform:none;font-variant: normal" w:hAnsi="font-weight:normal;font-style:normal;text-transform:none;font-variant: normal"/>
          <w:color w:val="333333"/>
          <w:sz w:val="21"/>
        </w:rPr>
        <w:t>We consent to the incorporation by reference in the Registration Statement (Form S-8 No. 333-231260) pertaining to the 2012 Stock Incentive Plan, as amended, the 2019 Stock Incentive Plan and the 2019 Employee Stock Purchase Plan; the Registration Statement (Form S-8 No. 333-237193) pertaining to the 2019 Stock Incentive Plan and the 2019 Employee Stock Purchase Plan; and the Registration Statement (Form S-3 No. 333-239499) pertaining to the Prospectus of Trevi Therapeutics, Inc., of our report dated March 25, 2021, with respect to the consolidated financial statements of Trevi Therapeutics, Inc. included in this Annual Report (Form 10-K) for the year ended December 31, 2020.</w:t>
      </w:r>
    </w:p>
    <w:p>
      <w:pPr>
        <w:pStyle w:val="TextBody"/>
        <w:spacing w:before="0" w:after="180"/>
        <w:rPr>
          <w:rFonts w:ascii="font-weight:normal;font-style:normal;text-transform:none;font-variant: normal" w:hAnsi="font-weight:normal;font-style:normal;text-transform:none;font-variant: normal"/>
          <w:color w:val="333333"/>
          <w:sz w:val="21"/>
        </w:rPr>
      </w:pPr>
      <w:r>
        <w:rPr>
          <w:rFonts w:ascii="font-weight:normal;font-style:normal;text-transform:none;font-variant: normal" w:hAnsi="font-weight:normal;font-style:normal;text-transform:none;font-variant: normal"/>
          <w:color w:val="333333"/>
          <w:sz w:val="21"/>
        </w:rPr>
        <w:t>/s/ Ernst &amp; Young LLP</w:t>
      </w:r>
    </w:p>
    <w:p>
      <w:pPr>
        <w:pStyle w:val="TextBody"/>
        <w:spacing w:before="0" w:after="180"/>
        <w:rPr>
          <w:rFonts w:ascii="font-weight:normal;font-style:normal;text-transform:none;font-variant: normal" w:hAnsi="font-weight:normal;font-style:normal;text-transform:none;font-variant: normal"/>
          <w:color w:val="333333"/>
          <w:sz w:val="21"/>
        </w:rPr>
      </w:pPr>
      <w:r>
        <w:rPr>
          <w:rFonts w:ascii="font-weight:normal;font-style:normal;text-transform:none;font-variant: normal" w:hAnsi="font-weight:normal;font-style:normal;text-transform:none;font-variant: normal"/>
          <w:color w:val="333333"/>
          <w:sz w:val="21"/>
        </w:rPr>
        <w:t>Stamford, Connecticut</w:t>
      </w:r>
    </w:p>
    <w:p>
      <w:pPr>
        <w:pStyle w:val="TextBody"/>
        <w:spacing w:before="0" w:after="180"/>
        <w:rPr>
          <w:rFonts w:ascii="font-weight:normal;font-style:normal;text-transform:none;font-variant: normal" w:hAnsi="font-weight:normal;font-style:normal;text-transform:none;font-variant: normal"/>
          <w:color w:val="333333"/>
          <w:sz w:val="21"/>
        </w:rPr>
      </w:pPr>
      <w:r>
        <w:rPr>
          <w:rFonts w:ascii="font-weight:normal;font-style:normal;text-transform:none;font-variant: normal" w:hAnsi="font-weight:normal;font-style:normal;text-transform:none;font-variant: normal"/>
          <w:color w:val="333333"/>
          <w:sz w:val="21"/>
        </w:rPr>
        <w:t>March 25, 2021</w:t>
      </w:r>
    </w:p>
    <w:p>
      <w:pPr>
        <w:pStyle w:val="TextBody"/>
        <w:spacing w:before="0" w:after="0"/>
        <w:rPr/>
      </w:pPr>
      <w:r>
        <w:rPr/>
        <w:t> </w:t>
      </w:r>
      <w:r>
        <w:br w:type="page"/>
      </w:r>
    </w:p>
    <w:p>
      <w:pPr>
        <w:pStyle w:val="TextBody"/>
        <w:spacing w:before="0" w:after="0"/>
        <w:rPr/>
      </w:pPr>
      <w:bookmarkStart w:id="187" w:name="trvi-ex311_9.htm"/>
      <w:bookmarkStart w:id="188" w:name="kstrviex311_9"/>
      <w:bookmarkEnd w:id="187"/>
      <w:bookmarkEnd w:id="188"/>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31.1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 RULES 13a-14(a) AND 15d-14(a) UNDER THE SECURITIES EXCHANGE ACT OF 1934, AS ADOPTED PURSUANT TO SECTION 302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Jennifer L. Good, certify that: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I have reviewed this Annual Report on Form 10-K of Trevi Therapeutics, Inc.;</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Any fraud, whether or not material, that involves management or other employees who have a significant role in the registrant’s internal control over financial reporting. </w:t>
      </w:r>
    </w:p>
    <w:tbl>
      <w:tblPr>
        <w:tblW w:w="5430" w:type="dxa"/>
        <w:jc w:val="left"/>
        <w:tblInd w:w="0" w:type="dxa"/>
        <w:tblCellMar>
          <w:top w:w="0" w:type="dxa"/>
          <w:left w:w="0" w:type="dxa"/>
          <w:bottom w:w="0" w:type="dxa"/>
          <w:right w:w="0" w:type="dxa"/>
        </w:tblCellMar>
      </w:tblPr>
      <w:tblGrid>
        <w:gridCol w:w="1790"/>
        <w:gridCol w:w="60"/>
        <w:gridCol w:w="60"/>
        <w:gridCol w:w="60"/>
        <w:gridCol w:w="320"/>
        <w:gridCol w:w="60"/>
        <w:gridCol w:w="3080"/>
      </w:tblGrid>
      <w:tr>
        <w:trPr/>
        <w:tc>
          <w:tcPr>
            <w:tcW w:w="179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32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308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r>
      <w:tr>
        <w:trPr/>
        <w:tc>
          <w:tcPr>
            <w:tcW w:w="1790" w:type="dxa"/>
            <w:tcBorders/>
            <w:shd w:fill="FFFFFF" w:val="clear"/>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pBdr>
                <w:bottom w:val="single" w:sz="6" w:space="1" w:color="000000"/>
              </w:pBdr>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Jennifer L. Good</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Jennifer L. Good</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p>
            <w:pPr>
              <w:pStyle w:val="TableContents"/>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hd w:fill="FFFFFF" w:val="clear"/>
        <w:spacing w:before="0" w:after="0"/>
        <w:jc w:val="right"/>
        <w:rPr/>
      </w:pPr>
      <w:r>
        <w:rPr/>
        <w:t> </w:t>
      </w:r>
    </w:p>
    <w:p>
      <w:pPr>
        <w:pStyle w:val="TextBody"/>
        <w:spacing w:before="240" w:after="0"/>
        <w:rPr/>
      </w:pPr>
      <w:r>
        <w:rPr/>
        <w:t> </w:t>
      </w:r>
    </w:p>
    <w:p>
      <w:pPr>
        <w:pStyle w:val="TextBody"/>
        <w:spacing w:before="0" w:after="0"/>
        <w:rPr/>
      </w:pPr>
      <w:r>
        <w:rPr/>
        <w:t> </w:t>
      </w:r>
      <w:r>
        <w:br w:type="page"/>
      </w:r>
    </w:p>
    <w:p>
      <w:pPr>
        <w:pStyle w:val="TextBody"/>
        <w:spacing w:before="0" w:after="0"/>
        <w:rPr/>
      </w:pPr>
      <w:bookmarkStart w:id="189" w:name="trvi-ex312_7.htm"/>
      <w:bookmarkStart w:id="190" w:name="kstrviex312_7"/>
      <w:bookmarkEnd w:id="189"/>
      <w:bookmarkEnd w:id="190"/>
      <w:r>
        <w:rPr/>
        <w:t> </w:t>
      </w:r>
    </w:p>
    <w:p>
      <w:pPr>
        <w:pStyle w:val="TextBody"/>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31.2</w:t>
      </w:r>
    </w:p>
    <w:p>
      <w:pPr>
        <w:pStyle w:val="TextBody"/>
        <w:shd w:fill="FFFFFF" w:val="clear"/>
        <w:spacing w:before="240" w:after="0"/>
        <w:jc w:val="center"/>
        <w:rPr>
          <w:rFonts w:ascii="Times New Roman" w:hAnsi="Times New Roman"/>
          <w:b/>
          <w:i w:val="false"/>
          <w:caps w:val="false"/>
          <w:smallCaps w:val="false"/>
          <w:color w:val="000000"/>
          <w:sz w:val="20"/>
        </w:rPr>
      </w:pPr>
      <w:bookmarkStart w:id="191" w:name="_Hlk67513403"/>
      <w:bookmarkEnd w:id="191"/>
      <w:r>
        <w:rPr>
          <w:rFonts w:ascii="Times New Roman" w:hAnsi="Times New Roman"/>
          <w:b/>
          <w:i w:val="false"/>
          <w:caps w:val="false"/>
          <w:smallCaps w:val="false"/>
          <w:color w:val="000000"/>
          <w:sz w:val="20"/>
        </w:rPr>
        <w:t>CERTIFICATION PURSUANT TO RULES 13a-14(a) AND 15d-14(a) UNDER THE SECURITIES EXCHANGE ACT OF 1934, AS ADOPTED PURSUANT TO SECTION 302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Christopher Seiter, certify that: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I have reviewed this Annual Report on Form 10-K of Trevi Therapeutics, Inc.;</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hd w:fill="FFFFFF" w:val="clear"/>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Any fraud, whether or not material, that involves management or other employees who have a significant role in the registrant’s internal control over financial reporting.</w:t>
      </w:r>
    </w:p>
    <w:tbl>
      <w:tblPr>
        <w:tblW w:w="4635" w:type="dxa"/>
        <w:jc w:val="left"/>
        <w:tblInd w:w="0" w:type="dxa"/>
        <w:tblCellMar>
          <w:top w:w="0" w:type="dxa"/>
          <w:left w:w="0" w:type="dxa"/>
          <w:bottom w:w="0" w:type="dxa"/>
          <w:right w:w="0" w:type="dxa"/>
        </w:tblCellMar>
      </w:tblPr>
      <w:tblGrid>
        <w:gridCol w:w="1790"/>
        <w:gridCol w:w="60"/>
        <w:gridCol w:w="60"/>
        <w:gridCol w:w="60"/>
        <w:gridCol w:w="320"/>
        <w:gridCol w:w="60"/>
        <w:gridCol w:w="2285"/>
      </w:tblGrid>
      <w:tr>
        <w:trPr/>
        <w:tc>
          <w:tcPr>
            <w:tcW w:w="1790" w:type="dxa"/>
            <w:tcBorders/>
            <w:shd w:fill="FFFFFF" w:val="clear"/>
            <w:vAlign w:val="center"/>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32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2285"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r>
      <w:tr>
        <w:trPr/>
        <w:tc>
          <w:tcPr>
            <w:tcW w:w="1790" w:type="dxa"/>
            <w:tcBorders/>
            <w:shd w:fill="FFFFFF" w:val="clear"/>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pBdr>
                <w:bottom w:val="single" w:sz="6" w:space="1" w:color="000000"/>
              </w:pBdr>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Christopher Seiter</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Christopher Seiter</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Officer</w:t>
            </w:r>
          </w:p>
          <w:p>
            <w:pPr>
              <w:pStyle w:val="TableContents"/>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240" w:after="0"/>
        <w:rPr/>
      </w:pPr>
      <w:r>
        <w:rPr/>
        <w:t> </w:t>
      </w:r>
    </w:p>
    <w:p>
      <w:pPr>
        <w:pStyle w:val="TextBody"/>
        <w:spacing w:before="240" w:after="0"/>
        <w:rPr/>
      </w:pPr>
      <w:r>
        <w:rPr/>
        <w:t> </w:t>
      </w:r>
    </w:p>
    <w:p>
      <w:pPr>
        <w:pStyle w:val="TextBody"/>
        <w:spacing w:before="0" w:after="0"/>
        <w:rPr/>
      </w:pPr>
      <w:r>
        <w:rPr/>
        <w:t> </w:t>
      </w:r>
      <w:r>
        <w:br w:type="page"/>
      </w:r>
    </w:p>
    <w:p>
      <w:pPr>
        <w:pStyle w:val="TextBody"/>
        <w:spacing w:before="0" w:after="0"/>
        <w:rPr/>
      </w:pPr>
      <w:bookmarkStart w:id="192" w:name="trvi-ex321_10.htm"/>
      <w:bookmarkStart w:id="193" w:name="kstrviex321_10"/>
      <w:bookmarkEnd w:id="192"/>
      <w:bookmarkEnd w:id="193"/>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 18 U.S.C. SECTION 1350,</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Annual Report on Form 10-K of Trevi Therapeutics, Inc. (the “Company”) for the period ended December 31, 2020,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the Report fully complies with the requirements of Section 13(a) or 15(d) of the Securities Exchange Act of 1934; and</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the information contained in the Report fairly presents, in all material respects, the financial condition and results of operations of the Company.</w:t>
      </w:r>
    </w:p>
    <w:p>
      <w:pPr>
        <w:pStyle w:val="TextBody"/>
        <w:shd w:fill="FFFFFF" w:val="clear"/>
        <w:spacing w:before="0" w:after="0"/>
        <w:rPr>
          <w:caps w:val="false"/>
          <w:smallCaps w:val="false"/>
        </w:rPr>
      </w:pPr>
      <w:r>
        <w:rPr>
          <w:caps w:val="false"/>
          <w:smallCaps w:val="false"/>
        </w:rPr>
        <w:t> </w:t>
      </w:r>
    </w:p>
    <w:tbl>
      <w:tblPr>
        <w:tblW w:w="5310" w:type="dxa"/>
        <w:jc w:val="center"/>
        <w:tblInd w:w="0" w:type="dxa"/>
        <w:tblCellMar>
          <w:top w:w="0" w:type="dxa"/>
          <w:left w:w="0" w:type="dxa"/>
          <w:bottom w:w="0" w:type="dxa"/>
          <w:right w:w="0" w:type="dxa"/>
        </w:tblCellMar>
      </w:tblPr>
      <w:tblGrid>
        <w:gridCol w:w="1790"/>
        <w:gridCol w:w="60"/>
        <w:gridCol w:w="320"/>
        <w:gridCol w:w="60"/>
        <w:gridCol w:w="3080"/>
      </w:tblGrid>
      <w:tr>
        <w:trPr/>
        <w:tc>
          <w:tcPr>
            <w:tcW w:w="179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32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308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r>
      <w:tr>
        <w:trPr/>
        <w:tc>
          <w:tcPr>
            <w:tcW w:w="1790" w:type="dxa"/>
            <w:tcBorders/>
            <w:shd w:fill="FFFFFF" w:val="clear"/>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pBdr>
                <w:bottom w:val="single" w:sz="6" w:space="1" w:color="000000"/>
              </w:pBdr>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Jennifer L. Good</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Jennifer L. Good</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08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President and Chief Executive Officer</w:t>
            </w:r>
          </w:p>
          <w:p>
            <w:pPr>
              <w:pStyle w:val="TableContents"/>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r>
    </w:tbl>
    <w:p>
      <w:pPr>
        <w:pStyle w:val="TextBody"/>
        <w:spacing w:before="0" w:after="0"/>
        <w:rPr>
          <w:caps w:val="false"/>
          <w:smallCaps w:val="false"/>
        </w:rPr>
      </w:pPr>
      <w:r>
        <w:rPr>
          <w:caps w:val="false"/>
          <w:smallCaps w:val="false"/>
        </w:rPr>
        <w:t> </w:t>
      </w:r>
    </w:p>
    <w:p>
      <w:pPr>
        <w:pStyle w:val="TextBody"/>
        <w:spacing w:before="240" w:after="0"/>
        <w:rPr/>
      </w:pPr>
      <w:r>
        <w:rPr/>
        <w:t> </w:t>
      </w:r>
      <w:r>
        <w:br w:type="page"/>
      </w:r>
    </w:p>
    <w:p>
      <w:pPr>
        <w:pStyle w:val="TextBody"/>
        <w:spacing w:before="0" w:after="0"/>
        <w:rPr/>
      </w:pPr>
      <w:bookmarkStart w:id="194" w:name="trvi-ex322_6.htm"/>
      <w:bookmarkStart w:id="195" w:name="kstrviex322_6"/>
      <w:bookmarkEnd w:id="194"/>
      <w:bookmarkEnd w:id="195"/>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 18 U.S.C. SECTION 1350,</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Annual Report on Form 10-K of Trevi Therapeutics, Inc. (the “Company”) for the period ended December 31, 2020,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the Report fully complies with the requirements of Section 13(a) or 15(d) of the Securities Exchange Act of 1934; and</w:t>
      </w:r>
    </w:p>
    <w:p>
      <w:pPr>
        <w:pStyle w:val="TextBody"/>
        <w:shd w:fill="FFFFFF" w:val="clear"/>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the information contained in the Report fairly presents, in all material respects, the financial condition and results of operations of the Company.</w:t>
      </w:r>
    </w:p>
    <w:p>
      <w:pPr>
        <w:pStyle w:val="TextBody"/>
        <w:shd w:fill="FFFFFF" w:val="clear"/>
        <w:spacing w:before="0" w:after="0"/>
        <w:rPr>
          <w:caps w:val="false"/>
          <w:smallCaps w:val="false"/>
        </w:rPr>
      </w:pPr>
      <w:r>
        <w:rPr>
          <w:caps w:val="false"/>
          <w:smallCaps w:val="false"/>
        </w:rPr>
        <w:t> </w:t>
      </w:r>
    </w:p>
    <w:tbl>
      <w:tblPr>
        <w:tblW w:w="4515" w:type="dxa"/>
        <w:jc w:val="center"/>
        <w:tblInd w:w="0" w:type="dxa"/>
        <w:tblCellMar>
          <w:top w:w="0" w:type="dxa"/>
          <w:left w:w="0" w:type="dxa"/>
          <w:bottom w:w="0" w:type="dxa"/>
          <w:right w:w="0" w:type="dxa"/>
        </w:tblCellMar>
      </w:tblPr>
      <w:tblGrid>
        <w:gridCol w:w="1790"/>
        <w:gridCol w:w="60"/>
        <w:gridCol w:w="320"/>
        <w:gridCol w:w="60"/>
        <w:gridCol w:w="2285"/>
      </w:tblGrid>
      <w:tr>
        <w:trPr/>
        <w:tc>
          <w:tcPr>
            <w:tcW w:w="179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320"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2285" w:type="dxa"/>
            <w:tcBorders/>
            <w:shd w:fill="FFFFFF" w:val="clear"/>
            <w:vAlign w:val="center"/>
          </w:tcPr>
          <w:p>
            <w:pPr>
              <w:pStyle w:val="TableContents"/>
              <w:shd w:fill="FFFFFF" w:val="clear"/>
              <w:spacing w:before="0" w:after="0"/>
              <w:ind w:left="0" w:right="0" w:hanging="0"/>
              <w:rPr>
                <w:caps w:val="false"/>
                <w:smallCaps w:val="false"/>
              </w:rPr>
            </w:pPr>
            <w:r>
              <w:rPr>
                <w:caps w:val="false"/>
                <w:smallCaps w:val="false"/>
              </w:rPr>
              <w:t> </w:t>
            </w:r>
          </w:p>
        </w:tc>
      </w:tr>
      <w:tr>
        <w:trPr/>
        <w:tc>
          <w:tcPr>
            <w:tcW w:w="1790" w:type="dxa"/>
            <w:tcBorders/>
            <w:shd w:fill="FFFFFF" w:val="clear"/>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pBdr>
                <w:bottom w:val="single" w:sz="6" w:space="1" w:color="000000"/>
              </w:pBdr>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Christopher Seiter</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Christopher Seiter</w:t>
            </w:r>
          </w:p>
        </w:tc>
      </w:tr>
      <w:tr>
        <w:trPr/>
        <w:tc>
          <w:tcPr>
            <w:tcW w:w="1790" w:type="dxa"/>
            <w:tcBorders/>
            <w:shd w:fill="FFFFFF" w:val="clear"/>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hd w:fill="FFFFFF" w:val="clear"/>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hd w:fill="FFFFFF" w:val="clear"/>
              <w:spacing w:before="0" w:after="0"/>
              <w:ind w:left="0" w:right="0" w:hanging="0"/>
              <w:rPr>
                <w:caps w:val="false"/>
                <w:smallCaps w:val="false"/>
                <w:color w:val="000000"/>
              </w:rPr>
            </w:pPr>
            <w:r>
              <w:rPr>
                <w:caps w:val="false"/>
                <w:smallCaps w:val="false"/>
                <w:color w:val="000000"/>
              </w:rPr>
              <w:t> </w:t>
            </w:r>
          </w:p>
        </w:tc>
        <w:tc>
          <w:tcPr>
            <w:tcW w:w="2285" w:type="dxa"/>
            <w:tcBorders/>
            <w:shd w:fill="FFFFFF" w:val="clear"/>
            <w:vAlign w:val="bottom"/>
          </w:tcPr>
          <w:p>
            <w:pPr>
              <w:pStyle w:val="TableContents"/>
              <w:shd w:fill="FFFFFF" w:val="clear"/>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Officer</w:t>
            </w:r>
          </w:p>
          <w:p>
            <w:pPr>
              <w:pStyle w:val="TableContents"/>
              <w:shd w:fill="FFFFFF" w:val="clear"/>
              <w:spacing w:before="0" w:after="2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Officer)</w:t>
            </w:r>
          </w:p>
        </w:tc>
      </w:tr>
    </w:tbl>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font-weight:normal">
    <w:altName w:val="font-style:norm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563880/000119312519142949/d740290dex31.htm" TargetMode="External"/><Relationship Id="rId6" Type="http://schemas.openxmlformats.org/officeDocument/2006/relationships/hyperlink" Target="http://www.sec.gov/Archives/edgar/data/1563880/000119312519142949/d740290dex32.htm" TargetMode="External"/><Relationship Id="rId7" Type="http://schemas.openxmlformats.org/officeDocument/2006/relationships/hyperlink" Target="http://www.sec.gov/Archives/edgar/data/1563880/000119312519099340/d643194dex41.htm" TargetMode="External"/><Relationship Id="rId8" Type="http://schemas.openxmlformats.org/officeDocument/2006/relationships/hyperlink" Target="http://www.sec.gov/Archives/edgar/data/1563880/000156459020010996/trvi-ex42_203.htm" TargetMode="External"/><Relationship Id="rId9" Type="http://schemas.openxmlformats.org/officeDocument/2006/relationships/hyperlink" Target="http://www.sec.gov/Archives/edgar/data/1563880/000119312519099340/d643194dex101.htm" TargetMode="External"/><Relationship Id="rId10" Type="http://schemas.openxmlformats.org/officeDocument/2006/relationships/hyperlink" Target="http://www.sec.gov/Archives/edgar/data/1563880/000119312519099340/d643194dex102.htm" TargetMode="External"/><Relationship Id="rId11" Type="http://schemas.openxmlformats.org/officeDocument/2006/relationships/hyperlink" Target="http://www.sec.gov/Archives/edgar/data/1563880/000119312519099340/d643194dex103.htm" TargetMode="External"/><Relationship Id="rId12" Type="http://schemas.openxmlformats.org/officeDocument/2006/relationships/hyperlink" Target="http://www.sec.gov/Archives/edgar/data/1563880/000119312519099340/d643194dex104.htm" TargetMode="External"/><Relationship Id="rId13" Type="http://schemas.openxmlformats.org/officeDocument/2006/relationships/hyperlink" Target="http://www.sec.gov/Archives/edgar/data/1563880/000119312519099340/d643194dex105.htm" TargetMode="External"/><Relationship Id="rId14" Type="http://schemas.openxmlformats.org/officeDocument/2006/relationships/hyperlink" Target="http://www.sec.gov/Archives/edgar/data/1563880/000119312519099340/d643194dex106.htm" TargetMode="External"/><Relationship Id="rId15" Type="http://schemas.openxmlformats.org/officeDocument/2006/relationships/hyperlink" Target="http://www.sec.gov/Archives/edgar/data/1563880/000119312519253605/d808144dex101.htm" TargetMode="External"/><Relationship Id="rId16" Type="http://schemas.openxmlformats.org/officeDocument/2006/relationships/hyperlink" Target="http://www.sec.gov/Archives/edgar/data/1563880/000119312519099340/d643194dex108.htm" TargetMode="External"/><Relationship Id="rId17" Type="http://schemas.openxmlformats.org/officeDocument/2006/relationships/hyperlink" Target="http://www.sec.gov/Archives/edgar/data/1563880/000156459020010996/trvi-ex1010_255.htm" TargetMode="External"/><Relationship Id="rId18" Type="http://schemas.openxmlformats.org/officeDocument/2006/relationships/hyperlink" Target="http://www.sec.gov/Archives/edgar/data/1563880/000119312519099340/d643194dex1011.htm" TargetMode="External"/><Relationship Id="rId19" Type="http://schemas.openxmlformats.org/officeDocument/2006/relationships/hyperlink" Target="http://www.sec.gov/Archives/edgar/data/1563880/000119312519099340/d643194dex1010.htm" TargetMode="External"/><Relationship Id="rId20" Type="http://schemas.openxmlformats.org/officeDocument/2006/relationships/hyperlink" Target="http://www.sec.gov/Archives/edgar/data/1563880/000119312519099340/d643194dex109.htm" TargetMode="External"/><Relationship Id="rId21" Type="http://schemas.openxmlformats.org/officeDocument/2006/relationships/hyperlink" Target="http://www.sec.gov/Archives/edgar/data/1563880/000119312519099340/d643194dex1012.htm" TargetMode="External"/><Relationship Id="rId22" Type="http://schemas.openxmlformats.org/officeDocument/2006/relationships/hyperlink" Target="http://www.sec.gov/Archives/edgar/data/1563880/000119312519099340/d643194dex1013.htm" TargetMode="External"/><Relationship Id="rId23" Type="http://schemas.openxmlformats.org/officeDocument/2006/relationships/hyperlink" Target="http://www.sec.gov/Archives/edgar/data/1563880/000119312519099340/d643194dex1014.htm" TargetMode="External"/><Relationship Id="rId24" Type="http://schemas.openxmlformats.org/officeDocument/2006/relationships/hyperlink" Target="http://www.sec.gov/Archives/edgar/data/1563880/000119312519099340/d643194dex1015.htm" TargetMode="External"/><Relationship Id="rId25" Type="http://schemas.openxmlformats.org/officeDocument/2006/relationships/hyperlink" Target="http://www.sec.gov/Archives/edgar/data/1563880/000119312519099340/d643194dex1016.htm" TargetMode="External"/><Relationship Id="rId26" Type="http://schemas.openxmlformats.org/officeDocument/2006/relationships/hyperlink" Target="http://www.sec.gov/Archives/edgar/data/1563880/000119312519138831/d643194dex1017.htm" TargetMode="External"/><Relationship Id="rId27" Type="http://schemas.openxmlformats.org/officeDocument/2006/relationships/hyperlink" Target="http://www.sec.gov/Archives/edgar/data/1563880/000156459020053330/trvi-ex101_80.htm" TargetMode="External"/><Relationship Id="rId28" Type="http://schemas.openxmlformats.org/officeDocument/2006/relationships/hyperlink" Target="http://www.sec.gov/Archives/edgar/data/1563880/000119312519099340/d643194dex21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102080</Words>
  <CharactersWithSpaces>661857</CharactersWithSpaces>
  <Paragraphs>7163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