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vi-20260806.htm"/>
      <w:bookmarkStart w:id="1" w:name="kstrvi20260806"/>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August 6, 2026</w:t>
      </w:r>
    </w:p>
    <w:p>
      <w:pPr>
        <w:pStyle w:val="TextBody"/>
        <w:bidi w:val="0"/>
        <w:spacing w:before="60" w:after="283"/>
        <w:jc w:val="right"/>
        <w:rPr>
          <w:rFonts w:ascii="Times New Roman" w:hAnsi="Times New Roman"/>
          <w:b/>
          <w:color w:val="000000"/>
          <w:sz w:val="20"/>
        </w:rPr>
      </w:pPr>
      <w:r>
        <w:rPr>
          <w:rFonts w:ascii="Times New Roman" w:hAnsi="Times New Roman"/>
          <w:b/>
          <w:color w:val="000000"/>
          <w:sz w:val="20"/>
        </w:rPr>
        <w:t>Registration Statement No. 333-</w:t>
      </w:r>
    </w:p>
    <w:p>
      <w:pPr>
        <w:pStyle w:val="TextBody"/>
        <w:pBdr>
          <w:bottom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S-8</w:t>
      </w:r>
    </w:p>
    <w:p>
      <w:pPr>
        <w:pStyle w:val="TextBody"/>
        <w:bidi w:val="0"/>
        <w:jc w:val="center"/>
        <w:rPr>
          <w:rFonts w:ascii="Times New Roman" w:hAnsi="Times New Roman"/>
          <w:b/>
          <w:color w:val="000000"/>
          <w:sz w:val="28"/>
        </w:rPr>
      </w:pPr>
      <w:r>
        <w:rPr>
          <w:rFonts w:ascii="Times New Roman" w:hAnsi="Times New Roman"/>
          <w:b/>
          <w:color w:val="000000"/>
          <w:sz w:val="28"/>
        </w:rPr>
        <w:t>REGISTRATION STATEMENT</w:t>
      </w:r>
    </w:p>
    <w:p>
      <w:pPr>
        <w:pStyle w:val="TextBody"/>
        <w:bidi w:val="0"/>
        <w:jc w:val="center"/>
        <w:rPr>
          <w:rFonts w:ascii="Times New Roman" w:hAnsi="Times New Roman"/>
          <w:b/>
          <w:i/>
          <w:color w:val="000000"/>
          <w:sz w:val="24"/>
        </w:rPr>
      </w:pPr>
      <w:r>
        <w:rPr>
          <w:rFonts w:ascii="Times New Roman" w:hAnsi="Times New Roman"/>
          <w:b/>
          <w:i/>
          <w:color w:val="000000"/>
          <w:sz w:val="24"/>
        </w:rPr>
        <w:t>Under</w:t>
      </w:r>
    </w:p>
    <w:p>
      <w:pPr>
        <w:pStyle w:val="TextBody"/>
        <w:bidi w:val="0"/>
        <w:jc w:val="center"/>
        <w:rPr>
          <w:rFonts w:ascii="Times New Roman" w:hAnsi="Times New Roman"/>
          <w:b/>
          <w:i/>
          <w:color w:val="000000"/>
          <w:sz w:val="24"/>
        </w:rPr>
      </w:pPr>
      <w:r>
        <w:rPr>
          <w:rFonts w:ascii="Times New Roman" w:hAnsi="Times New Roman"/>
          <w:b/>
          <w:i/>
          <w:color w:val="000000"/>
          <w:sz w:val="24"/>
        </w:rPr>
        <w:t>THE SECURITIES ACT OF 1933</w:t>
      </w:r>
    </w:p>
    <w:p>
      <w:pPr>
        <w:pStyle w:val="TextBody"/>
        <w:pBdr>
          <w:bottom w:val="single" w:sz="4" w:space="1" w:color="000000"/>
        </w:pBdr>
        <w:bidi w:val="0"/>
        <w:spacing w:before="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Trevi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100"/>
        <w:jc w:val="center"/>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3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195 Church Street, 16th Floor</w:t>
      </w:r>
    </w:p>
    <w:p>
      <w:pPr>
        <w:pStyle w:val="TextBody"/>
        <w:bidi w:val="0"/>
        <w:jc w:val="center"/>
        <w:rPr>
          <w:rFonts w:ascii="Times New Roman" w:hAnsi="Times New Roman"/>
          <w:b/>
          <w:color w:val="000000"/>
          <w:sz w:val="20"/>
        </w:rPr>
      </w:pPr>
      <w:r>
        <w:rPr>
          <w:rFonts w:ascii="Times New Roman" w:hAnsi="Times New Roman"/>
          <w:b/>
          <w:color w:val="000000"/>
          <w:sz w:val="20"/>
        </w:rPr>
        <w:t>New Haven, CT 06510</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Amended and Restated 2019 Stock Incentive Plan</w:t>
      </w:r>
    </w:p>
    <w:p>
      <w:pPr>
        <w:pStyle w:val="TextBody"/>
        <w:bidi w:val="0"/>
        <w:jc w:val="center"/>
        <w:rPr>
          <w:rFonts w:ascii="Times New Roman" w:hAnsi="Times New Roman"/>
          <w:b/>
          <w:color w:val="000000"/>
          <w:sz w:val="16"/>
        </w:rPr>
      </w:pPr>
      <w:r>
        <w:rPr>
          <w:rFonts w:ascii="Times New Roman" w:hAnsi="Times New Roman"/>
          <w:b/>
          <w:color w:val="000000"/>
          <w:sz w:val="16"/>
        </w:rPr>
        <w:t>(Full title of the plan)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Jennifer Good</w:t>
      </w:r>
    </w:p>
    <w:p>
      <w:pPr>
        <w:pStyle w:val="TextBody"/>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Trevi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195 Church Street, 16th Floor</w:t>
      </w:r>
    </w:p>
    <w:p>
      <w:pPr>
        <w:pStyle w:val="TextBody"/>
        <w:bidi w:val="0"/>
        <w:jc w:val="center"/>
        <w:rPr>
          <w:rFonts w:ascii="Times New Roman" w:hAnsi="Times New Roman"/>
          <w:b/>
          <w:color w:val="000000"/>
          <w:sz w:val="20"/>
        </w:rPr>
      </w:pPr>
      <w:r>
        <w:rPr>
          <w:rFonts w:ascii="Times New Roman" w:hAnsi="Times New Roman"/>
          <w:b/>
          <w:color w:val="000000"/>
          <w:sz w:val="20"/>
        </w:rPr>
        <w:t>New Haven, Connecticut 06510</w:t>
      </w:r>
    </w:p>
    <w:p>
      <w:pPr>
        <w:pStyle w:val="TextBody"/>
        <w:bidi w:val="0"/>
        <w:jc w:val="center"/>
        <w:rPr>
          <w:rFonts w:ascii="Times New Roman" w:hAnsi="Times New Roman"/>
          <w:b/>
          <w:color w:val="000000"/>
          <w:sz w:val="16"/>
        </w:rPr>
      </w:pPr>
      <w:r>
        <w:rPr>
          <w:rFonts w:ascii="Times New Roman" w:hAnsi="Times New Roman"/>
          <w:b/>
          <w:color w:val="000000"/>
          <w:sz w:val="16"/>
        </w:rPr>
        <w:t>(Name and address of agent for service)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(203) 304-2499</w:t>
      </w:r>
    </w:p>
    <w:p>
      <w:pPr>
        <w:pStyle w:val="TextBody"/>
        <w:bidi w:val="0"/>
        <w:jc w:val="center"/>
        <w:rPr>
          <w:rFonts w:ascii="Times New Roman" w:hAnsi="Times New Roman"/>
          <w:b/>
          <w:color w:val="000000"/>
          <w:sz w:val="16"/>
        </w:rPr>
      </w:pPr>
      <w:r>
        <w:rPr>
          <w:rFonts w:ascii="Times New Roman" w:hAnsi="Times New Roman"/>
          <w:b/>
          <w:color w:val="000000"/>
          <w:sz w:val="16"/>
        </w:rPr>
        <w:t>(Telephone number, including area code, of agent for service)</w:t>
      </w:r>
    </w:p>
    <w:p>
      <w:pPr>
        <w:pStyle w:val="TextBody"/>
        <w:pBdr>
          <w:bottom w:val="single" w:sz="4" w:space="1" w:color="000000"/>
        </w:pBdr>
        <w:bidi w:val="0"/>
        <w:spacing w:before="0" w:after="10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Statement of Incorporation by Reference</w:t>
      </w:r>
    </w:p>
    <w:p>
      <w:pPr>
        <w:pStyle w:val="TextBody"/>
        <w:bidi w:val="0"/>
        <w:spacing w:before="120" w:after="283"/>
        <w:jc w:val="left"/>
        <w:rPr/>
      </w:pPr>
      <w:r>
        <w:rPr>
          <w:rFonts w:ascii="Times New Roman" w:hAnsi="Times New Roman"/>
          <w:color w:val="000000"/>
          <w:sz w:val="20"/>
        </w:rPr>
        <w:t xml:space="preserve">This Registration Statement on Form S-8, relating to the Amended and Restated 2019 Stock Incentive Plan (the “2019 Plan”) of Trevi Therapeutics, Inc. (the “Registrant”), is being filed for the purpose of registering additional securities of the same class as other securities for which a Registration Statement on Form S-8 has previously been filed and is effective. Pursuant to General Instruction E to Form S-8, except as otherwise set forth below, this Registration Statement incorporates by reference (i) the contents of the Registration Statement on Form S-8, </w:t>
      </w:r>
      <w:hyperlink r:id="rId2">
        <w:r>
          <w:rPr>
            <w:rStyle w:val="InternetLink"/>
            <w:rFonts w:ascii="Times New Roman" w:hAnsi="Times New Roman"/>
            <w:color w:val="0000FF"/>
            <w:sz w:val="20"/>
            <w:u w:val="single"/>
          </w:rPr>
          <w:t>File No. 333-231260</w:t>
        </w:r>
      </w:hyperlink>
      <w:r>
        <w:rPr>
          <w:rFonts w:ascii="Times New Roman" w:hAnsi="Times New Roman"/>
          <w:color w:val="000000"/>
          <w:sz w:val="20"/>
        </w:rPr>
        <w:t xml:space="preserve">, relating to the 2012 Stock Incentive Plan, as amended, of the Registrant, the 2019 Plan, and the 2019 Employee Stock Purchase Plan of the Registrant (the “2019 ESPP”), filed by the Registrant with the Securities and Exchange Commission on May 7, 2019, (ii) the contents of the Registration Statement on Form S-8, </w:t>
      </w:r>
      <w:hyperlink r:id="rId3">
        <w:r>
          <w:rPr>
            <w:rStyle w:val="InternetLink"/>
            <w:rFonts w:ascii="Times New Roman" w:hAnsi="Times New Roman"/>
            <w:color w:val="0000FF"/>
            <w:sz w:val="20"/>
            <w:u w:val="single"/>
          </w:rPr>
          <w:t>File No. 333-237193</w:t>
        </w:r>
      </w:hyperlink>
      <w:r>
        <w:rPr>
          <w:rFonts w:ascii="Times New Roman" w:hAnsi="Times New Roman"/>
          <w:color w:val="000000"/>
          <w:sz w:val="20"/>
        </w:rPr>
        <w:t xml:space="preserve">, relating to the 2019 Plan and the 2019 ESPP, filed by the Registrant with the Securities and Exchange Commission on March 16, 2020, (iii) the contents of the Registration Statement on Form S-8, </w:t>
      </w:r>
      <w:hyperlink r:id="rId4">
        <w:r>
          <w:rPr>
            <w:rStyle w:val="InternetLink"/>
            <w:rFonts w:ascii="Times New Roman" w:hAnsi="Times New Roman"/>
            <w:color w:val="0000FF"/>
            <w:sz w:val="20"/>
            <w:u w:val="single"/>
          </w:rPr>
          <w:t>File No. 333-257729</w:t>
        </w:r>
      </w:hyperlink>
      <w:r>
        <w:rPr>
          <w:rFonts w:ascii="Times New Roman" w:hAnsi="Times New Roman"/>
          <w:color w:val="000000"/>
          <w:sz w:val="20"/>
        </w:rPr>
        <w:t xml:space="preserve">, relating to the 2019 Plan and the 2019 ESPP, filed by the Registrant with the Securities and Exchange Commission on July 7, 2021, (iv) the contents of the Registration Statement on Form S-8, </w:t>
      </w:r>
      <w:hyperlink r:id="rId5">
        <w:r>
          <w:rPr>
            <w:rStyle w:val="InternetLink"/>
            <w:rFonts w:ascii="Times New Roman" w:hAnsi="Times New Roman"/>
            <w:color w:val="0000FF"/>
            <w:sz w:val="20"/>
            <w:u w:val="single"/>
          </w:rPr>
          <w:t>File No. 333-264615</w:t>
        </w:r>
      </w:hyperlink>
      <w:r>
        <w:rPr>
          <w:rFonts w:ascii="Times New Roman" w:hAnsi="Times New Roman"/>
          <w:color w:val="000000"/>
          <w:sz w:val="20"/>
        </w:rPr>
        <w:t xml:space="preserve">, relating to the 2019 Plan and the 2019 ESPP, filed by the Registrant with the Securities and Exchange Commission on May 2, 2022, (v) the contents of the Registration Statement on Form S-8, </w:t>
      </w:r>
      <w:hyperlink r:id="rId6">
        <w:r>
          <w:rPr>
            <w:rStyle w:val="InternetLink"/>
            <w:rFonts w:ascii="Times New Roman" w:hAnsi="Times New Roman"/>
            <w:color w:val="0000FF"/>
            <w:sz w:val="20"/>
            <w:u w:val="single"/>
          </w:rPr>
          <w:t>File No. 333-271839</w:t>
        </w:r>
      </w:hyperlink>
      <w:r>
        <w:rPr>
          <w:rFonts w:ascii="Times New Roman" w:hAnsi="Times New Roman"/>
          <w:color w:val="000000"/>
          <w:sz w:val="20"/>
        </w:rPr>
        <w:t xml:space="preserve">, relating to the 2019 Plan and the 2019 ESPP, filed by the Registrant with the Securities and Exchange Commission on May 11, 2023, (vi) the contents of the Registration Statement on Form S-8, </w:t>
      </w:r>
      <w:hyperlink r:id="rId7">
        <w:r>
          <w:rPr>
            <w:rStyle w:val="InternetLink"/>
            <w:rFonts w:ascii="Times New Roman" w:hAnsi="Times New Roman"/>
            <w:color w:val="0000FF"/>
            <w:sz w:val="20"/>
            <w:u w:val="single"/>
          </w:rPr>
          <w:t>File No. 333-278101</w:t>
        </w:r>
      </w:hyperlink>
      <w:r>
        <w:rPr>
          <w:rFonts w:ascii="Times New Roman" w:hAnsi="Times New Roman"/>
          <w:color w:val="000000"/>
          <w:sz w:val="20"/>
        </w:rPr>
        <w:t xml:space="preserve">, relating to the 2019 Plan, filed by the Registrant with the Securities and Exchange Commission on March 20, 2024, (vii) the contents of the Registration Statement on Form S-8, </w:t>
      </w:r>
      <w:hyperlink r:id="rId8">
        <w:r>
          <w:rPr>
            <w:rStyle w:val="InternetLink"/>
            <w:rFonts w:ascii="Times New Roman" w:hAnsi="Times New Roman"/>
            <w:color w:val="0000FF"/>
            <w:sz w:val="20"/>
            <w:u w:val="single"/>
          </w:rPr>
          <w:t>File No. 333-285879</w:t>
        </w:r>
      </w:hyperlink>
      <w:r>
        <w:rPr>
          <w:rFonts w:ascii="Times New Roman" w:hAnsi="Times New Roman"/>
          <w:color w:val="000000"/>
          <w:sz w:val="20"/>
        </w:rPr>
        <w:t xml:space="preserve">, relating to the 2019 Plan, filed by the Registrant with the Securities and Exchange Commission on March 18, 2025, and (viii) the contents of the Registration Statement on Form S-8, </w:t>
      </w:r>
      <w:hyperlink r:id="rId9">
        <w:r>
          <w:rPr>
            <w:rStyle w:val="InternetLink"/>
            <w:rFonts w:ascii="Times New Roman" w:hAnsi="Times New Roman"/>
            <w:color w:val="0000FF"/>
            <w:sz w:val="20"/>
            <w:u w:val="single"/>
          </w:rPr>
          <w:t>File No. 333-289362</w:t>
        </w:r>
      </w:hyperlink>
      <w:r>
        <w:rPr>
          <w:rFonts w:ascii="Times New Roman" w:hAnsi="Times New Roman"/>
          <w:color w:val="000000"/>
          <w:sz w:val="20"/>
        </w:rPr>
        <w:t>, relating to the 2019 Plan, filed by the Registrant with the Securities and Exchange Commission on August 7, 2025.</w:t>
      </w:r>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exhibits are incorporated herein by reference: </w:t>
      </w:r>
    </w:p>
    <w:p>
      <w:pPr>
        <w:pStyle w:val="TextBody"/>
        <w:bidi w:val="0"/>
        <w:jc w:val="left"/>
        <w:rPr/>
      </w:pPr>
      <w:r>
        <w:rPr/>
        <w:t> </w:t>
      </w:r>
    </w:p>
    <w:tbl>
      <w:tblPr>
        <w:tblW w:w="9572" w:type="dxa"/>
        <w:jc w:val="left"/>
        <w:tblInd w:w="0" w:type="dxa"/>
        <w:tblLayout w:type="fixed"/>
        <w:tblCellMar>
          <w:top w:w="28" w:type="dxa"/>
          <w:left w:w="28" w:type="dxa"/>
          <w:bottom w:w="28" w:type="dxa"/>
          <w:right w:w="28" w:type="dxa"/>
        </w:tblCellMar>
      </w:tblPr>
      <w:tblGrid>
        <w:gridCol w:w="961"/>
        <w:gridCol w:w="8611"/>
      </w:tblGrid>
      <w:tr>
        <w:trPr/>
        <w:tc>
          <w:tcPr>
            <w:tcW w:w="961" w:type="dxa"/>
            <w:tcBorders/>
            <w:vAlign w:val="center"/>
          </w:tcPr>
          <w:p>
            <w:pPr>
              <w:pStyle w:val="TableContents"/>
              <w:bidi w:val="0"/>
              <w:spacing w:before="0" w:after="283"/>
              <w:jc w:val="left"/>
              <w:rPr>
                <w:sz w:val="4"/>
                <w:szCs w:val="4"/>
              </w:rPr>
            </w:pPr>
            <w:r>
              <w:rPr>
                <w:sz w:val="4"/>
                <w:szCs w:val="4"/>
              </w:rPr>
            </w:r>
          </w:p>
        </w:tc>
        <w:tc>
          <w:tcPr>
            <w:tcW w:w="861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Number</w:t>
            </w:r>
            <w:r>
              <w:rPr>
                <w:rFonts w:ascii="Times New Roman" w:hAnsi="Times New Roman"/>
                <w:color w:val="000000"/>
                <w:sz w:val="20"/>
              </w:rPr>
              <w:t xml:space="preserve"> </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861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Restated Certificate of Incorporation of the Registrant, as amended</w:t>
              </w:r>
            </w:hyperlink>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4.2(2)</w:t>
            </w:r>
          </w:p>
        </w:tc>
        <w:tc>
          <w:tcPr>
            <w:tcW w:w="861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Bylaws of the Registrant</w:t>
              </w:r>
            </w:hyperlink>
          </w:p>
        </w:tc>
      </w:tr>
      <w:tr>
        <w:trPr/>
        <w:tc>
          <w:tcPr>
            <w:tcW w:w="96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4.3(3)</w:t>
            </w:r>
          </w:p>
        </w:tc>
        <w:tc>
          <w:tcPr>
            <w:tcW w:w="861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r:id="rId12">
              <w:r>
                <w:rPr>
                  <w:rStyle w:val="InternetLink"/>
                  <w:rFonts w:ascii="Times New Roman" w:hAnsi="Times New Roman"/>
                  <w:color w:val="0000FF"/>
                  <w:sz w:val="20"/>
                  <w:u w:val="single"/>
                </w:rPr>
                <w:t>Certificate of Amendment to the Restated Certificate of Incorporation, as amended, of the Registrant</w:t>
              </w:r>
            </w:hyperlink>
          </w:p>
        </w:tc>
      </w:tr>
      <w:tr>
        <w:trPr/>
        <w:tc>
          <w:tcPr>
            <w:tcW w:w="961" w:type="dxa"/>
            <w:tcBorders/>
            <w:tcMar>
              <w:top w:w="0" w:type="dxa"/>
              <w:left w:w="0" w:type="dxa"/>
              <w:bottom w:w="0" w:type="dxa"/>
              <w:right w:w="0" w:type="dxa"/>
            </w:tcMar>
            <w:vAlign w:val="center"/>
          </w:tcPr>
          <w:p>
            <w:pPr>
              <w:pStyle w:val="TableContents"/>
              <w:bidi w:val="0"/>
              <w:spacing w:before="0" w:after="283"/>
              <w:ind w:left="0" w:right="0" w:firstLine="355"/>
              <w:jc w:val="left"/>
              <w:rPr>
                <w:rFonts w:ascii="Times New Roman" w:hAnsi="Times New Roman"/>
                <w:color w:val="000000"/>
                <w:sz w:val="20"/>
              </w:rPr>
            </w:pPr>
            <w:r>
              <w:rPr>
                <w:rFonts w:ascii="Times New Roman" w:hAnsi="Times New Roman"/>
                <w:color w:val="000000"/>
                <w:sz w:val="20"/>
              </w:rPr>
              <w:t>5.1</w:t>
            </w:r>
          </w:p>
        </w:tc>
        <w:tc>
          <w:tcPr>
            <w:tcW w:w="8611" w:type="dxa"/>
            <w:tcBorders/>
            <w:tcMar>
              <w:top w:w="0" w:type="dxa"/>
              <w:left w:w="0" w:type="dxa"/>
              <w:bottom w:w="0" w:type="dxa"/>
              <w:right w:w="0" w:type="dxa"/>
            </w:tcMar>
            <w:vAlign w:val="center"/>
          </w:tcPr>
          <w:p>
            <w:pPr>
              <w:pStyle w:val="TableContents"/>
              <w:bidi w:val="0"/>
              <w:spacing w:before="0" w:after="283"/>
              <w:ind w:left="0" w:right="0" w:firstLine="355"/>
              <w:jc w:val="left"/>
              <w:rPr/>
            </w:pPr>
            <w:hyperlink w:anchor="trvi-ex5_1.htm">
              <w:r>
                <w:rPr>
                  <w:rStyle w:val="InternetLink"/>
                  <w:rFonts w:ascii="Times New Roman" w:hAnsi="Times New Roman"/>
                  <w:color w:val="0000FF"/>
                  <w:sz w:val="20"/>
                  <w:u w:val="single"/>
                </w:rPr>
                <w:t>Opinion of Wilmer Cutler Pickering Hale and Dorr LLP, counsel to the Registrant</w:t>
              </w:r>
            </w:hyperlink>
          </w:p>
        </w:tc>
      </w:tr>
      <w:tr>
        <w:trPr/>
        <w:tc>
          <w:tcPr>
            <w:tcW w:w="961" w:type="dxa"/>
            <w:tcBorders/>
            <w:tcMar>
              <w:top w:w="0" w:type="dxa"/>
              <w:left w:w="0" w:type="dxa"/>
              <w:bottom w:w="0" w:type="dxa"/>
              <w:right w:w="0" w:type="dxa"/>
            </w:tcMar>
            <w:vAlign w:val="center"/>
          </w:tcPr>
          <w:p>
            <w:pPr>
              <w:pStyle w:val="TableContents"/>
              <w:bidi w:val="0"/>
              <w:spacing w:before="0" w:after="283"/>
              <w:ind w:left="0" w:right="0" w:firstLine="355"/>
              <w:jc w:val="left"/>
              <w:rPr>
                <w:rFonts w:ascii="Times New Roman" w:hAnsi="Times New Roman"/>
                <w:color w:val="000000"/>
                <w:sz w:val="20"/>
              </w:rPr>
            </w:pPr>
            <w:r>
              <w:rPr>
                <w:rFonts w:ascii="Times New Roman" w:hAnsi="Times New Roman"/>
                <w:color w:val="000000"/>
                <w:sz w:val="20"/>
              </w:rPr>
              <w:t>23.1</w:t>
            </w:r>
          </w:p>
        </w:tc>
        <w:tc>
          <w:tcPr>
            <w:tcW w:w="8611" w:type="dxa"/>
            <w:tcBorders/>
            <w:tcMar>
              <w:top w:w="0" w:type="dxa"/>
              <w:left w:w="0" w:type="dxa"/>
              <w:bottom w:w="0" w:type="dxa"/>
              <w:right w:w="0" w:type="dxa"/>
            </w:tcMar>
            <w:vAlign w:val="center"/>
          </w:tcPr>
          <w:p>
            <w:pPr>
              <w:pStyle w:val="TableContents"/>
              <w:bidi w:val="0"/>
              <w:spacing w:before="0" w:after="283"/>
              <w:ind w:left="0" w:right="0" w:firstLine="355"/>
              <w:jc w:val="left"/>
              <w:rPr/>
            </w:pPr>
            <w:hyperlink w:anchor="trvi-ex5_1.htm">
              <w:r>
                <w:rPr>
                  <w:rStyle w:val="InternetLink"/>
                  <w:rFonts w:ascii="Times New Roman" w:hAnsi="Times New Roman"/>
                  <w:color w:val="0000FF"/>
                  <w:sz w:val="20"/>
                  <w:u w:val="single"/>
                </w:rPr>
                <w:t>Consent of Wilmer Cutler Pickering Hale and Dorr LLP (included in Exhibit 5.1)</w:t>
              </w:r>
            </w:hyperlink>
          </w:p>
        </w:tc>
      </w:tr>
      <w:tr>
        <w:trPr/>
        <w:tc>
          <w:tcPr>
            <w:tcW w:w="961" w:type="dxa"/>
            <w:tcBorders/>
            <w:tcMar>
              <w:top w:w="0" w:type="dxa"/>
              <w:left w:w="0" w:type="dxa"/>
              <w:bottom w:w="0" w:type="dxa"/>
              <w:right w:w="0" w:type="dxa"/>
            </w:tcMar>
            <w:vAlign w:val="center"/>
          </w:tcPr>
          <w:p>
            <w:pPr>
              <w:pStyle w:val="TableContents"/>
              <w:bidi w:val="0"/>
              <w:spacing w:before="0" w:after="283"/>
              <w:ind w:left="0" w:right="0" w:firstLine="355"/>
              <w:jc w:val="left"/>
              <w:rPr>
                <w:rFonts w:ascii="Times New Roman" w:hAnsi="Times New Roman"/>
                <w:color w:val="000000"/>
                <w:sz w:val="20"/>
              </w:rPr>
            </w:pPr>
            <w:r>
              <w:rPr>
                <w:rFonts w:ascii="Times New Roman" w:hAnsi="Times New Roman"/>
                <w:color w:val="000000"/>
                <w:sz w:val="20"/>
              </w:rPr>
              <w:t>23.2</w:t>
            </w:r>
          </w:p>
        </w:tc>
        <w:tc>
          <w:tcPr>
            <w:tcW w:w="8611" w:type="dxa"/>
            <w:tcBorders/>
            <w:tcMar>
              <w:top w:w="0" w:type="dxa"/>
              <w:left w:w="0" w:type="dxa"/>
              <w:bottom w:w="0" w:type="dxa"/>
              <w:right w:w="0" w:type="dxa"/>
            </w:tcMar>
            <w:vAlign w:val="center"/>
          </w:tcPr>
          <w:p>
            <w:pPr>
              <w:pStyle w:val="TableContents"/>
              <w:bidi w:val="0"/>
              <w:spacing w:before="0" w:after="283"/>
              <w:ind w:left="0" w:right="0" w:firstLine="355"/>
              <w:jc w:val="left"/>
              <w:rPr/>
            </w:pPr>
            <w:hyperlink w:anchor="trvi-ex23_2.htm">
              <w:r>
                <w:rPr>
                  <w:rStyle w:val="InternetLink"/>
                  <w:rFonts w:ascii="Times New Roman" w:hAnsi="Times New Roman"/>
                  <w:color w:val="0000FF"/>
                  <w:sz w:val="20"/>
                  <w:u w:val="single"/>
                </w:rPr>
                <w:t>Consent of Ernst &amp; Young LLP, independent registered public accounting firm</w:t>
              </w:r>
            </w:hyperlink>
          </w:p>
        </w:tc>
      </w:tr>
      <w:tr>
        <w:trPr/>
        <w:tc>
          <w:tcPr>
            <w:tcW w:w="961" w:type="dxa"/>
            <w:tcBorders/>
            <w:tcMar>
              <w:top w:w="0" w:type="dxa"/>
              <w:left w:w="0" w:type="dxa"/>
              <w:bottom w:w="0" w:type="dxa"/>
              <w:right w:w="0" w:type="dxa"/>
            </w:tcMar>
            <w:vAlign w:val="center"/>
          </w:tcPr>
          <w:p>
            <w:pPr>
              <w:pStyle w:val="TableContents"/>
              <w:bidi w:val="0"/>
              <w:spacing w:before="0" w:after="283"/>
              <w:ind w:left="0" w:right="0" w:firstLine="355"/>
              <w:jc w:val="left"/>
              <w:rPr>
                <w:rFonts w:ascii="Times New Roman" w:hAnsi="Times New Roman"/>
                <w:color w:val="000000"/>
                <w:sz w:val="20"/>
              </w:rPr>
            </w:pPr>
            <w:r>
              <w:rPr>
                <w:rFonts w:ascii="Times New Roman" w:hAnsi="Times New Roman"/>
                <w:color w:val="000000"/>
                <w:sz w:val="20"/>
              </w:rPr>
              <w:t>24.1</w:t>
            </w:r>
          </w:p>
        </w:tc>
        <w:tc>
          <w:tcPr>
            <w:tcW w:w="8611" w:type="dxa"/>
            <w:tcBorders/>
            <w:tcMar>
              <w:top w:w="0" w:type="dxa"/>
              <w:left w:w="0" w:type="dxa"/>
              <w:bottom w:w="0" w:type="dxa"/>
              <w:right w:w="0" w:type="dxa"/>
            </w:tcMar>
            <w:vAlign w:val="center"/>
          </w:tcPr>
          <w:p>
            <w:pPr>
              <w:pStyle w:val="TableContents"/>
              <w:bidi w:val="0"/>
              <w:spacing w:before="0" w:after="283"/>
              <w:ind w:left="0" w:right="0" w:firstLine="355"/>
              <w:jc w:val="left"/>
              <w:rPr/>
            </w:pPr>
            <w:hyperlink w:anchor="power_of_attorney">
              <w:r>
                <w:rPr>
                  <w:rStyle w:val="InternetLink"/>
                  <w:rFonts w:ascii="Times New Roman" w:hAnsi="Times New Roman"/>
                  <w:color w:val="0000FF"/>
                  <w:sz w:val="20"/>
                  <w:u w:val="single"/>
                </w:rPr>
                <w:t>Power of attorney (included on the signature pages of this registration statement)</w:t>
              </w:r>
            </w:hyperlink>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99.1(4)</w:t>
            </w:r>
          </w:p>
        </w:tc>
        <w:tc>
          <w:tcPr>
            <w:tcW w:w="8611"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"https://www.sec.gov/Archives/edgar/data/1563880/000119312526166695/trvi-20260421.htm" \l "appendix_a"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Amended and Restated 2019 Stock Incentive Plan</w:t>
            </w:r>
            <w:r>
              <w:rPr>
                <w:rStyle w:val="InternetLink"/>
                <w:sz w:val="20"/>
                <w:u w:val="single"/>
                <w:rFonts w:ascii="Times New Roman" w:hAnsi="Times New Roman"/>
                <w:color w:val="0000FF"/>
              </w:rPr>
              <w:fldChar w:fldCharType="end"/>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8611" w:type="dxa"/>
            <w:tcBorders/>
            <w:tcMar>
              <w:top w:w="0" w:type="dxa"/>
              <w:left w:w="0" w:type="dxa"/>
              <w:bottom w:w="0" w:type="dxa"/>
              <w:right w:w="0" w:type="dxa"/>
            </w:tcMar>
            <w:vAlign w:val="center"/>
          </w:tcPr>
          <w:p>
            <w:pPr>
              <w:pStyle w:val="TableContents"/>
              <w:bidi w:val="0"/>
              <w:spacing w:before="0" w:after="283"/>
              <w:jc w:val="left"/>
              <w:rPr/>
            </w:pPr>
            <w:hyperlink w:anchor="trvi_exfilingfees.htm">
              <w:r>
                <w:rPr>
                  <w:rStyle w:val="InternetLink"/>
                  <w:rFonts w:ascii="Times New Roman" w:hAnsi="Times New Roman"/>
                  <w:color w:val="0000FF"/>
                  <w:sz w:val="20"/>
                  <w:u w:val="single"/>
                </w:rPr>
                <w:t>Filing Fee Table</w:t>
              </w:r>
            </w:hyperlink>
          </w:p>
        </w:tc>
      </w:tr>
    </w:tbl>
    <w:p>
      <w:pPr>
        <w:pStyle w:val="TextBody"/>
        <w:bidi w:val="0"/>
        <w:jc w:val="left"/>
        <w:rPr>
          <w:rFonts w:ascii="Times New Roman" w:hAnsi="Times New Roman"/>
          <w:color w:val="000000"/>
          <w:sz w:val="20"/>
        </w:rPr>
      </w:pPr>
      <w:r>
        <w:rPr>
          <w:rFonts w:ascii="Times New Roman" w:hAnsi="Times New Roman"/>
          <w:color w:val="000000"/>
          <w:sz w:val="20"/>
        </w:rPr>
        <w:t>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Previously filed with the Securities and Exchange Commission on August 10, 2023 as an Exhibit to the Registrant’s Quarterly Report on Form 10-Q (File No. 001-38886) and incorporated herein by reference.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Previously filed with the Securities and Exchange Commission on April 14, 2023 as an Exhibit to the Registrant’s Current Report on Form 8-K (File No. 001-38886) and incorporated herein by reference.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Previously filed with the Securities and Exchange Commission on June 4, 2026 as Exhibit 3.1 to the Registrant’s Current Report on Form 8-K (File No. 001-38886) and incorporated herein by reference.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Previously filed with the Securities and Exchange Commission on April 21, 2026 as Appendix A to the Registrant’s Definitive Proxy Statement on Schedule 14A (File No. 001-38886) and incorporated herein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New Haven, Connecticut, on this 6th day of August, 2026.</w:t>
      </w:r>
    </w:p>
    <w:p>
      <w:pPr>
        <w:pStyle w:val="TextBody"/>
        <w:bidi w:val="0"/>
        <w:jc w:val="left"/>
        <w:rPr/>
      </w:pPr>
      <w:r>
        <w:rPr/>
        <w:t> </w:t>
      </w:r>
    </w:p>
    <w:tbl>
      <w:tblPr>
        <w:tblW w:w="3047" w:type="dxa"/>
        <w:jc w:val="left"/>
        <w:tblInd w:w="0" w:type="dxa"/>
        <w:tblLayout w:type="fixed"/>
        <w:tblCellMar>
          <w:top w:w="28" w:type="dxa"/>
          <w:left w:w="28" w:type="dxa"/>
          <w:bottom w:w="28" w:type="dxa"/>
          <w:right w:w="28" w:type="dxa"/>
        </w:tblCellMar>
      </w:tblPr>
      <w:tblGrid>
        <w:gridCol w:w="161"/>
        <w:gridCol w:w="109"/>
        <w:gridCol w:w="676"/>
        <w:gridCol w:w="21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Trevi Therapeutics,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C. Hastings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David C. Hastings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480" w:after="283"/>
        <w:jc w:val="center"/>
        <w:rPr>
          <w:rFonts w:ascii="Times New Roman" w:hAnsi="Times New Roman"/>
          <w:b/>
          <w:color w:val="000000"/>
          <w:sz w:val="20"/>
        </w:rPr>
      </w:pPr>
      <w:bookmarkStart w:id="2" w:name="power_of_attorney"/>
      <w:bookmarkEnd w:id="2"/>
      <w:r>
        <w:rPr>
          <w:rFonts w:ascii="Times New Roman" w:hAnsi="Times New Roman"/>
          <w:b/>
          <w:color w:val="000000"/>
          <w:sz w:val="20"/>
        </w:rPr>
        <w:t>POWER OF ATTORNEY AND 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the undersigned officers and directors of Trevi Therapeutics, Inc., hereby severally constitute and appoint Jennifer L. Good and David C. Hastings,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Trevi Therapeutics,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jc w:val="left"/>
        <w:rPr/>
      </w:pPr>
      <w:r>
        <w:rPr/>
        <w:t> </w:t>
      </w:r>
    </w:p>
    <w:tbl>
      <w:tblPr>
        <w:tblW w:w="7675" w:type="dxa"/>
        <w:jc w:val="left"/>
        <w:tblInd w:w="0" w:type="dxa"/>
        <w:tblLayout w:type="fixed"/>
        <w:tblCellMar>
          <w:top w:w="28" w:type="dxa"/>
          <w:left w:w="28" w:type="dxa"/>
          <w:bottom w:w="28" w:type="dxa"/>
          <w:right w:w="28" w:type="dxa"/>
        </w:tblCellMar>
      </w:tblPr>
      <w:tblGrid>
        <w:gridCol w:w="2071"/>
        <w:gridCol w:w="146"/>
        <w:gridCol w:w="3916"/>
        <w:gridCol w:w="146"/>
        <w:gridCol w:w="139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L. Good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 Director</w:t>
            </w:r>
          </w:p>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Jennifer L. Good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C. Hastings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David C. Hastings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Galletta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Controller</w:t>
            </w:r>
          </w:p>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Christopher Galletta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Meeker,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David Meeker,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Dominick Colangelo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Dominick Colangelo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Heffernan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Michael Heffernan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Edward Mathers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Edward Mathers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Anne VanLent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Anne VanLent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trvi-ex5_1.htm"/>
      <w:bookmarkStart w:id="4" w:name="kstrviex5_1"/>
      <w:bookmarkEnd w:id="3"/>
      <w:bookmarkEnd w:id="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5.1</w:t>
      </w:r>
    </w:p>
    <w:p>
      <w:pPr>
        <w:pStyle w:val="TextBody"/>
        <w:bidi w:val="0"/>
        <w:jc w:val="right"/>
        <w:rPr/>
      </w:pPr>
      <w:r>
        <w:rPr/>
        <w:t> </w:t>
      </w:r>
    </w:p>
    <w:p>
      <w:pPr>
        <w:pStyle w:val="TextBody"/>
        <w:bidi w:val="0"/>
        <w:jc w:val="right"/>
        <w:rPr/>
      </w:pPr>
      <w:r>
        <w:rPr/>
        <w:t> </w:t>
      </w:r>
    </w:p>
    <w:p>
      <w:pPr>
        <w:pStyle w:val="TextBody"/>
        <w:bidi w:val="0"/>
        <w:jc w:val="right"/>
        <w:rPr/>
      </w:pPr>
      <w:r>
        <w:rPr/>
        <w:drawing>
          <wp:inline distT="0" distB="0" distL="0" distR="0">
            <wp:extent cx="117157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171575" cy="152400"/>
                    </a:xfrm>
                    <a:prstGeom prst="rect">
                      <a:avLst/>
                    </a:prstGeom>
                  </pic:spPr>
                </pic:pic>
              </a:graphicData>
            </a:graphic>
          </wp:inline>
        </w:drawing>
      </w:r>
    </w:p>
    <w:p>
      <w:pPr>
        <w:pStyle w:val="TextBody"/>
        <w:bidi w:val="0"/>
        <w:spacing w:before="240" w:after="283"/>
        <w:jc w:val="right"/>
        <w:rPr>
          <w:rFonts w:ascii="Arial" w:hAnsi="Arial"/>
          <w:color w:val="000000"/>
          <w:sz w:val="14"/>
        </w:rPr>
      </w:pPr>
      <w:r>
        <w:rPr>
          <w:rFonts w:ascii="Arial" w:hAnsi="Arial"/>
          <w:color w:val="000000"/>
          <w:sz w:val="14"/>
        </w:rPr>
        <w:t>+1 617 526 6000 (t)</w:t>
      </w:r>
    </w:p>
    <w:p>
      <w:pPr>
        <w:pStyle w:val="TextBody"/>
        <w:bidi w:val="0"/>
        <w:jc w:val="right"/>
        <w:rPr>
          <w:rFonts w:ascii="Arial" w:hAnsi="Arial"/>
          <w:color w:val="000000"/>
          <w:sz w:val="14"/>
        </w:rPr>
      </w:pPr>
      <w:r>
        <w:rPr>
          <w:rFonts w:ascii="Arial" w:hAnsi="Arial"/>
          <w:color w:val="000000"/>
          <w:sz w:val="14"/>
        </w:rPr>
        <w:t>+1 617 526 5000 (f)</w:t>
      </w:r>
    </w:p>
    <w:p>
      <w:pPr>
        <w:pStyle w:val="TextBody"/>
        <w:bidi w:val="0"/>
        <w:jc w:val="right"/>
        <w:rPr>
          <w:rFonts w:ascii="Arial" w:hAnsi="Arial"/>
          <w:color w:val="000000"/>
          <w:sz w:val="14"/>
        </w:rPr>
      </w:pPr>
      <w:r>
        <w:rPr>
          <w:rFonts w:ascii="Arial" w:hAnsi="Arial"/>
          <w:color w:val="000000"/>
          <w:sz w:val="14"/>
        </w:rPr>
        <w:t>wilmerhale.com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August 6, 2026</w:t>
      </w:r>
    </w:p>
    <w:p>
      <w:pPr>
        <w:pStyle w:val="TextBody"/>
        <w:bidi w:val="0"/>
        <w:jc w:val="left"/>
        <w:rPr>
          <w:rFonts w:ascii="Times New Roman" w:hAnsi="Times New Roman"/>
          <w:color w:val="000000"/>
          <w:sz w:val="20"/>
        </w:rPr>
      </w:pPr>
      <w:r>
        <w:rPr>
          <w:rFonts w:ascii="Times New Roman" w:hAnsi="Times New Roman"/>
          <w:color w:val="000000"/>
          <w:sz w:val="20"/>
        </w:rPr>
        <w:t>Trevi Therapeutics, Inc.</w:t>
      </w:r>
    </w:p>
    <w:p>
      <w:pPr>
        <w:pStyle w:val="TextBody"/>
        <w:bidi w:val="0"/>
        <w:jc w:val="left"/>
        <w:rPr>
          <w:rFonts w:ascii="Times New Roman" w:hAnsi="Times New Roman"/>
          <w:color w:val="000000"/>
          <w:sz w:val="20"/>
        </w:rPr>
      </w:pPr>
      <w:r>
        <w:rPr>
          <w:rFonts w:ascii="Times New Roman" w:hAnsi="Times New Roman"/>
          <w:color w:val="000000"/>
          <w:sz w:val="20"/>
        </w:rPr>
        <w:t>195 Church Street, 16th Floor</w:t>
      </w:r>
    </w:p>
    <w:p>
      <w:pPr>
        <w:pStyle w:val="TextBody"/>
        <w:bidi w:val="0"/>
        <w:spacing w:before="0" w:after="600"/>
        <w:jc w:val="left"/>
        <w:rPr>
          <w:rFonts w:ascii="Times New Roman" w:hAnsi="Times New Roman"/>
          <w:color w:val="000000"/>
          <w:sz w:val="20"/>
        </w:rPr>
      </w:pPr>
      <w:r>
        <w:rPr>
          <w:rFonts w:ascii="Times New Roman" w:hAnsi="Times New Roman"/>
          <w:color w:val="000000"/>
          <w:sz w:val="20"/>
        </w:rPr>
        <w:t>New Haven, Connecticut 06510</w:t>
      </w:r>
    </w:p>
    <w:p>
      <w:pPr>
        <w:pStyle w:val="TextBody"/>
        <w:bidi w:val="0"/>
        <w:jc w:val="left"/>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Amended and Restated 2019 Stock Incentive Plan</w:t>
      </w: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assisted in the preparation of a Registration Statement on Form S-8 (the “Registration Statement”) to be filed with the Securities and Exchange Commission (the “Commission”) under the Securities Act of 1933, as amended (the “Securities Act”), relating to an aggregate of 8,000,000 shares of common stock, $0.001 par value per share (the “Shares”), of Trevi Therapeutics, Inc., a Delaware corporation (the “Company”), issuable under the Company’s Amended and Restated 2019 Stock Incentive Plan (the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the Plan and such other documents relating to the Company as we have deemed material for the purposes of this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assume that the appropriate action will be taken, prior to the offer and sale of the Shares in accordance with the Plan, to register and qualify the Shares for sale under all applicable state securities or “blue sky” laws.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express no opinion herein as to the laws of any state or jurisdiction other than the General Corporation Law of the State of Delaware and the federal laws of the United States of America.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understood that this opinion is to be used only in connection with the offer and sale of the Shares while the Registration Statement is in effect.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Please note that we are opining only as to the matters expressly set forth herein, and no opinion should be inferred as to any other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Very truly yours,</w:t>
      </w:r>
    </w:p>
    <w:p>
      <w:pPr>
        <w:pStyle w:val="TextBody"/>
        <w:bidi w:val="0"/>
        <w:jc w:val="left"/>
        <w:rPr>
          <w:rFonts w:ascii="Times New Roman" w:hAnsi="Times New Roman"/>
          <w:sz w:val="20"/>
        </w:rPr>
      </w:pPr>
      <w:r>
        <w:rPr>
          <w:rFonts w:ascii="Times New Roman" w:hAnsi="Times New Roman"/>
          <w:color w:val="000000"/>
          <w:sz w:val="20"/>
        </w:rPr>
        <w:t xml:space="preserve">WILMER CUTLER PICKERING HALE AND DORR </w:t>
      </w:r>
      <w:r>
        <w:rPr>
          <w:rFonts w:ascii="Times New Roman" w:hAnsi="Times New Roman"/>
          <w:smallCaps/>
          <w:color w:val="000000"/>
          <w:sz w:val="20"/>
        </w:rPr>
        <w:t>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/s/ Wilmer Cutler Pickering Hale and Dorr LLP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trvi-ex23_2.htm"/>
      <w:bookmarkStart w:id="6" w:name="kstrviex23_2"/>
      <w:bookmarkEnd w:id="5"/>
      <w:bookmarkEnd w:id="6"/>
      <w:r>
        <w:rPr>
          <w:rFonts w:ascii="Times New Roman" w:hAnsi="Times New Roman"/>
          <w:b/>
          <w:color w:val="000000"/>
          <w:sz w:val="20"/>
        </w:rPr>
        <w:t>Exhibit 23.2</w:t>
      </w:r>
      <w:r>
        <w:br w:type="page"/>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 (Form S-8) pertaining to the Amended and Restated 2019 Stock Incentive Plan, of Trevi Therapeutics, Inc. of our report dated March 17, 2026, with respect to the consolidated financial statements of Trevi Therapeutics, Inc. included in its Annual Report (Form 10-K) for the year ended December 31, 2025, filed with the Securities and Exchange Commission.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York, New York</w:t>
      </w:r>
    </w:p>
    <w:p>
      <w:pPr>
        <w:pStyle w:val="TextBody"/>
        <w:bidi w:val="0"/>
        <w:jc w:val="left"/>
        <w:rPr>
          <w:rFonts w:ascii="Times New Roman" w:hAnsi="Times New Roman"/>
          <w:color w:val="000000"/>
          <w:sz w:val="20"/>
        </w:rPr>
      </w:pPr>
      <w:r>
        <w:rPr>
          <w:rFonts w:ascii="Times New Roman" w:hAnsi="Times New Roman"/>
          <w:color w:val="000000"/>
          <w:sz w:val="20"/>
        </w:rPr>
        <w:t>August 6,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7" w:name="trvi_exfilingfees.htm"/>
      <w:bookmarkStart w:id="8" w:name="kstrvi_exfilingfees"/>
      <w:bookmarkEnd w:id="7"/>
      <w:bookmarkEnd w:id="8"/>
      <w:r>
        <w:rPr>
          <w:rFonts w:ascii="Times New Roman" w:hAnsi="Times New Roman"/>
          <w:color w:val="000000"/>
          <w:sz w:val="20"/>
        </w:rPr>
        <w:t>Exhibit 107</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Form S-8</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Trevi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074"/>
        <w:gridCol w:w="2489"/>
        <w:gridCol w:w="1066"/>
        <w:gridCol w:w="1074"/>
        <w:gridCol w:w="976"/>
        <w:gridCol w:w="1501"/>
        <w:gridCol w:w="867"/>
        <w:gridCol w:w="1158"/>
      </w:tblGrid>
      <w:tr>
        <w:trPr/>
        <w:tc>
          <w:tcPr>
            <w:tcW w:w="1074"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074"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7"/>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Table 1 – Newly Registered Securities</w:t>
            </w:r>
          </w:p>
        </w:tc>
      </w:tr>
      <w:tr>
        <w:trPr/>
        <w:tc>
          <w:tcPr>
            <w:tcW w:w="107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Security Type</w:t>
            </w:r>
          </w:p>
        </w:tc>
        <w:tc>
          <w:tcPr>
            <w:tcW w:w="2489"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Security</w:t>
            </w:r>
          </w:p>
          <w:p>
            <w:pPr>
              <w:pStyle w:val="TableContents"/>
              <w:bidi w:val="0"/>
              <w:jc w:val="center"/>
              <w:rPr>
                <w:rFonts w:ascii="Times New Roman" w:hAnsi="Times New Roman"/>
                <w:color w:val="000000"/>
                <w:sz w:val="20"/>
              </w:rPr>
            </w:pPr>
            <w:r>
              <w:rPr>
                <w:rFonts w:ascii="Times New Roman" w:hAnsi="Times New Roman"/>
                <w:color w:val="000000"/>
                <w:sz w:val="20"/>
              </w:rPr>
              <w:t>Class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Title </w:t>
            </w:r>
          </w:p>
        </w:tc>
        <w:tc>
          <w:tcPr>
            <w:tcW w:w="1066"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Fee</w:t>
            </w:r>
          </w:p>
          <w:p>
            <w:pPr>
              <w:pStyle w:val="TableContents"/>
              <w:bidi w:val="0"/>
              <w:jc w:val="center"/>
              <w:rPr>
                <w:rFonts w:ascii="Times New Roman" w:hAnsi="Times New Roman"/>
                <w:color w:val="000000"/>
                <w:sz w:val="20"/>
              </w:rPr>
            </w:pPr>
            <w:r>
              <w:rPr>
                <w:rFonts w:ascii="Times New Roman" w:hAnsi="Times New Roman"/>
                <w:color w:val="000000"/>
                <w:sz w:val="20"/>
              </w:rPr>
              <w:t>Calculation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Rule</w:t>
            </w:r>
          </w:p>
        </w:tc>
        <w:tc>
          <w:tcPr>
            <w:tcW w:w="1074"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Amount</w:t>
            </w:r>
          </w:p>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Registered </w:t>
            </w:r>
            <w:r>
              <w:rPr>
                <w:rFonts w:ascii="Times New Roman" w:hAnsi="Times New Roman"/>
                <w:color w:val="000000"/>
                <w:sz w:val="11"/>
              </w:rPr>
              <w:t>(1)</w:t>
            </w:r>
          </w:p>
        </w:tc>
        <w:tc>
          <w:tcPr>
            <w:tcW w:w="976"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21"/>
              </w:rPr>
            </w:pPr>
            <w:r>
              <w:rPr>
                <w:rFonts w:ascii="Times New Roman" w:hAnsi="Times New Roman"/>
                <w:color w:val="000000"/>
                <w:sz w:val="21"/>
              </w:rPr>
              <w:t>Proposed</w:t>
            </w:r>
          </w:p>
          <w:p>
            <w:pPr>
              <w:pStyle w:val="TableContents"/>
              <w:bidi w:val="0"/>
              <w:jc w:val="center"/>
              <w:rPr>
                <w:rFonts w:ascii="Times New Roman" w:hAnsi="Times New Roman"/>
                <w:color w:val="000000"/>
                <w:sz w:val="21"/>
              </w:rPr>
            </w:pPr>
            <w:r>
              <w:rPr>
                <w:rFonts w:ascii="Times New Roman" w:hAnsi="Times New Roman"/>
                <w:color w:val="000000"/>
                <w:sz w:val="21"/>
              </w:rPr>
              <w:t>Maximum</w:t>
            </w:r>
          </w:p>
          <w:p>
            <w:pPr>
              <w:pStyle w:val="TableContents"/>
              <w:bidi w:val="0"/>
              <w:jc w:val="center"/>
              <w:rPr>
                <w:rFonts w:ascii="Times New Roman" w:hAnsi="Times New Roman"/>
                <w:color w:val="000000"/>
                <w:sz w:val="21"/>
              </w:rPr>
            </w:pPr>
            <w:r>
              <w:rPr>
                <w:rFonts w:ascii="Times New Roman" w:hAnsi="Times New Roman"/>
                <w:color w:val="000000"/>
                <w:sz w:val="21"/>
              </w:rPr>
              <w:t>Offering</w:t>
            </w:r>
          </w:p>
          <w:p>
            <w:pPr>
              <w:pStyle w:val="TableContents"/>
              <w:bidi w:val="0"/>
              <w:jc w:val="center"/>
              <w:rPr>
                <w:rFonts w:ascii="Times New Roman" w:hAnsi="Times New Roman"/>
                <w:color w:val="000000"/>
                <w:sz w:val="21"/>
              </w:rPr>
            </w:pPr>
            <w:r>
              <w:rPr>
                <w:rFonts w:ascii="Times New Roman" w:hAnsi="Times New Roman"/>
                <w:color w:val="000000"/>
                <w:sz w:val="21"/>
              </w:rPr>
              <w:t>Price Per</w:t>
            </w:r>
          </w:p>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Unit</w:t>
            </w:r>
          </w:p>
        </w:tc>
        <w:tc>
          <w:tcPr>
            <w:tcW w:w="1501"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Maximum</w:t>
            </w:r>
          </w:p>
          <w:p>
            <w:pPr>
              <w:pStyle w:val="TableContents"/>
              <w:bidi w:val="0"/>
              <w:jc w:val="center"/>
              <w:rPr>
                <w:rFonts w:ascii="Times New Roman" w:hAnsi="Times New Roman"/>
                <w:color w:val="000000"/>
                <w:sz w:val="20"/>
              </w:rPr>
            </w:pPr>
            <w:r>
              <w:rPr>
                <w:rFonts w:ascii="Times New Roman" w:hAnsi="Times New Roman"/>
                <w:color w:val="000000"/>
                <w:sz w:val="20"/>
              </w:rPr>
              <w:t>Aggregate</w:t>
            </w:r>
          </w:p>
          <w:p>
            <w:pPr>
              <w:pStyle w:val="TableContents"/>
              <w:bidi w:val="0"/>
              <w:jc w:val="center"/>
              <w:rPr>
                <w:rFonts w:ascii="Times New Roman" w:hAnsi="Times New Roman"/>
                <w:color w:val="000000"/>
                <w:sz w:val="20"/>
              </w:rPr>
            </w:pPr>
            <w:r>
              <w:rPr>
                <w:rFonts w:ascii="Times New Roman" w:hAnsi="Times New Roman"/>
                <w:color w:val="000000"/>
                <w:sz w:val="20"/>
              </w:rPr>
              <w:t>Offering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Price</w:t>
            </w:r>
          </w:p>
        </w:tc>
        <w:tc>
          <w:tcPr>
            <w:tcW w:w="867"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Rate</w:t>
            </w:r>
          </w:p>
        </w:tc>
        <w:tc>
          <w:tcPr>
            <w:tcW w:w="1158"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Amount of</w:t>
            </w:r>
          </w:p>
          <w:p>
            <w:pPr>
              <w:pStyle w:val="TableContents"/>
              <w:bidi w:val="0"/>
              <w:jc w:val="center"/>
              <w:rPr>
                <w:rFonts w:ascii="Times New Roman" w:hAnsi="Times New Roman"/>
                <w:color w:val="000000"/>
                <w:sz w:val="20"/>
              </w:rPr>
            </w:pPr>
            <w:r>
              <w:rPr>
                <w:rFonts w:ascii="Times New Roman" w:hAnsi="Times New Roman"/>
                <w:color w:val="000000"/>
                <w:sz w:val="20"/>
              </w:rPr>
              <w:t>Registration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Fee</w:t>
            </w:r>
          </w:p>
        </w:tc>
      </w:tr>
      <w:tr>
        <w:trPr/>
        <w:tc>
          <w:tcPr>
            <w:tcW w:w="1074" w:type="dxa"/>
            <w:tcBorders>
              <w:left w:val="single" w:sz="6" w:space="0" w:color="000000"/>
              <w:bottom w:val="single" w:sz="6" w:space="0" w:color="000000"/>
              <w:right w:val="single" w:sz="6" w:space="0" w:color="000000"/>
            </w:tcBorders>
            <w:shd w:fill="CFF0FC"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489"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sz w:val="2"/>
              </w:rPr>
            </w:pPr>
            <w:r>
              <w:rPr>
                <w:rFonts w:ascii="Times New Roman" w:hAnsi="Times New Roman"/>
                <w:color w:val="000000"/>
                <w:sz w:val="20"/>
              </w:rPr>
              <w:t>Common Stock, $0.001 par value per share</w:t>
            </w:r>
            <w:r>
              <w:rPr>
                <w:rFonts w:ascii="Times New Roman" w:hAnsi="Times New Roman"/>
                <w:color w:val="000000"/>
                <w:sz w:val="2"/>
              </w:rPr>
              <w:t xml:space="preserve"> </w:t>
            </w:r>
          </w:p>
        </w:tc>
        <w:tc>
          <w:tcPr>
            <w:tcW w:w="1066"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right"/>
              <w:rPr>
                <w:rFonts w:ascii="Times New Roman" w:hAnsi="Times New Roman"/>
                <w:sz w:val="16"/>
              </w:rPr>
            </w:pPr>
            <w:r>
              <w:rPr>
                <w:rFonts w:ascii="Times New Roman" w:hAnsi="Times New Roman"/>
                <w:color w:val="000000"/>
                <w:sz w:val="20"/>
              </w:rPr>
              <w:t>Other</w:t>
            </w:r>
            <w:r>
              <w:rPr>
                <w:rFonts w:ascii="Times New Roman" w:hAnsi="Times New Roman"/>
                <w:color w:val="000000"/>
                <w:sz w:val="16"/>
              </w:rPr>
              <w:t xml:space="preserve"> </w:t>
            </w:r>
            <w:r>
              <w:rPr>
                <w:rFonts w:ascii="Times New Roman" w:hAnsi="Times New Roman"/>
                <w:color w:val="000000"/>
                <w:sz w:val="11"/>
              </w:rPr>
              <w:t>(2)</w:t>
            </w:r>
          </w:p>
        </w:tc>
        <w:tc>
          <w:tcPr>
            <w:tcW w:w="1074"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right"/>
              <w:rPr>
                <w:rFonts w:ascii="Times New Roman" w:hAnsi="Times New Roman"/>
                <w:sz w:val="16"/>
              </w:rPr>
            </w:pPr>
            <w:r>
              <w:rPr>
                <w:rFonts w:ascii="Times New Roman" w:hAnsi="Times New Roman"/>
                <w:color w:val="000000"/>
                <w:sz w:val="20"/>
              </w:rPr>
              <w:t>8,000,000</w:t>
            </w:r>
            <w:r>
              <w:rPr>
                <w:rFonts w:ascii="Times New Roman" w:hAnsi="Times New Roman"/>
                <w:color w:val="000000"/>
                <w:sz w:val="16"/>
              </w:rPr>
              <w:t xml:space="preserve"> </w:t>
            </w:r>
            <w:r>
              <w:rPr>
                <w:rFonts w:ascii="Times New Roman" w:hAnsi="Times New Roman"/>
                <w:color w:val="000000"/>
                <w:sz w:val="11"/>
              </w:rPr>
              <w:t>(3)</w:t>
            </w:r>
          </w:p>
        </w:tc>
        <w:tc>
          <w:tcPr>
            <w:tcW w:w="976"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right"/>
              <w:rPr>
                <w:rFonts w:ascii="Times New Roman" w:hAnsi="Times New Roman"/>
                <w:sz w:val="20"/>
              </w:rPr>
            </w:pPr>
            <w:r>
              <w:rPr>
                <w:rFonts w:ascii="Times New Roman" w:hAnsi="Times New Roman"/>
                <w:color w:val="000000"/>
                <w:sz w:val="20"/>
              </w:rPr>
              <w:t xml:space="preserve">$17.97 </w:t>
            </w:r>
            <w:r>
              <w:rPr>
                <w:rFonts w:ascii="Times New Roman" w:hAnsi="Times New Roman"/>
                <w:color w:val="000000"/>
                <w:sz w:val="11"/>
              </w:rPr>
              <w:t>(2)</w:t>
            </w:r>
          </w:p>
        </w:tc>
        <w:tc>
          <w:tcPr>
            <w:tcW w:w="1501"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$143,760,000.00</w:t>
            </w:r>
          </w:p>
        </w:tc>
        <w:tc>
          <w:tcPr>
            <w:tcW w:w="867"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.0001381</w:t>
            </w:r>
          </w:p>
        </w:tc>
        <w:tc>
          <w:tcPr>
            <w:tcW w:w="1158"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$19,853.26</w:t>
            </w:r>
          </w:p>
        </w:tc>
      </w:tr>
      <w:tr>
        <w:trPr/>
        <w:tc>
          <w:tcPr>
            <w:tcW w:w="5703" w:type="dxa"/>
            <w:gridSpan w:val="4"/>
            <w:tcBorders>
              <w:left w:val="single" w:sz="6" w:space="0" w:color="000000"/>
              <w:bottom w:val="single" w:sz="6" w:space="0" w:color="000000"/>
              <w:right w:val="single" w:sz="6" w:space="0" w:color="000000"/>
            </w:tcBorders>
            <w:shd w:fill="CFF0FC"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Offering Amounts</w:t>
            </w:r>
          </w:p>
        </w:tc>
        <w:tc>
          <w:tcPr>
            <w:tcW w:w="976"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center"/>
              <w:rPr>
                <w:color w:val="000000"/>
              </w:rPr>
            </w:pPr>
            <w:r>
              <w:rPr>
                <w:color w:val="000000"/>
              </w:rPr>
              <w:t>–</w:t>
            </w:r>
          </w:p>
        </w:tc>
        <w:tc>
          <w:tcPr>
            <w:tcW w:w="1501"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$143,760,000.00</w:t>
            </w:r>
          </w:p>
        </w:tc>
        <w:tc>
          <w:tcPr>
            <w:tcW w:w="867"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center"/>
              <w:rPr>
                <w:color w:val="000000"/>
              </w:rPr>
            </w:pPr>
            <w:r>
              <w:rPr>
                <w:color w:val="000000"/>
              </w:rPr>
              <w:t>–</w:t>
            </w:r>
          </w:p>
        </w:tc>
        <w:tc>
          <w:tcPr>
            <w:tcW w:w="1158"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$19,853.26</w:t>
            </w:r>
          </w:p>
        </w:tc>
      </w:tr>
      <w:tr>
        <w:trPr/>
        <w:tc>
          <w:tcPr>
            <w:tcW w:w="5703" w:type="dxa"/>
            <w:gridSpan w:val="4"/>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Fee Offsets</w:t>
            </w:r>
          </w:p>
        </w:tc>
        <w:tc>
          <w:tcPr>
            <w:tcW w:w="976" w:type="dxa"/>
            <w:tcBorders>
              <w:bottom w:val="single" w:sz="6" w:space="0" w:color="000000"/>
              <w:right w:val="single" w:sz="6" w:space="0" w:color="000000"/>
            </w:tcBorders>
            <w:tcMar>
              <w:top w:w="0" w:type="dxa"/>
              <w:left w:w="0" w:type="dxa"/>
            </w:tcMar>
            <w:vAlign w:val="center"/>
          </w:tcPr>
          <w:p>
            <w:pPr>
              <w:pStyle w:val="TableContents"/>
              <w:bidi w:val="0"/>
              <w:spacing w:before="0" w:after="20"/>
              <w:jc w:val="center"/>
              <w:rPr>
                <w:color w:val="000000"/>
              </w:rPr>
            </w:pPr>
            <w:r>
              <w:rPr>
                <w:color w:val="000000"/>
              </w:rPr>
              <w:t>–</w:t>
            </w:r>
          </w:p>
        </w:tc>
        <w:tc>
          <w:tcPr>
            <w:tcW w:w="1501" w:type="dxa"/>
            <w:tcBorders>
              <w:bottom w:val="single" w:sz="6" w:space="0" w:color="000000"/>
              <w:right w:val="single" w:sz="6" w:space="0" w:color="000000"/>
            </w:tcBorders>
            <w:tcMar>
              <w:top w:w="0" w:type="dxa"/>
              <w:left w:w="0" w:type="dxa"/>
            </w:tcMar>
            <w:vAlign w:val="center"/>
          </w:tcPr>
          <w:p>
            <w:pPr>
              <w:pStyle w:val="TableContents"/>
              <w:bidi w:val="0"/>
              <w:spacing w:before="0" w:after="20"/>
              <w:jc w:val="center"/>
              <w:rPr>
                <w:color w:val="000000"/>
              </w:rPr>
            </w:pPr>
            <w:r>
              <w:rPr>
                <w:color w:val="000000"/>
              </w:rPr>
              <w:t>–</w:t>
            </w:r>
          </w:p>
        </w:tc>
        <w:tc>
          <w:tcPr>
            <w:tcW w:w="867" w:type="dxa"/>
            <w:tcBorders>
              <w:bottom w:val="single" w:sz="6" w:space="0" w:color="000000"/>
              <w:right w:val="single" w:sz="6" w:space="0" w:color="000000"/>
            </w:tcBorders>
            <w:tcMar>
              <w:top w:w="0" w:type="dxa"/>
              <w:left w:w="0" w:type="dxa"/>
            </w:tcMar>
            <w:vAlign w:val="center"/>
          </w:tcPr>
          <w:p>
            <w:pPr>
              <w:pStyle w:val="TableContents"/>
              <w:bidi w:val="0"/>
              <w:spacing w:before="0" w:after="20"/>
              <w:jc w:val="center"/>
              <w:rPr>
                <w:color w:val="000000"/>
              </w:rPr>
            </w:pPr>
            <w:r>
              <w:rPr>
                <w:color w:val="000000"/>
              </w:rPr>
              <w:t>–</w:t>
            </w:r>
          </w:p>
        </w:tc>
        <w:tc>
          <w:tcPr>
            <w:tcW w:w="1158" w:type="dxa"/>
            <w:tcBorders>
              <w:bottom w:val="single" w:sz="6" w:space="0" w:color="000000"/>
              <w:right w:val="single" w:sz="6" w:space="0" w:color="000000"/>
            </w:tcBorders>
            <w:tcMar>
              <w:top w:w="0" w:type="dxa"/>
              <w:left w:w="0" w:type="dxa"/>
            </w:tcMar>
            <w:vAlign w:val="center"/>
          </w:tcPr>
          <w:p>
            <w:pPr>
              <w:pStyle w:val="TableContents"/>
              <w:bidi w:val="0"/>
              <w:spacing w:before="0" w:after="20"/>
              <w:jc w:val="center"/>
              <w:rPr>
                <w:color w:val="000000"/>
              </w:rPr>
            </w:pPr>
            <w:r>
              <w:rPr>
                <w:color w:val="000000"/>
              </w:rPr>
              <w:t>–</w:t>
            </w:r>
          </w:p>
        </w:tc>
      </w:tr>
      <w:tr>
        <w:trPr/>
        <w:tc>
          <w:tcPr>
            <w:tcW w:w="5703" w:type="dxa"/>
            <w:gridSpan w:val="4"/>
            <w:tcBorders>
              <w:left w:val="single" w:sz="6" w:space="0" w:color="000000"/>
              <w:bottom w:val="single" w:sz="6" w:space="0" w:color="000000"/>
              <w:right w:val="single" w:sz="6" w:space="0" w:color="000000"/>
            </w:tcBorders>
            <w:shd w:fill="CFF0FC"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Net Fee Due </w:t>
            </w:r>
          </w:p>
        </w:tc>
        <w:tc>
          <w:tcPr>
            <w:tcW w:w="976"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center"/>
              <w:rPr>
                <w:color w:val="000000"/>
              </w:rPr>
            </w:pPr>
            <w:r>
              <w:rPr>
                <w:color w:val="000000"/>
              </w:rPr>
              <w:t>–</w:t>
            </w:r>
          </w:p>
        </w:tc>
        <w:tc>
          <w:tcPr>
            <w:tcW w:w="1501"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center"/>
              <w:rPr>
                <w:color w:val="000000"/>
              </w:rPr>
            </w:pPr>
            <w:r>
              <w:rPr>
                <w:color w:val="000000"/>
              </w:rPr>
              <w:t>–</w:t>
            </w:r>
          </w:p>
        </w:tc>
        <w:tc>
          <w:tcPr>
            <w:tcW w:w="867"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center"/>
              <w:rPr>
                <w:color w:val="000000"/>
              </w:rPr>
            </w:pPr>
            <w:r>
              <w:rPr>
                <w:color w:val="000000"/>
              </w:rPr>
              <w:t>–</w:t>
            </w:r>
          </w:p>
        </w:tc>
        <w:tc>
          <w:tcPr>
            <w:tcW w:w="1158" w:type="dxa"/>
            <w:tcBorders>
              <w:bottom w:val="single" w:sz="6" w:space="0" w:color="000000"/>
              <w:right w:val="single" w:sz="6" w:space="0" w:color="000000"/>
            </w:tcBorders>
            <w:shd w:fill="CFF0FC" w:val="clear"/>
            <w:tcMar>
              <w:top w:w="0" w:type="dxa"/>
              <w:lef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$19,853.26</w:t>
            </w:r>
          </w:p>
        </w:tc>
      </w:tr>
    </w:tbl>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
        <w:gridCol w:w="9902"/>
      </w:tblGrid>
      <w:tr>
        <w:trPr/>
        <w:tc>
          <w:tcPr>
            <w:tcW w:w="303" w:type="dxa"/>
            <w:tcBorders/>
            <w:vAlign w:val="center"/>
          </w:tcPr>
          <w:p>
            <w:pPr>
              <w:pStyle w:val="TableContents"/>
              <w:bidi w:val="0"/>
              <w:spacing w:before="0" w:after="283"/>
              <w:jc w:val="left"/>
              <w:rPr>
                <w:sz w:val="4"/>
                <w:szCs w:val="4"/>
              </w:rPr>
            </w:pPr>
            <w:r>
              <w:rPr>
                <w:sz w:val="4"/>
                <w:szCs w:val="4"/>
              </w:rPr>
            </w:r>
          </w:p>
        </w:tc>
        <w:tc>
          <w:tcPr>
            <w:tcW w:w="9902" w:type="dxa"/>
            <w:tcBorders/>
            <w:vAlign w:val="center"/>
          </w:tcPr>
          <w:p>
            <w:pPr>
              <w:pStyle w:val="TableContents"/>
              <w:bidi w:val="0"/>
              <w:spacing w:before="0" w:after="283"/>
              <w:jc w:val="left"/>
              <w:rPr>
                <w:sz w:val="4"/>
                <w:szCs w:val="4"/>
              </w:rPr>
            </w:pPr>
            <w:r>
              <w:rPr>
                <w:sz w:val="4"/>
                <w:szCs w:val="4"/>
              </w:rPr>
            </w:r>
          </w:p>
        </w:tc>
      </w:tr>
      <w:tr>
        <w:trPr/>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Pursuant to Rule 416 of the Securities Act of 1933, as amended (the “Securities Act”), this registration statement shall also cover any additional shares of the Registrant’s common stock, $0.001 par value per share (“Common Stock”), that may from time to time be offered or issued to prevent dilution by reason of any stock dividend, stock split or other similar transaction.</w:t>
            </w:r>
          </w:p>
        </w:tc>
      </w:tr>
      <w:tr>
        <w:trPr/>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proposed maximum offering price per unit of $17.97 is estimated pursuant to Rule 457(c) and Rule 457(h) of the Securities Act solely for purposes of calculating the registration fee, and is based upon the average of the high and low prices of the Common Stock on August 3, 2026, as reported on the Nasdaq Global Market.</w:t>
            </w:r>
          </w:p>
        </w:tc>
      </w:tr>
      <w:tr>
        <w:trPr/>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Consists of 8,000,000 additional shares issuable under the Trevi Therapeutics, Inc. Amended and Restated 2019 Stock Incentive Plan.</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3880/000119312519139633/d648636ds8.htm" TargetMode="External"/><Relationship Id="rId3" Type="http://schemas.openxmlformats.org/officeDocument/2006/relationships/hyperlink" Target="https://www.sec.gov/Archives/edgar/data/1563880/000119312520074850/d793593ds8.htm" TargetMode="External"/><Relationship Id="rId4" Type="http://schemas.openxmlformats.org/officeDocument/2006/relationships/hyperlink" Target="https://www.sec.gov/Archives/edgar/data/1563880/000119312521208997/d88681ds8.htm" TargetMode="External"/><Relationship Id="rId5" Type="http://schemas.openxmlformats.org/officeDocument/2006/relationships/hyperlink" Target="https://www.sec.gov/Archives/edgar/data/1563880/000156459022017068/trvi-s8.htm" TargetMode="External"/><Relationship Id="rId6" Type="http://schemas.openxmlformats.org/officeDocument/2006/relationships/hyperlink" Target="https://www.sec.gov/Archives/edgar/data/1563880/000095017023021261/2023_s-8_-_annual_share_.htm" TargetMode="External"/><Relationship Id="rId7" Type="http://schemas.openxmlformats.org/officeDocument/2006/relationships/hyperlink" Target="https://www.sec.gov/Archives/edgar/data/1563880/000095017024034171/2024_s-8_-_annual_share_.htm" TargetMode="External"/><Relationship Id="rId8" Type="http://schemas.openxmlformats.org/officeDocument/2006/relationships/hyperlink" Target="https://www.sec.gov/Archives/edgar/data/1563880/000095017025041206/2025_s-8_-_annual_share_.htm" TargetMode="External"/><Relationship Id="rId9" Type="http://schemas.openxmlformats.org/officeDocument/2006/relationships/hyperlink" Target="https://www.sec.gov/Archives/edgar/data/1563880/000095017025105074/trvi-20250807.htm" TargetMode="External"/><Relationship Id="rId10" Type="http://schemas.openxmlformats.org/officeDocument/2006/relationships/hyperlink" Target="https://www.sec.gov/Archives/edgar/data/1563880/000095017023041318/trvi-ex3_1.htm" TargetMode="External"/><Relationship Id="rId11" Type="http://schemas.openxmlformats.org/officeDocument/2006/relationships/hyperlink" Target="https://www.sec.gov/Archives/edgar/data/1563880/000095017023012870/trvi-ex3_1.htm" TargetMode="External"/><Relationship Id="rId12" Type="http://schemas.openxmlformats.org/officeDocument/2006/relationships/hyperlink" Target="https://www.sec.gov/Archives/edgar/data/1563880/000119312526257365/trvi-ex3_1.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2039</Words>
  <Characters>10853</Characters>
  <CharactersWithSpaces>12791</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