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40" w:right="1740" w:hanging="3732"/>
        <w:spacing w:after="0" w:line="392" w:lineRule="auto"/>
        <w:tabs>
          <w:tab w:leader="none" w:pos="51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7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-5080</wp:posOffset>
            </wp:positionV>
            <wp:extent cx="952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TREVI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60" w:type="dxa"/>
            <w:vAlign w:val="bottom"/>
            <w:gridSpan w:val="3"/>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45-0834299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3"/>
          </w:tcPr>
          <w:p>
            <w:pPr>
              <w:jc w:val="center"/>
              <w:ind w:left="1038"/>
              <w:spacing w:after="0" w:line="149" w:lineRule="exact"/>
              <w:rPr>
                <w:sz w:val="20"/>
                <w:szCs w:val="20"/>
                <w:color w:val="auto"/>
              </w:rPr>
            </w:pPr>
            <w:r>
              <w:rPr>
                <w:rFonts w:ascii="Times New Roman" w:cs="Times New Roman" w:eastAsia="Times New Roman" w:hAnsi="Times New Roman"/>
                <w:sz w:val="14"/>
                <w:szCs w:val="14"/>
                <w:b w:val="1"/>
                <w:bCs w:val="1"/>
                <w:color w:val="auto"/>
              </w:rPr>
              <w:t>( State or other jurisdiction of</w:t>
            </w:r>
          </w:p>
        </w:tc>
        <w:tc>
          <w:tcPr>
            <w:tcW w:w="2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40" w:type="dxa"/>
            <w:vAlign w:val="bottom"/>
          </w:tcPr>
          <w:p>
            <w:pPr>
              <w:jc w:val="center"/>
              <w:ind w:right="20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gridSpan w:val="3"/>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560" w:type="dxa"/>
            <w:vAlign w:val="bottom"/>
            <w:gridSpan w:val="3"/>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rPr>
              <w:t>195 Church Street, 14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New Haven, Connecticut</w:t>
            </w: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Pr>
          <w:p>
            <w:pPr>
              <w:jc w:val="right"/>
              <w:ind w:right="2540"/>
              <w:spacing w:after="0"/>
              <w:rPr>
                <w:sz w:val="20"/>
                <w:szCs w:val="20"/>
                <w:color w:val="auto"/>
              </w:rPr>
            </w:pPr>
            <w:r>
              <w:rPr>
                <w:rFonts w:ascii="Times New Roman" w:cs="Times New Roman" w:eastAsia="Times New Roman" w:hAnsi="Times New Roman"/>
                <w:sz w:val="18"/>
                <w:szCs w:val="18"/>
                <w:b w:val="1"/>
                <w:bCs w:val="1"/>
                <w:color w:val="auto"/>
              </w:rPr>
              <w:t>06510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gridSpan w:val="3"/>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60" w:type="dxa"/>
            <w:vAlign w:val="bottom"/>
            <w:gridSpan w:val="7"/>
          </w:tcPr>
          <w:p>
            <w:pPr>
              <w:jc w:val="center"/>
              <w:ind w:left="34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80" w:type="dxa"/>
            <w:vAlign w:val="bottom"/>
            <w:gridSpan w:val="4"/>
            <w:vMerge w:val="restart"/>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2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80" w:type="dxa"/>
            <w:vAlign w:val="bottom"/>
            <w:gridSpan w:val="4"/>
            <w:vMerge w:val="continue"/>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330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TRVI</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18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6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42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6" w:lineRule="exact"/>
        <w:rPr>
          <w:sz w:val="24"/>
          <w:szCs w:val="24"/>
          <w:color w:val="auto"/>
        </w:rPr>
      </w:pPr>
    </w:p>
    <w:p>
      <w:pPr>
        <w:ind w:right="24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3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14, 2019, the registrant had 17,834,570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446405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337"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900" w:hanging="379"/>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ongoing clinical trials, including our Phase 2b/3 PRISM trial of nalbuphine ER for the treatment of pruritus associated with prurigo nodularis;</w:t>
      </w:r>
    </w:p>
    <w:p>
      <w:pPr>
        <w:spacing w:after="0" w:line="128" w:lineRule="exact"/>
        <w:rPr>
          <w:rFonts w:ascii="Times New Roman" w:cs="Times New Roman" w:eastAsia="Times New Roman" w:hAnsi="Times New Roman"/>
          <w:sz w:val="17"/>
          <w:szCs w:val="17"/>
          <w:color w:val="auto"/>
        </w:rPr>
      </w:pPr>
    </w:p>
    <w:p>
      <w:pPr>
        <w:ind w:left="900" w:right="80" w:hanging="379"/>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nalbuphine ER for the treatment of pruritus associated with prurigo nodularis or for other serious neurologically mediated conditions;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for the initiation of clinical trials and the reporting of data from such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nalbuphine ER;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and cash equivalents;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obtain additional funding.</w:t>
      </w:r>
    </w:p>
    <w:p>
      <w:pPr>
        <w:spacing w:after="0" w:line="225"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22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20" w:type="dxa"/>
            <w:vAlign w:val="bottom"/>
            <w:gridSpan w:val="16"/>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INFORMATION</w:t>
              </w:r>
            </w:hyperlink>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820" w:type="dxa"/>
            <w:vAlign w:val="bottom"/>
            <w:gridSpan w:val="16"/>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20" w:type="dxa"/>
            <w:vAlign w:val="bottom"/>
            <w:gridSpan w:val="1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2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2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Redeemable Convertible Preferred Stock and Stockholders’ Equity (Deficit)</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w:t>
              </w:r>
            </w:hyperlink>
          </w:p>
        </w:tc>
        <w:tc>
          <w:tcPr>
            <w:tcW w:w="1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Unaudited Condensed Consolidated Financial Statements</w:t>
              </w:r>
            </w:hyperlink>
          </w:p>
        </w:tc>
        <w:tc>
          <w:tcPr>
            <w:tcW w:w="502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1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36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Controls and Procedures</w:t>
              </w:r>
            </w:hyperlink>
          </w:p>
        </w:tc>
        <w:tc>
          <w:tcPr>
            <w:tcW w:w="8040" w:type="dxa"/>
            <w:vAlign w:val="bottom"/>
            <w:gridSpan w:val="12"/>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OTHER INFORMATION</w:t>
              </w:r>
            </w:hyperlink>
          </w:p>
        </w:tc>
        <w:tc>
          <w:tcPr>
            <w:tcW w:w="7920" w:type="dxa"/>
            <w:vAlign w:val="bottom"/>
            <w:gridSpan w:val="11"/>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1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Legal Proceedings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tcPr>
          <w:p>
            <w:pPr>
              <w:spacing w:after="0"/>
              <w:rPr>
                <w:sz w:val="18"/>
                <w:szCs w:val="18"/>
                <w:color w:val="auto"/>
              </w:rPr>
            </w:pPr>
          </w:p>
        </w:tc>
        <w:tc>
          <w:tcPr>
            <w:tcW w:w="8480" w:type="dxa"/>
            <w:vAlign w:val="bottom"/>
            <w:gridSpan w:val="1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Unregistered Sales of Equity Securities and Use of Proceeds</w:t>
              </w:r>
            </w:hyperlink>
          </w:p>
        </w:tc>
        <w:tc>
          <w:tcPr>
            <w:tcW w:w="5460" w:type="dxa"/>
            <w:vAlign w:val="bottom"/>
            <w:gridSpan w:val="5"/>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gridSpan w:val="16"/>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Exhibits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8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63,515</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Tax credit and other receivables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Prepaid expenses</w:t>
            </w:r>
          </w:p>
        </w:tc>
        <w:tc>
          <w:tcPr>
            <w:tcW w:w="7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offering costs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Security deposit</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Property, equipment and leasehold improvements, net</w:t>
            </w:r>
          </w:p>
        </w:tc>
        <w:tc>
          <w:tcPr>
            <w:tcW w:w="7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assets</w:t>
            </w:r>
          </w:p>
        </w:tc>
        <w:tc>
          <w:tcPr>
            <w:tcW w:w="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66,022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convertible preferred stock and stockholders’ equity (deficit)</w:t>
            </w: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8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expenses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Operating lease liability - current portion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0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5,030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Obligation for loan success fee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C redeemable convertible preferred stock liability</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liability - long term portion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Series A redeemable convertible preferred stock: no shares and 15,387,923</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authorized, issued and outstanding at September 30, 2019 and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December 31, 2018, respectively; liquidation preference of $0 and $20,469 at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30 2019 and December 31, 2018, respectively.</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Series B redeemable convertible preferred stock: no shares and 22,608,695 shares</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authorized, issued and outstanding at September 30, 2019 and December 31, 2018,</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respectively; liquidation preference of $0 and $32,900 at September 30, 2019 and</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December 31, 2018, respectively.</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Series C redeemable convertible preferred stock: no shares and 48,200,412</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authorized at September 30, 2019 and December 31, 2018, respectively; and no</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and 38,097,672 shares issued and outstanding at September 30, 2019 and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December 31, 2018, respectively; liquidation preference of $0 and $59,798 at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30, 2019 and December 31, 2018, respectively.</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Common stock: $0.001 par value; 200,000,000 and 101,929,904 shares authorized at</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30, 2019 and December 31, 2018, respectively; and 17,834,570 and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438,600 shares issued and outstanding at September 30, 2019 and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December 31, 2018, respectively.</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Preferred stock: $0.001 par value; 5,000,000 shares and no shares authorized at</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September 30, 2019 and December 31, 2018, respectively; no shares issued or</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outstanding at September 30, 2019 or December 31, 2018.</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Accumulated deficit</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(107,682)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(109,498)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70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(109,494)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Total liabilities, redeemable convertible preferred stock and stockholders’ equity (deficit)</w:t>
            </w:r>
          </w:p>
        </w:tc>
        <w:tc>
          <w:tcPr>
            <w:tcW w:w="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66,022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160" w:type="dxa"/>
            <w:vAlign w:val="bottom"/>
          </w:tcPr>
          <w:p>
            <w:pPr>
              <w:spacing w:after="0"/>
              <w:rPr>
                <w:sz w:val="19"/>
                <w:szCs w:val="19"/>
                <w:color w:val="auto"/>
              </w:rPr>
            </w:pP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Series C redeemable convertible preferred stock</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liability</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obligation for loan success fee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stock</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Dividends accrued on redeemable convertible preferred stock</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 attributable to common stockholders</w:t>
            </w:r>
          </w:p>
        </w:tc>
        <w:tc>
          <w:tcPr>
            <w:tcW w:w="200" w:type="dxa"/>
            <w:vAlign w:val="bottom"/>
            <w:tcBorders>
              <w:top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(7,365)</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9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17,834,570</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438,606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9,680,512</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3"/>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w w:val="93"/>
              </w:rPr>
              <w:t>Series A</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4"/>
              </w:rPr>
              <w:t>Series B</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4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6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60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1080" w:type="dxa"/>
            <w:vAlign w:val="bottom"/>
            <w:gridSpan w:val="3"/>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6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600" w:type="dxa"/>
            <w:vAlign w:val="bottom"/>
            <w:tcBorders>
              <w:right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60" w:type="dxa"/>
            <w:vAlign w:val="bottom"/>
          </w:tcPr>
          <w:p>
            <w:pPr>
              <w:spacing w:after="0"/>
              <w:rPr>
                <w:sz w:val="14"/>
                <w:szCs w:val="14"/>
                <w:color w:val="auto"/>
              </w:rPr>
            </w:pPr>
          </w:p>
        </w:tc>
        <w:tc>
          <w:tcPr>
            <w:tcW w:w="12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40" w:type="dxa"/>
            <w:vAlign w:val="bottom"/>
            <w:tcBorders>
              <w:top w:val="single" w:sz="8" w:color="auto"/>
            </w:tcBorders>
          </w:tcPr>
          <w:p>
            <w:pPr>
              <w:jc w:val="right"/>
              <w:ind w:right="109"/>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3"/>
                <w:szCs w:val="13"/>
                <w:color w:val="auto"/>
              </w:rPr>
            </w:pPr>
          </w:p>
        </w:tc>
        <w:tc>
          <w:tcPr>
            <w:tcW w:w="940" w:type="dxa"/>
            <w:vAlign w:val="bottom"/>
            <w:tcBorders>
              <w:top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right"/>
              <w:ind w:right="109"/>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auto"/>
            </w:tcBorders>
          </w:tcPr>
          <w:p>
            <w:pPr>
              <w:jc w:val="right"/>
              <w:ind w:right="109"/>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tcPr>
          <w:p>
            <w:pPr>
              <w:spacing w:after="0"/>
              <w:rPr>
                <w:sz w:val="13"/>
                <w:szCs w:val="13"/>
                <w:color w:val="auto"/>
              </w:rPr>
            </w:pPr>
          </w:p>
        </w:tc>
        <w:tc>
          <w:tcPr>
            <w:tcW w:w="8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3"/>
                <w:szCs w:val="13"/>
                <w:color w:val="auto"/>
              </w:rPr>
            </w:pPr>
          </w:p>
        </w:tc>
        <w:tc>
          <w:tcPr>
            <w:tcW w:w="760" w:type="dxa"/>
            <w:vAlign w:val="bottom"/>
            <w:gridSpan w:val="2"/>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39"/>
              <w:spacing w:after="0" w:line="155" w:lineRule="exact"/>
              <w:rPr>
                <w:sz w:val="20"/>
                <w:szCs w:val="20"/>
                <w:color w:val="auto"/>
              </w:rPr>
            </w:pPr>
            <w:r>
              <w:rPr>
                <w:rFonts w:ascii="Times New Roman" w:cs="Times New Roman" w:eastAsia="Times New Roman" w:hAnsi="Times New Roman"/>
                <w:sz w:val="14"/>
                <w:szCs w:val="14"/>
                <w:b w:val="1"/>
                <w:bCs w:val="1"/>
                <w:color w:val="auto"/>
                <w:w w:val="93"/>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17,834,570</w:t>
            </w:r>
          </w:p>
        </w:tc>
        <w:tc>
          <w:tcPr>
            <w:tcW w:w="2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168,002</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(100,317)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67,703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(7,365)</w:t>
            </w:r>
          </w:p>
        </w:tc>
        <w:tc>
          <w:tcPr>
            <w:tcW w:w="0" w:type="dxa"/>
            <w:vAlign w:val="bottom"/>
          </w:tcPr>
          <w:p>
            <w:pPr>
              <w:spacing w:after="0"/>
              <w:rPr>
                <w:sz w:val="1"/>
                <w:szCs w:val="1"/>
                <w:color w:val="auto"/>
              </w:rPr>
            </w:pPr>
          </w:p>
        </w:tc>
      </w:tr>
      <w:tr>
        <w:trPr>
          <w:trHeight w:val="196"/>
        </w:trPr>
        <w:tc>
          <w:tcPr>
            <w:tcW w:w="2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17,834,570</w:t>
            </w: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168,373</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(107,682</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60,709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14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2018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15,387,923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22,608,695</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33,157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30,886,507</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47,500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438,600</w:t>
            </w:r>
          </w:p>
        </w:tc>
        <w:tc>
          <w:tcPr>
            <w:tcW w:w="48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(95,341)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(95,337)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 C redeemable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stock, net of issuance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7,211,165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11,506</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w:t>
            </w: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Dividends accrued on redeemable</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Accretion (amortization) of</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premium (discount) 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redeemable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Accretion of discount on investor</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rights/obligation</w:t>
            </w: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Adjustment for excess (shortfall)</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 fair value over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liquidation value of redeemable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Accretion of issuance costs on</w:t>
            </w: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2018</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15,387,923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20,894</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22,608,695</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33,421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38,097,672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60,058</w:t>
            </w:r>
          </w:p>
        </w:tc>
        <w:tc>
          <w:tcPr>
            <w:tcW w:w="12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438,600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(102,332</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(102,328</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 )</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80" w:type="dxa"/>
            <w:vAlign w:val="bottom"/>
            <w:gridSpan w:val="3"/>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4"/>
              </w:rPr>
              <w:t>Series B</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7"/>
              </w:rPr>
              <w:t>Series C</w:t>
            </w: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4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gridSpan w:val="3"/>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4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7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62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6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Borders>
              <w:bottom w:val="single" w:sz="8" w:color="CFF0FC"/>
              <w:right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in Capital</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52"/>
              <w:spacing w:after="0" w:line="155" w:lineRule="exact"/>
              <w:rPr>
                <w:sz w:val="20"/>
                <w:szCs w:val="20"/>
                <w:color w:val="auto"/>
              </w:rPr>
            </w:pPr>
            <w:r>
              <w:rPr>
                <w:rFonts w:ascii="Times New Roman" w:cs="Times New Roman" w:eastAsia="Times New Roman" w:hAnsi="Times New Roman"/>
                <w:sz w:val="14"/>
                <w:szCs w:val="14"/>
                <w:b w:val="1"/>
                <w:bCs w:val="1"/>
                <w:color w:val="auto"/>
                <w:w w:val="93"/>
              </w:rPr>
              <w:t>(Deficit)</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15,387,923</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8"/>
              </w:rPr>
              <w:t>21,033</w:t>
            </w: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22,608,695</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33,686</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38,097,672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61,023</w:t>
            </w:r>
          </w:p>
        </w:tc>
        <w:tc>
          <w:tcPr>
            <w:tcW w:w="1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438,600</w:t>
            </w:r>
          </w:p>
        </w:tc>
        <w:tc>
          <w:tcPr>
            <w:tcW w:w="500" w:type="dxa"/>
            <w:vAlign w:val="bottom"/>
            <w:gridSpan w:val="2"/>
            <w:shd w:val="clear" w:color="auto" w:fill="CFF0FC"/>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2"/>
            <w:shd w:val="clear" w:color="auto" w:fill="CFF0FC"/>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(109,498)</w:t>
            </w:r>
          </w:p>
        </w:tc>
        <w:tc>
          <w:tcPr>
            <w:tcW w:w="1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(109,494)</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14,736</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C redeemable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preferred stock, net of issuance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6,849,315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11,059</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Dividends accrued on redeemable</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5,406,844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6,478,999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3,792,386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(2,239)</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Accretion (amortization) of premium</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(discount) on</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redeemable convertible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discount on investor</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rights/obligation</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Adjustment for excess (shortfall) of</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fair value over</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liquidation value of redeemable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issuance costs on</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redeemable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to common stock in connection</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 initial public offering</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(20,794,767)</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(20,792)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(29,087,694)</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(33,449)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(48,739,373)</w:t>
            </w:r>
          </w:p>
        </w:tc>
        <w:tc>
          <w:tcPr>
            <w:tcW w:w="66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(73,264)</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10,381,234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105,464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completion of initial public</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offering, net of underwriting</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discounts and commissions</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and issuance costs</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5,500,000</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48,169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completion of private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placement, net of private placement</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agent fees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(19,513)</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(19,513)</w:t>
            </w: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gridSpan w:val="2"/>
            <w:vMerge w:val="continue"/>
          </w:tcPr>
          <w:p>
            <w:pPr>
              <w:spacing w:after="0"/>
              <w:rPr>
                <w:sz w:val="17"/>
                <w:szCs w:val="17"/>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0" w:type="dxa"/>
            <w:vAlign w:val="bottom"/>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17,834,570</w:t>
            </w:r>
          </w:p>
        </w:tc>
        <w:tc>
          <w:tcPr>
            <w:tcW w:w="500" w:type="dxa"/>
            <w:vAlign w:val="bottom"/>
            <w:gridSpan w:val="2"/>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30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168,373</w:t>
            </w:r>
          </w:p>
        </w:tc>
        <w:tc>
          <w:tcPr>
            <w:tcW w:w="200" w:type="dxa"/>
            <w:vAlign w:val="bottom"/>
          </w:tcPr>
          <w:p>
            <w:pPr>
              <w:spacing w:after="0"/>
              <w:rPr>
                <w:sz w:val="17"/>
                <w:szCs w:val="17"/>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(107,682)</w:t>
            </w: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60,709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1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2017</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15,387,923</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20,479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22,608,695</w:t>
            </w:r>
          </w:p>
        </w:tc>
        <w:tc>
          <w:tcPr>
            <w:tcW w:w="180" w:type="dxa"/>
            <w:vAlign w:val="bottom"/>
          </w:tcPr>
          <w:p>
            <w:pPr>
              <w:spacing w:after="0"/>
              <w:rPr>
                <w:sz w:val="14"/>
                <w:szCs w:val="14"/>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32,640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30,886,507</w:t>
            </w:r>
          </w:p>
        </w:tc>
        <w:tc>
          <w:tcPr>
            <w:tcW w:w="200" w:type="dxa"/>
            <w:vAlign w:val="bottom"/>
          </w:tcPr>
          <w:p>
            <w:pPr>
              <w:spacing w:after="0"/>
              <w:rPr>
                <w:sz w:val="14"/>
                <w:szCs w:val="14"/>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46,087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432,921</w:t>
            </w:r>
          </w:p>
        </w:tc>
        <w:tc>
          <w:tcPr>
            <w:tcW w:w="50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(84,432)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C redeemable</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preferred stock, net of issuance</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7,211,165</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11,506</w:t>
            </w: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Dividends accrued on redeemable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(amortization) of premium</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(discount) on</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redeemable convertible</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Accretion of discount on investor</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rights/obligation</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 for excess (shortfall) of</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fair value over</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liquidation value of redeemable</w:t>
            </w: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(318)</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(460)</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Accretion of issuance costs on</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(14,563)</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(14,563)</w:t>
            </w: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2018</w:t>
            </w: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40" w:type="dxa"/>
            <w:vAlign w:val="bottom"/>
            <w:gridSpan w:val="2"/>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15,387,923</w:t>
            </w:r>
          </w:p>
        </w:tc>
        <w:tc>
          <w:tcPr>
            <w:tcW w:w="1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8"/>
              </w:rPr>
              <w:t>20,894</w:t>
            </w: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22,608,695</w:t>
            </w:r>
          </w:p>
        </w:tc>
        <w:tc>
          <w:tcPr>
            <w:tcW w:w="18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33,421</w:t>
            </w: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38,097,672</w:t>
            </w:r>
          </w:p>
        </w:tc>
        <w:tc>
          <w:tcPr>
            <w:tcW w:w="200" w:type="dxa"/>
            <w:vAlign w:val="bottom"/>
          </w:tcPr>
          <w:p>
            <w:pPr>
              <w:spacing w:after="0"/>
              <w:rPr>
                <w:sz w:val="13"/>
                <w:szCs w:val="13"/>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60,058</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438,600</w:t>
            </w:r>
          </w:p>
        </w:tc>
        <w:tc>
          <w:tcPr>
            <w:tcW w:w="500" w:type="dxa"/>
            <w:vAlign w:val="bottom"/>
            <w:gridSpan w:val="2"/>
          </w:tcPr>
          <w:p>
            <w:pPr>
              <w:jc w:val="right"/>
              <w:ind w:right="172"/>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(102,332)</w:t>
            </w: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(102,328)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3"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69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860" w:type="dxa"/>
            <w:vAlign w:val="bottom"/>
            <w:gridSpan w:val="2"/>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(19,513)</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(14,563)</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Depreciation</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fair value of Series C redeemable convertible preferred stock liability</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Changes in fair value of obligation for loan success fee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Accretion/accrual of term loan discounts and debt issuance costs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Stock-based compensation</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Receivables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Prepaid expenses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(388)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expenses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Security deposit</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lease obligation</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698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8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(16,891)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Acquisitions of property, equipment and leasehold improvements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8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Repayments of term loan</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(4,813)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Payment of final fees on term loan</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 of loan success fee</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(675)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Proceeds from sale of Series C redeemable convertible preferred stock, net of</w:t>
            </w: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issuance costs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9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Proceeds from issuance of common shares upon completion of initial public offering, net</w:t>
            </w: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underwriting commissions and discounts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of initial public offering costs</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(1,213)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private placement, net of private placement agent fees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9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8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73,213</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Net cash increase (decrease)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8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8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63,515</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880" w:type="dxa"/>
            <w:vAlign w:val="bottom"/>
          </w:tcPr>
          <w:p>
            <w:pPr>
              <w:spacing w:after="0"/>
              <w:rPr>
                <w:sz w:val="22"/>
                <w:szCs w:val="22"/>
                <w:color w:val="auto"/>
              </w:rPr>
            </w:pP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State research tax credits exchanged for cash</w:t>
            </w:r>
          </w:p>
        </w:tc>
        <w:tc>
          <w:tcPr>
            <w:tcW w:w="88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activities</w:t>
            </w:r>
          </w:p>
        </w:tc>
        <w:tc>
          <w:tcPr>
            <w:tcW w:w="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Dividends accrued on redeemable convertible preferred stock</w:t>
            </w:r>
          </w:p>
        </w:tc>
        <w:tc>
          <w:tcPr>
            <w:tcW w:w="1860" w:type="dxa"/>
            <w:vAlign w:val="bottom"/>
            <w:gridSpan w:val="2"/>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Accretion on redeemable convertible preferred stock</w:t>
            </w:r>
          </w:p>
        </w:tc>
        <w:tc>
          <w:tcPr>
            <w:tcW w:w="1860" w:type="dxa"/>
            <w:vAlign w:val="bottom"/>
            <w:gridSpan w:val="2"/>
          </w:tcPr>
          <w:p>
            <w:pPr>
              <w:jc w:val="right"/>
              <w:ind w:right="798"/>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(1,535)</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33"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Trevi Therapeutics, Inc. (“Trevi” or the “Company”) is a clinical-stage biopharmaceutical company focused on the development and commercialization of nalbuphine ER to treat serious neurologically mediated conditions. The Company is currently developing nalbuphine ER for the treatment of chronic pruritus, chronic cough in patients with idiopathic pulmonary fibrosis (“IPF”), and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nalbuphine ER has the potential to be effective in treating each of these conditions.</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Nalbuphine ER is an oral extended release formulation of nalbuphine. Nalbuphine is a mixed κ-opioid receptor agonist and μ-opioid receptor antagonist that has been approved and marketed as an injectable for pain indications for more than 20 years in both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w:t>
      </w:r>
    </w:p>
    <w:p>
      <w:pPr>
        <w:spacing w:after="0" w:line="224"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On April 22, 2019, the Company filed an amendment to the Company’s amended and restated certificate of incorporation to effect a one-for 9.5 reverse stock split of the Company’s common stock, which resulted in a proportional adjustment to the existing conversion ratios for each series of the Company’s redeemable convertible preferred stock. Accordingly, all share and per share amounts in the condensed consolidated financial statements have been retrospectively adjusted, where applicable, to reflect the effect of the reverse stock split and adjustments of the redeemable convertible preferred stock conversion for all periods presented.</w:t>
      </w:r>
    </w:p>
    <w:p>
      <w:pPr>
        <w:spacing w:after="0" w:line="184" w:lineRule="exact"/>
        <w:rPr>
          <w:sz w:val="20"/>
          <w:szCs w:val="20"/>
          <w:color w:val="auto"/>
        </w:rPr>
      </w:pPr>
    </w:p>
    <w:p>
      <w:pPr>
        <w:ind w:right="420" w:firstLine="518"/>
        <w:spacing w:after="0" w:line="261" w:lineRule="auto"/>
        <w:rPr>
          <w:sz w:val="20"/>
          <w:szCs w:val="20"/>
          <w:color w:val="auto"/>
        </w:rPr>
      </w:pPr>
      <w:r>
        <w:rPr>
          <w:rFonts w:ascii="Times New Roman" w:cs="Times New Roman" w:eastAsia="Times New Roman" w:hAnsi="Times New Roman"/>
          <w:sz w:val="18"/>
          <w:szCs w:val="18"/>
          <w:color w:val="auto"/>
        </w:rPr>
        <w:t>On May 9, 2019, the Company completed its initial public offering (“IPO”) and a concurrent private placement in which it issued and sold an aggregate of 7,000,000 shares of common stock at an offering price of $10.00 per share, for net proceeds of $62.1 million, after deducting aggregate underwriting discounts and commissions and private placement agent fees of $4.9 million and other offering expenses of $3.0 million. The Company’s common stock began trading on The Nasdaq Global Market on May 7, 2019 under the ticker symbol “TRVI”.</w:t>
      </w:r>
    </w:p>
    <w:p>
      <w:pPr>
        <w:spacing w:after="0" w:line="180"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Upon the closing of the IPO, the Company’s outstanding redeemable convertible preferred stock, including the accrued dividends thereon, automatically converted into shares of the Company’s common stock. Upon such conversion of the redeemable convertible preferred stock, the Company reclassified the carrying values of the redeemable convertible preferred stock to common stock and additional paid-in capital.</w:t>
      </w:r>
    </w:p>
    <w:p>
      <w:pPr>
        <w:spacing w:after="0" w:line="176"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a term loan facility, and most recently, with proceeds from the IPO and concurrent private placement completed in May 2019. The Company has incurred recurring losses since inception, including net losses attributable to the Company of $19.5 million for nine months ended September 30, 2019 and $20.5 million for the year ended December 31, 2018. In addition, as of September 30, 2019, the Company had an accumulated deficit of $107.7 million. The Company expects to continue to generate operating losses for the foreseeable future. As of November 14, 2019, the issuance date of these Condensed Consolidated Financial Statements, the Company expects that its cash and cash equivalents of $63.5 million as of September 30, 2019, will be sufficient to fund its operating expenses and capital expenditure requirements through at least 12 months from the date of issuance of these Condensed Consolidated Financial Statements.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9" w:name="page10"/>
    <w:bookmarkEnd w:id="9"/>
    <w:p>
      <w:pPr>
        <w:ind w:left="520" w:right="7520" w:hanging="512"/>
        <w:spacing w:after="0" w:line="378" w:lineRule="auto"/>
        <w:tabs>
          <w:tab w:leader="none" w:pos="5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three and nine months ended September 30, 2019 and 2018 included herein, have been prepared in accordance with accounting principles generally accepted in the United States of America (“GAAP”) for interim financial information and to the rules and regulations of the Securities and Exchange Commission (“SEC”) for interim information. Certain information and footnote disclosure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for the year ended December 31, 2018 included in the final prospectus for the IPO filed with the SEC on May 8, 2019. In the opinion of management, the unaudited condensed consolidated financial statements reflect all adjustments, which include normal recurring adjustments necessary for the fair presentation of the Company’s interim financial statements presented. The results of operations for the interim periods are not necessarily indicative of the results expected for the full year or any subsequent period.</w:t>
      </w:r>
    </w:p>
    <w:p>
      <w:pPr>
        <w:spacing w:after="0" w:line="189"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162"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All amounts presented are in thousands of dollars, except share and per share amounts, unless noted otherwise. The Company has evaluated events occurring subsequent to September 30, 2019 for potential recognition or disclosure in the Condensed Consolidated Financial Statements and concluded there were no subsequent events that required recognition or disclosure other than those provided.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 as of September 30, 2019, the Condensed Consolidated Statements of Operations and the Condensed Consolidated Statements of Redeemable Convertible Preferred Stock and Stockholders’ Equity (Deficit) for the three and nine months ended September 30, 2019 and 2018, and the Condensed Consolidated Statements of Cash Flows for the nine months ended September 30, 2019 and 2018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September 30, 2019 and the results of its operations for the three and nine months ended September 30, 2019 and 2018, and its cash flows for the nine months ended September 30, 2019 and 2018. The results for the three and nine months ended September 30, 2019 and 2018 are not necessarily indicative of results to be expected for the year ending December 31, 2019, any other interim period, or any future year or period.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The Company’s financial instruments have consisted of cash and cash equivalents, tax credit and other receivables, accounts payable, accrued expenses, Series C redeemable convertible preferred stock liability and obligation for loan success fee </w:t>
      </w:r>
      <w:r>
        <w:rPr>
          <w:rFonts w:ascii="Times New Roman" w:cs="Times New Roman" w:eastAsia="Times New Roman" w:hAnsi="Times New Roman"/>
          <w:sz w:val="18"/>
          <w:szCs w:val="18"/>
          <w:i w:val="1"/>
          <w:iCs w:val="1"/>
          <w:color w:val="auto"/>
        </w:rPr>
        <w:t>(Note 6 and Note 8).</w:t>
      </w:r>
      <w:r>
        <w:rPr>
          <w:rFonts w:ascii="Times New Roman" w:cs="Times New Roman" w:eastAsia="Times New Roman" w:hAnsi="Times New Roman"/>
          <w:sz w:val="18"/>
          <w:szCs w:val="18"/>
          <w:color w:val="auto"/>
        </w:rPr>
        <w:t xml:space="preserve">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 term nature of those instruments. The fair value of the obligation for loan success fee was estimated utilizing a probability-weighted income approach, including variables for the timing of the success event and other probability estimates. The fair value of Series C redeemable convertible preferred stock liability at December 31, 2018 was estimated as the excess, if any, of the fair value of the Company’s Series C redeemable convertible preferred stock (“Series C Preferred Stock”) over the purchase price of any outstanding tranches that had not been sold pursuant to the Series C Preferred Stock purchase agreement (the “Series C Purchase Agreement”) as of December 31, 2018.</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60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68"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Level 3—Unobservable inputs—includes amounts derived from valuation models where one or more significant inputs are unobservable and require the company to develop relevant assumptions.</w:t>
      </w:r>
    </w:p>
    <w:p>
      <w:pPr>
        <w:spacing w:after="0" w:line="162"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financial liabilities measured at fair value on a recurring basis as of December 31, 2018, and the basis for that measurement, by level within the fair value hierarchy </w:t>
      </w:r>
      <w:r>
        <w:rPr>
          <w:rFonts w:ascii="Times New Roman" w:cs="Times New Roman" w:eastAsia="Times New Roman" w:hAnsi="Times New Roman"/>
          <w:sz w:val="18"/>
          <w:szCs w:val="18"/>
          <w:i w:val="1"/>
          <w:iCs w:val="1"/>
          <w:color w:val="auto"/>
        </w:rPr>
        <w:t>(Note 6 and Note 8).</w:t>
      </w:r>
      <w:r>
        <w:rPr>
          <w:rFonts w:ascii="Times New Roman" w:cs="Times New Roman" w:eastAsia="Times New Roman" w:hAnsi="Times New Roman"/>
          <w:sz w:val="18"/>
          <w:szCs w:val="18"/>
          <w:color w:val="auto"/>
        </w:rPr>
        <w:t xml:space="preserve"> There were no such financial liabilities as of September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 liability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 for loan success fee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fair value of Level 3 instruments (significant unobservable inputs):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1540" w:type="dxa"/>
            <w:vAlign w:val="bottom"/>
            <w:tcBorders>
              <w:bottom w:val="single" w:sz="8" w:color="CFF0FC"/>
            </w:tcBorders>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year</w:t>
            </w:r>
            <w:r>
              <w:rPr>
                <w:rFonts w:ascii="Times New Roman" w:cs="Times New Roman" w:eastAsia="Times New Roman" w:hAnsi="Times New Roman"/>
                <w:sz w:val="15"/>
                <w:szCs w:val="15"/>
                <w:color w:val="auto"/>
              </w:rPr>
              <w:t>(1)</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Series C redeemable convertible preferred stock liability</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Unrealized loss on obligation for loan success fee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settlements</w:t>
            </w:r>
            <w:r>
              <w:rPr>
                <w:rFonts w:ascii="Times New Roman" w:cs="Times New Roman" w:eastAsia="Times New Roman" w:hAnsi="Times New Roman"/>
                <w:sz w:val="15"/>
                <w:szCs w:val="15"/>
                <w:color w:val="auto"/>
              </w:rPr>
              <w:t>(2)</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(1,771)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(1,009)</w:t>
            </w: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5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9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at January 1, 2018 relates to the obligation for the loan success fee.</w:t>
      </w:r>
    </w:p>
    <w:p>
      <w:pPr>
        <w:spacing w:after="0" w:line="225"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settlements in the nine months ended September 30, 2019 relate to the $1,096 fair value of the Series C redeemable convertible preferred stock liability at the time of the third tranche of the Series C Preferred Stock financing in January 2019 and the payment of the $675 obligation for the loan success fee in May 2019. The net settlements in 2018 relate to the $1,009 fair value of the Series C redeemable convertible preferred stock liability at the time the second tranche of Series C redeemable convertible preferred stock shares was issued.</w:t>
      </w:r>
    </w:p>
    <w:p>
      <w:pPr>
        <w:spacing w:after="0" w:line="324"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(deficit)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capitalized as of December 31, 2018 were $1,534. The Company’s IPO was completed in May 2019 and these costs, as well as additional IPO costs incurred in 2019, were recorded as a reduction to stockholders’ equity (deficit). As a result, as of September 30, 2019, the Company did not have any deferred offering costs.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(Loss) per Common Share</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(“Series A Preferred Stock”), shares of Series B redeemable convertible preferred stock (“Series B Preferred Stock”), shares of Series C Preferred Stock, if any, and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titled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is effective for fiscal years beginning after December 15, 2018, with early adoption permitted.</w:t>
      </w:r>
    </w:p>
    <w:p>
      <w:pPr>
        <w:spacing w:after="0" w:line="18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this new guidance as of January 1, 2019, which included an assessment of the impact of the new guidance on the Condensed Consolidated Financial Statements. The Company utilized the transition practical expedient added by the FASB, which eliminated the requirement that entities apply the new lease standard to the comparative periods presented in the year of adoption. The Company elected to use the package of practical expedients that allowed the Company to not reassess: (1) whether any expired or existing contracts were or contained leases, (2) lease classification for any expired or existing leases and (3) initial direct costs for any expired or existing leases. The Company additionally used the practical expedient that allows lessees to treat the lease and non-lease components of leases as a single lease component. The adoption of this standard resulted in the recognition of a right-of-use asset of $379 and related lease liabilities of $424 related to the Company’s operating lease commitments on the Condensed Consolidated Balance Sheet as of January 1, 2019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The impact of adoption of the new leasing standard did not have a material impact on the Condensed Consolidated Statement of Operations during the three and nine months ended September 30, 2019.</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140" w:firstLine="518"/>
        <w:spacing w:after="0" w:line="289" w:lineRule="auto"/>
        <w:rPr>
          <w:sz w:val="20"/>
          <w:szCs w:val="20"/>
          <w:color w:val="auto"/>
        </w:rPr>
      </w:pPr>
      <w:r>
        <w:rPr>
          <w:rFonts w:ascii="Times New Roman" w:cs="Times New Roman" w:eastAsia="Times New Roman" w:hAnsi="Times New Roman"/>
          <w:sz w:val="17"/>
          <w:szCs w:val="17"/>
          <w:color w:val="auto"/>
        </w:rPr>
        <w:t>There have been no new accounting pronouncements during the three and nine months ended September 30, 2019, as compared to the recent accounting pronouncements described in Note 2 to the Company’s audited consolidated financial statements for the year ended December 31, 2018 included in the final prospectus for the IPO, which could be expected to materially impact the Company’s unaudited Condensed Consolidated Financial Statements.</w:t>
      </w:r>
    </w:p>
    <w:p>
      <w:pPr>
        <w:spacing w:after="0" w:line="26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consist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4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40" w:type="dxa"/>
            <w:vAlign w:val="bottom"/>
            <w:tcBorders>
              <w:bottom w:val="single" w:sz="8" w:color="CFF0FC"/>
            </w:tcBorders>
          </w:tcPr>
          <w:p>
            <w:pPr>
              <w:spacing w:after="0"/>
              <w:rPr>
                <w:sz w:val="15"/>
                <w:szCs w:val="15"/>
                <w:color w:val="auto"/>
              </w:rPr>
            </w:pPr>
          </w:p>
        </w:tc>
        <w:tc>
          <w:tcPr>
            <w:tcW w:w="29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R&amp;D payments</w:t>
            </w:r>
          </w:p>
        </w:tc>
        <w:tc>
          <w:tcPr>
            <w:tcW w:w="29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Prepaid corporate insurance</w:t>
            </w:r>
          </w:p>
        </w:tc>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3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 The Company has the option to terminate the lease after 36 months by providing six months notice along with a payment to the landlord in an amount representing the unamortized cost of tenant improvements plus the unamortized broker’s commission, both of which had been paid by the landlord, and as defined in the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2" w:name="page13"/>
    <w:bookmarkEnd w:id="12"/>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As of September 30, 2019, the incremental borrowing rate used on existing leases was 13.0%. The right-of-use asset also includes any lease payments related to initial direct costs and prepayments, and excludes lease incentives. Lease expense is recognized on a straight line basis over the lease term. The Company had no new leases during the nine months ended September 30, 2019.</w:t>
      </w:r>
    </w:p>
    <w:p>
      <w:pPr>
        <w:spacing w:after="0" w:line="188" w:lineRule="exact"/>
        <w:rPr>
          <w:sz w:val="20"/>
          <w:szCs w:val="20"/>
          <w:color w:val="auto"/>
        </w:rPr>
      </w:pPr>
    </w:p>
    <w:p>
      <w:pPr>
        <w:ind w:right="440" w:firstLine="518"/>
        <w:spacing w:after="0" w:line="266" w:lineRule="auto"/>
        <w:rPr>
          <w:sz w:val="20"/>
          <w:szCs w:val="20"/>
          <w:color w:val="auto"/>
        </w:rPr>
      </w:pPr>
      <w:r>
        <w:rPr>
          <w:rFonts w:ascii="Times New Roman" w:cs="Times New Roman" w:eastAsia="Times New Roman" w:hAnsi="Times New Roman"/>
          <w:sz w:val="18"/>
          <w:szCs w:val="18"/>
          <w:color w:val="auto"/>
        </w:rPr>
        <w:t>The Company’s operating leases consist of real estate and equipment, and have remaining terms ranging from approximately 1 to 4 years. The Company has no financing leases. The following table summarizes the Company’s operating leases as presented on its Condensed Consolidated Balance Sheet as of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860" w:type="dxa"/>
            <w:vAlign w:val="bottom"/>
            <w:gridSpan w:val="2"/>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long term portion</w:t>
            </w: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Future minimum lease payments under the operating leases are as follows as of September 30, 2019:</w:t>
            </w: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3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860" w:type="dxa"/>
            <w:vAlign w:val="bottom"/>
            <w:gridSpan w:val="2"/>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discount rate</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value of operating lease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Lease expense under operating leases, including leases of office equipment, was $31 and $33 for the three months ended September 30, 2019 and 2018, respectively, and $93 and $88 for the nine months ended September 30, 2019 and 2018, respectively. Lease payments made in the three months ended September 30, 2019 and 2018 were $34 and $39, respectively, and $91 and $95 in the nine months ended September 30, 2019 and 2018 respectively, with such amounts reflected in the Condensed Consolidated Statement of Cash Flows in operating activities.</w:t>
      </w:r>
    </w:p>
    <w:p>
      <w:pPr>
        <w:spacing w:after="0" w:line="28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tcBorders>
              <w:bottom w:val="single" w:sz="8" w:color="CFF0FC"/>
            </w:tcBorders>
          </w:tcPr>
          <w:p>
            <w:pPr>
              <w:spacing w:after="0"/>
              <w:rPr>
                <w:sz w:val="15"/>
                <w:szCs w:val="15"/>
                <w:color w:val="auto"/>
              </w:rPr>
            </w:pPr>
          </w:p>
        </w:tc>
        <w:tc>
          <w:tcPr>
            <w:tcW w:w="37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projects</w:t>
            </w:r>
          </w:p>
        </w:tc>
        <w:tc>
          <w:tcPr>
            <w:tcW w:w="37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13" w:name="page14"/>
    <w:bookmarkEnd w:id="13"/>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 Payable</w:t>
      </w:r>
    </w:p>
    <w:p>
      <w:pPr>
        <w:spacing w:after="0" w:line="13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On December 29, 2014, the Company entered into a loan and security agreement (the “Loan Agreement”) with Solar Capital, Ltd. (“Solar”) and Square 1 Bank (“Square 1”), together (the “Lenders”), which provided $15.0 million in debt financing (the “Term Loan”). On June 29, 2018, the maturity date of the Loan Agreement, the Company made its final payments of principal and interest due to the Lenders in connection with the Term Loan, as well as $450 in full payment of the final fee and $82 in full payment of the amendment fee. As a result, there were no outstanding borrowings under the Term Loan as of September 30, 2019 or December 31, 2018, and the Company’s obligations to the Lenders under the Loan Agreement, other than the obligations under the Success Fee Agreement as described below, were terminated.</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Under the terms of the Loan Agreement, the Company was obligated to pay the Lenders a Success Fee (“Success Fee”) under a Success Fee Agreement (“Success Fee Agreement”) upon the first occurrence of an Exit Event, as defined. The Exit Event included, among other things, the completion of a public offering of common stock. The amount of the Success Fee was equal to 4.5% of the $15.0 million Term Loan funded. The Success Fee Agreement was scheduled to terminate on the earlier to occur of (a) payment in full of the Success Fee pursuant to its terms, or (b) December 29, 2021. The completion of the IPO on May 9, 2019 (see Note 1) triggered the Success Fee payment obligation and the Company made payments to its Lenders totaling $675 in May 2019. Upon such payments, the Success Fee Agreement terminated.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Fee Agreement represented a free-standing financial instrument. Accordingly, the Company accounted for the Success Fee provision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under ASC 815, Derivatives and Hedging, and therefore recorded an obligation for the Success Fee at its fair value on the closing date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under the Loan Agreement. Upon recording such obligations for the Success Fee, the Company also recorded an offsetting loan discount, which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accreted to interest expense in the Company’s Statements of Operations through the Term Loan’s maturity date. The Company adjusted these liabilities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 Fee to fair value at each reporting date they remained outstanding. As discussed above, the Success Fee was paid in May 2019; and therefore,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fair value of the Success Fee liabilities was $0 at September 30, 2019. The total fair value of these liabilities was determined to be $460 at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The Company recorded non-cash charges in the amount of $0 and $47 for the three months ended September 30, 2019 and 2018, respectively,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and $127 for the nine months ended September 30, 2019 and 2018, respectively, representing the changes in the fair value of these liabilities since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measurement date. The non-cash charges are included in other income (expense) in the Company’s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 for the Success Fee is presented as a non-current liability in the Company’s Condensed Consolidated Balance Sheet as of December 31, 2018.</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fair values of the obligation for the Success Fee were estimated utilizing a probability-weighted income approach, including variables for the timing of the success event and other probability estimates. For the fair value calculations at December 31, 2018, significant inputs included the Success Fee rate of 4.5% of the Term Loan funded; a discount rate of 13.0%; weighted estimated time to Exit Event ranging from 0.4 to 3.1 years and probability estimates of several potential Exit Events ranging from 5.0% to 40.0%.</w:t>
      </w:r>
    </w:p>
    <w:p>
      <w:pPr>
        <w:spacing w:after="0" w:line="180"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Interest expense on the Term Loan, comprised of interest payments, amortization of financing costs, accrual of final and amendment fees, and accretion of the Success Fee are shown below for the nine months ended September 30, 2018. There was no such interest expense on the Term Loan for the three months ended September 30, 2019 and 2018 or for the nine months ended September 30, 2019.</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financing costs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 of final and amendment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the Success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8"/>
        </w:trPr>
        <w:tc>
          <w:tcPr>
            <w:tcW w:w="2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80" w:space="720"/>
            <w:col w:w="2020"/>
          </w:cols>
          <w:pgMar w:left="240" w:top="44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14" w:name="page15"/>
    <w:bookmarkEnd w:id="14"/>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the Company’s certificate of incorporation, as amended and restated, authorized the Company to issue 200,000,000 shares and 101,929,904 shares of common stock, respectively, with a par value of $0.001 per share.</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of September 30, 2019, the Company had reserved 2,778,812 shares of common stock for the exercise of outstanding stock options and the number of shares of common stock remaining available for future stock-based awards under the Company’s 2012 Stock Incentive Plan, 2019 Stock Incentive Plan and 2019 Employee Stock Purchase Plan, as shown in the table below. As of December 31, 2018, the Company had reserved 10,690,261 shares of common stock for the conversion of outstanding shares of redeemable convertible preferred stock and accrued dividends thereon, the exercise of outstanding stock options, and the number of shares of common stock remaining available for future stock-based awards under the Company’s 2012 Stock Incentive Plan as shown below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60" w:type="dxa"/>
            <w:vAlign w:val="bottom"/>
            <w:tcBorders>
              <w:bottom w:val="single" w:sz="8" w:color="CFF0FC"/>
            </w:tcBorders>
          </w:tcPr>
          <w:p>
            <w:pPr>
              <w:spacing w:after="0"/>
              <w:rPr>
                <w:sz w:val="15"/>
                <w:szCs w:val="15"/>
                <w:color w:val="auto"/>
              </w:rPr>
            </w:pPr>
          </w:p>
        </w:tc>
        <w:tc>
          <w:tcPr>
            <w:tcW w:w="310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reserved for conversion of Series A preferred stock outstanding</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2,154,572</w:t>
            </w:r>
          </w:p>
        </w:tc>
        <w:tc>
          <w:tcPr>
            <w:tcW w:w="10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common stock reserved for conversion of Series B preferred stock outstanding</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3,011,392</w:t>
            </w:r>
          </w:p>
        </w:tc>
        <w:tc>
          <w:tcPr>
            <w:tcW w:w="10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reserved for conversion of Series C preferred stock outstanding</w:t>
            </w: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4,311,279</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2012</w:t>
            </w: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1,043,992</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1,213,018</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1,579,714</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155,106</w:t>
            </w:r>
          </w:p>
        </w:tc>
        <w:tc>
          <w:tcPr>
            <w:tcW w:w="2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60" w:type="dxa"/>
            <w:vAlign w:val="bottom"/>
            <w:tcBorders>
              <w:top w:val="single" w:sz="8" w:color="CFF0FC"/>
              <w:bottom w:val="single" w:sz="8" w:color="CFF0FC"/>
            </w:tcBorders>
            <w:shd w:val="clear" w:color="auto" w:fill="CFF0FC"/>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2,778,812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10,690,261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under the Company’s certificate of incorporation, the authorized number of shares of redeemable convertible preferred stock was 0 and 86,197,030, respectively. See Note 1 with respect to the Company’s IPO and the conversion of its outstanding redeemable convertible preferred stock into shares of its common stock.</w:t>
      </w:r>
    </w:p>
    <w:p>
      <w:pPr>
        <w:spacing w:after="0" w:line="176"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under the Company’s restated certificate of incorporation effective May 9, 2019, the authorized number of shares of preferred stock was 5,000,000 and 0, respectively.</w:t>
      </w:r>
    </w:p>
    <w:p>
      <w:pPr>
        <w:spacing w:after="0" w:line="162"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 xml:space="preserve">Prior to the conversion into common stock as noted above, the Company’s redeemable convertible preferred stock was redeemable on or after July 14, 2020 and carried a cumulative coupon dividend rate of 6%. The redemption amount per share for a share of redeemable convertible preferred stock was the greater of (A) the applicable original issue price per share for such series of redeemable convertible preferred stock, plus any of the dividends accrued but unpaid thereon, whether or not declared, together with any other dividends declared but unpaid thereon, and (B) the fair market value per share of redeemable convertible preferred stock, as described below under </w:t>
      </w: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 xml:space="preserve"> The Company accounted for its redeemable convertible preferred stock under the requirements of ASC 480, which establishes standards for how an issuer classifies and measures certain financial instruments with characteristics of both liabilities and equity. The carrying value of the redeemable convertible preferred stock was presented as temporary equity and was adjusted by periodic accretions so that the carrying amount equaled the redemption amount at the estimated date that the redeemable convertible preferred stock would be redeemed. These adjustments were effected through charges against additional paid-in capital, to the extent it was available, or accumulated deficit. For all issuances of redeemable convertible preferred stock, the difference between the amount invested by the holders of the redeemable convertible preferred stock, net of issuance costs and premiums (or discounts), as compared to the redemption value, was recorded as accretion over the redemption period of the redeemable convertible preferred stock. The accretion was added to net loss to arrive at the net loss available to common stockholders in the calculation of net loss per common share.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A Redeemable Convertible Preferred Stock</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On December 4, 2012, the Company entered into the Series A Preferred Stock Purchase Agreement (the “Series A Purchase Agreement”) with TPG Biotechnology Partners III, L.P. (“TPG”) and nine other holders of the Company’s convertible notes that were issued in 2011 and 2012 (the “Series A Investors”). Pursuant to the Series A Purchase Agreement, the Company issued 6,000,000 shares (the “Series A Initial Closing”) of Series A Preferred Stock to TPG at a purchase price of $1.00 per share, resulting in proceeds, net of $128 in issuance costs, of $5.9 million (the “Series A Financing”). Concurrently, convertible notes held by the Series A Investors totaling $564, including accrued interest, were automatically converted at a conversion price of $0.467 per share in accordance with calculations specified in the applicable note purchase agreement, and the Company issued 1,207,923 shares of Series A Preferred Stock in settlement of the convertible notes.</w:t>
      </w:r>
    </w:p>
    <w:p>
      <w:pPr>
        <w:spacing w:after="0" w:line="18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Series A Purchase Agreement also provided for the sale of 4,000,000 additional shares of Series A Preferred Stock (the “Series A Milestone Shares”) to TPG at a purchase price of $1.00 per share upon the Company’s achievement of specified Milestone Events, as defined in the Series A Purchase Agreement, involving the Company’s Phase 1b clinical trial in uremic pruritus and a pending patent application. In the event the Milestone Events were not achieved, TPG had the right to purchase the Series A Milestone Shares, in full or in part, under the same terms and conditions as the Series A Initial Closing, including the $1.00 per share purchase price, on or before June 30, 2014.</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addition, TPG had the right to purchase, under the same terms and conditions as the Series A Initial Closing, including the $1.00 per share purchase price, the lesser of 2,500,000 additional shares of Series A Preferred Stock (the “Additional Series A Preferred Shares”) and the number of shares of Series A Preferred Stock equal to 25% of the total number of shares of Series A Preferred Stock it previously purchased for cash under the Series A Purchase Agreement. This additional right was exercisable until the date six months after the completion date of the Company’s Phase 2b/3 clinical trial of nalbuphine ER in patients with uremic pruritus.</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On December 26, 2013, TPG purchased under a Series A Extension Preferred Stock Purchase Agreement (the “Series A Extension Purchase Agreement”) 6,500,000 additional shares of Series A Preferred Stock at $1.00 per share, which consisted of the Series A Milestone Shares and the Additional Series A Preferred Shares discussed above, resulting in proceeds, net of $39 in issuance costs, of $6.5 million. This agreement also provided that the Company could sell up to 2,000,000 additional shares at $1.00 per share to existing stockholders deemed accredited investors within 45 days of the December 26, 2013 closing.</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January 2014, the Company issued 1,680,000 shares of Series A Preferred Stock to eight of the Series A Investors at $1.00 per share, as provided for as Additional Closings under the Series A Extension Purchase Agreement, resulting in proceeds, net of $7 in issuance costs, of $1.7 million. The Company recorded this issuance at its fair value of $1.08 per share, totaling $1.8 million before financing costs, resulting in a discount on this issuance in the amount of $134, which amount was being amortized out of the carrying value of Series A Preferred Stock over the expected redemption period, which was three years from July 14, 2017, the date of the First Tranche Closing of the Series C Preferred Stock Financing (each such term as defined below), or July 14, 2020 (the “Redemption Period”). Such amortization totaled $0 and $1 for the three months ended September 30, 2019 and 2018, respectively, and $7 and $3 for the nine months ended September 30, 2019 and 2018, respectively, which, for the nine months ended September 30, 2019, includes $5 of previously unaccreted discount on issuance at the time of conversion to shares of common stock.</w:t>
      </w:r>
    </w:p>
    <w:p>
      <w:pPr>
        <w:spacing w:after="0" w:line="183" w:lineRule="exact"/>
        <w:rPr>
          <w:sz w:val="20"/>
          <w:szCs w:val="20"/>
          <w:color w:val="auto"/>
        </w:rPr>
      </w:pPr>
    </w:p>
    <w:p>
      <w:pPr>
        <w:ind w:firstLine="518"/>
        <w:spacing w:after="0" w:line="284" w:lineRule="auto"/>
        <w:rPr>
          <w:sz w:val="20"/>
          <w:szCs w:val="20"/>
          <w:color w:val="auto"/>
        </w:rPr>
      </w:pPr>
      <w:r>
        <w:rPr>
          <w:rFonts w:ascii="Times New Roman" w:cs="Times New Roman" w:eastAsia="Times New Roman" w:hAnsi="Times New Roman"/>
          <w:sz w:val="18"/>
          <w:szCs w:val="18"/>
          <w:color w:val="auto"/>
        </w:rPr>
        <w:t xml:space="preserve">Holders of Series C Preferred Stock had a higher liquidation preference than the holders of Series A Preferred Stock and Series B Preferred Stock.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Preferences note below.)</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B Redeemable Convertible Preferred Stock</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On May 23, 2014, the Company entered into the Series B Preferred Stock Purchase Agreement (the “Series B Purchase Agreement”) with TPG. Pursuant to the Series B Purchase Agreement, the Company issued 13,043,478 shares (the “Series B Initial Closing”) of Series B Preferred Stock to TPG at a purchase price of $1.15 per share, resulting in proceeds, net of $56 in issuance costs, of $15.0 million.</w:t>
      </w:r>
    </w:p>
    <w:p>
      <w:pPr>
        <w:spacing w:after="0" w:line="176"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Series B Purchase Agreement also provided for the sale of 4,347,826 additional shares of Series B Preferred Stock (the “Series B Milestone Shares”) to TPG at a purchase price of $1.15 per share upon the Company’s achievement of specified Milestone Events, as defined in the Series B Purchase Agreement, involving the Company’s Phase 2b/3 clinical trial of nalbuphine ER in patients with uremic pruritus; its planned Phase 2 clinical trial of nalbuphine ER in patients with pruritus associated with prurigo nodularis; and a pending patent application. In the event the Milestone Events were not achieved, TPG had the right to purchase the Series B Milestone Shares, in full or in part, under the same terms and conditions as the Series B Initial Closing, at a purchase price of $1.15 per share, on or before November 30, 2015.</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 w:name="page17"/>
    <w:bookmarkEnd w:id="16"/>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TPG had the right to purchase, on the same terms and conditions as the Series B Initial Closing, including the $1.15 per share purchase price, the lesser of 4,347,826 additional shares of Series B Preferred Stock and the number of shares equal to 25% of the total number of shares it previously purchased for cash under the Series B Purchase Agreement (the “Additional Series B Shares”). This additional right was exercisable until the date six months after the completion date of the Company’s Phase 2b/3 clinical trial of nalbuphine ER in patients with uremic pruritus.</w:t>
      </w:r>
    </w:p>
    <w:p>
      <w:pPr>
        <w:spacing w:after="0" w:line="18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On October 30, 2014, TPG exercised its rights described above and purchased under an Additional Closing Agreement (the “Series B Second Closing”) 8,695,652 additional shares of Series B Preferred Stock at $1.15 per share, which consisted of the Series B Milestone Shares and the Additional Series B Shares. This agreement also provided for the Company to sell 869,565 additional shares of Series B Preferred Stock at $1.15 per share to an existing stockholder. The Series B Second Closing resulted in proceeds, net of $19 in issuance costs, of $11.0 million. The Company recorded this issuance at its fair value of $1.10 per share, totaling $10.5 million, net of financing costs, resulting in a premium on this issuance in the amount of $478, which amount was being accreted into the carrying value of the Series B Preferred Stock over the Redemption Period. Such accretion totaled $0 and $5 for the three months ended September 30, 2019 and 2018, respectively, and $31 and $15 for the nine months ended September 30, 2019 and 2018, respectively, which includes $22, for the nine months ended September 30, 2019 of unaccreted premium on issuance at the time of conversion to shares of common stock.</w:t>
      </w:r>
    </w:p>
    <w:p>
      <w:pPr>
        <w:spacing w:after="0" w:line="183" w:lineRule="exact"/>
        <w:rPr>
          <w:sz w:val="20"/>
          <w:szCs w:val="20"/>
          <w:color w:val="auto"/>
        </w:rPr>
      </w:pPr>
    </w:p>
    <w:p>
      <w:pPr>
        <w:ind w:firstLine="518"/>
        <w:spacing w:after="0" w:line="284" w:lineRule="auto"/>
        <w:rPr>
          <w:sz w:val="20"/>
          <w:szCs w:val="20"/>
          <w:color w:val="auto"/>
        </w:rPr>
      </w:pPr>
      <w:r>
        <w:rPr>
          <w:rFonts w:ascii="Times New Roman" w:cs="Times New Roman" w:eastAsia="Times New Roman" w:hAnsi="Times New Roman"/>
          <w:sz w:val="18"/>
          <w:szCs w:val="18"/>
          <w:color w:val="auto"/>
        </w:rPr>
        <w:t xml:space="preserve">Holders of Series C Preferred Stock had a higher liquidation preference than the holders of Series A Preferred Stock and Series B Preferred Stock.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Preferences note below)</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C Redeemable Convertible Preferred Stock</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On July 14, 2017, the Company entered into the Series C Purchase Agreement with TPG and other institutional investors (the “Series C Initial Purchasers”) for the issuance of $50.5 million of its Series C Preferred Stock. The Series C Purchase Agreement provided for the Company’s Series C Preferred Stock to be issued in two tranches, with the closing of the first tranche on July 14, 2017 (the “First Tranche Closing”) and the closing of the second tranche to occur following a determination by the Company’s board of directors that the Company’s cash and cash equivalents at such time are not sufficient to fund its operations for a period of three months following such determination (the “Second Tranche Closing”). Upon the First Tranche Closing, the Company issued 20,547,946 shares of its Series C Preferred Stock at a purchase price of $1.46 per share, resulting in proceeds of $29.7 million, net of issuance costs of $291.</w:t>
      </w:r>
    </w:p>
    <w:p>
      <w:pPr>
        <w:spacing w:after="0" w:line="18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Also party to the Series C Purchase Agreement were eleven holders of the Company’s Convertible Notes (together with the Initial Purchasers and the Series C Additional Purchasers, as defined below, the “Series C Investors”). Concurrently with the First Tranche Closing and pursuant to the Series C Purchase Agreement, the outstanding principal on the Company’s Convertible Notes, totaling $10.6 million, and all accrued interest thereon, totaling $564, were automatically converted at the Mandatory Conversion Price of $1.095 per share, and the Company issued 10,181,233 shares of its Series C Preferred Stock in full settlement of the Convertible Notes.</w:t>
      </w:r>
    </w:p>
    <w:p>
      <w:pPr>
        <w:spacing w:after="0" w:line="184"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The Series C Purchase Agreement provided for a subsequent closing (the “Special Closing”), on the same terms and conditions as the First Tranche Closing, including the $1.46 per share purchase price, and on October 11, 2017, the Special Closing occurred, resulting in the issuance to two additional investors (the “Series C Additional Purchasers”) of 101,707 shares of the Company’s Series C Preferred Stock, at a purchase price of $1.46 per share, resulting in proceeds of $129, net of issuance costs of $19.</w:t>
      </w:r>
    </w:p>
    <w:p>
      <w:pPr>
        <w:spacing w:after="0" w:line="18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On November 12, 2017, one of the Series C Additional Purchasers purchased its second tranche shares pursuant to an election under the Series C Purchase Agreement, resulting in the issuance of 55,621 shares of the Company’s Series C Preferred Stock at a purchase price of $1.46 per share, resulting in proceeds of $81.</w:t>
      </w:r>
    </w:p>
    <w:p>
      <w:pPr>
        <w:spacing w:after="0" w:line="176"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On August 28, 2018, the Company amended the Series C Purchase Agreement to provide that a portion of the shares of Series C Preferred Stock that would otherwise be issued and sold at the Second Tranche Closing would instead be issued and sold at a third tranche closing (the “Third Tranche Closing”), with such closing to occur following a determination by the Company’s board of directors that the Company’s cash and cash equivalents at such time are not sufficient to fund its operations for a period of three months following such determination.</w:t>
      </w:r>
    </w:p>
    <w:p>
      <w:pPr>
        <w:spacing w:after="0" w:line="180"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On August 30, 2018, the Company completed the Second Tranche Closing, resulting in the issuance of 7,211,165 shares of the Company’s Series C Preferred Stock, at a purchase price of $1.46 per share, resulting in proceeds of $10.5 million, net of issuance costs of $32.</w:t>
      </w:r>
    </w:p>
    <w:p>
      <w:pPr>
        <w:spacing w:after="0" w:line="162"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On January 18, 2019, the Company completed the Third Tranche Closing, resulting in the issuance of 6,849,315 shares of the Company’s Series C Preferred Stock, at a purchase price of $1.46 per share, resulting in proceeds of $10.0 million, net of issuance costs of $37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such time, the Series C redeemable convertible preferred stock liability of $1.1 million was reclassified as Series C Preferred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i w:val="1"/>
          <w:iCs w:val="1"/>
          <w:color w:val="auto"/>
        </w:rPr>
        <w:t>Series C Redeemable Convertible Preferred Stock Liability and Changes in Fair Value</w:t>
      </w:r>
    </w:p>
    <w:p>
      <w:pPr>
        <w:spacing w:after="0" w:line="11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As discussed above, the Series C Purchase Agreement provided for the issuance and sale of Series C Preferred Stock in three separate tranches. The tranches represented a freestanding financial instrument under ASC 480 and required fair value accounting until they were settled. The Company recognized a liability on its Consolidated Balance Sheet for the obligations under this financial instrument. The Company adjusted this liability to fair value at each reporting date, as applicable, and recognized any changes in fair value of the Series C Preferred Stock in its Consolidated Statements of Operations as a component of other income (expense). The Company continued to recognize any changes in the fair value of this liability through the closing of the third tranche.</w:t>
      </w:r>
    </w:p>
    <w:p>
      <w:pPr>
        <w:spacing w:after="0" w:line="188" w:lineRule="exact"/>
        <w:rPr>
          <w:sz w:val="20"/>
          <w:szCs w:val="20"/>
          <w:color w:val="auto"/>
        </w:rPr>
      </w:pPr>
    </w:p>
    <w:p>
      <w:pPr>
        <w:ind w:right="280" w:firstLine="518"/>
        <w:spacing w:after="0" w:line="258" w:lineRule="auto"/>
        <w:rPr>
          <w:sz w:val="20"/>
          <w:szCs w:val="20"/>
          <w:color w:val="auto"/>
        </w:rPr>
      </w:pPr>
      <w:r>
        <w:rPr>
          <w:rFonts w:ascii="Times New Roman" w:cs="Times New Roman" w:eastAsia="Times New Roman" w:hAnsi="Times New Roman"/>
          <w:sz w:val="18"/>
          <w:szCs w:val="18"/>
          <w:color w:val="auto"/>
        </w:rPr>
        <w:t>Accordingly, for the year ended December 31, 2018, the Company recorded the Series C redeemable convertible preferred stock liability at its fair value of $2.1 million, with a corresponding charge to other income (expense) in the Company’s Consolidated Statement of Operations. Upon the Second Tranche Closing in August 2018, as described above, $1.0 million was reclassified to Series C Preferred Stock. As a result, at December 31, 2018, the fair value of this liability, relating to the outstanding third tranche, was determined to be $1.1 million and was reclassified to Series C Preferred Stock upon the Third Tranche Closing in January 2019.</w:t>
      </w:r>
    </w:p>
    <w:p>
      <w:pPr>
        <w:spacing w:after="0" w:line="18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Series C redeemable convertible preferred stock liability was estimated as the excess, if any, of the fair value per share of the Company’s Series C Preferred Stock, as described below under </w:t>
      </w: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 over the purchase price of any outstanding tranches to be sold pursuant to the Series C Purchase Agreement.</w:t>
      </w:r>
    </w:p>
    <w:p>
      <w:pPr>
        <w:spacing w:after="0" w:line="174" w:lineRule="exact"/>
        <w:rPr>
          <w:sz w:val="20"/>
          <w:szCs w:val="20"/>
          <w:color w:val="auto"/>
        </w:rPr>
      </w:pPr>
    </w:p>
    <w:p>
      <w:pPr>
        <w:ind w:firstLine="518"/>
        <w:spacing w:after="0" w:line="284" w:lineRule="auto"/>
        <w:rPr>
          <w:sz w:val="20"/>
          <w:szCs w:val="20"/>
          <w:color w:val="auto"/>
        </w:rPr>
      </w:pPr>
      <w:r>
        <w:rPr>
          <w:rFonts w:ascii="Times New Roman" w:cs="Times New Roman" w:eastAsia="Times New Roman" w:hAnsi="Times New Roman"/>
          <w:sz w:val="18"/>
          <w:szCs w:val="18"/>
          <w:color w:val="auto"/>
        </w:rPr>
        <w:t xml:space="preserve">Holders of Series C Preferred Stock had a higher liquidation preference than the holders of Series A Preferred Stock and Series B Preferred Stock.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Preferences note below.)</w:t>
      </w:r>
    </w:p>
    <w:p>
      <w:pPr>
        <w:spacing w:after="0" w:line="160"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there were no shares of redeemable convertible preferred stock outstanding as a result of the conversion into common stock in connection with the IPO. As of December 31, 2018, redeemable convertible preferred stock consisted of the following (in thousands, except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18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8"/>
              </w:rPr>
              <w:t>15,387,923</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15,387,923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2,154,572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22,608,695</w:t>
            </w:r>
          </w:p>
        </w:tc>
        <w:tc>
          <w:tcPr>
            <w:tcW w:w="240" w:type="dxa"/>
            <w:vAlign w:val="bottom"/>
          </w:tcPr>
          <w:p>
            <w:pPr>
              <w:spacing w:after="0"/>
              <w:rPr>
                <w:sz w:val="19"/>
                <w:szCs w:val="19"/>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22,608,695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118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8"/>
              </w:rPr>
              <w:t>48,200,412</w:t>
            </w:r>
          </w:p>
        </w:tc>
        <w:tc>
          <w:tcPr>
            <w:tcW w:w="2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38,097,672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59,798</w:t>
            </w:r>
          </w:p>
        </w:tc>
        <w:tc>
          <w:tcPr>
            <w:tcW w:w="2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86,197,030</w:t>
            </w:r>
          </w:p>
        </w:tc>
        <w:tc>
          <w:tcPr>
            <w:tcW w:w="240" w:type="dxa"/>
            <w:vAlign w:val="bottom"/>
          </w:tcPr>
          <w:p>
            <w:pPr>
              <w:spacing w:after="0"/>
              <w:rPr>
                <w:sz w:val="19"/>
                <w:szCs w:val="19"/>
                <w:color w:val="auto"/>
              </w:rPr>
            </w:pP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76,094,290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115,742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113,167</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color w:val="auto"/>
        </w:rPr>
        <w:t>Dividends on outstanding shares of Series A, Series B and Series C Preferred Stock accrued at a rate of 6% per annum on their original purchase price of $1.00, $1.15 and $1.46 per share, respectively (the “Accruing Dividends”), whether or not declared, and were cumulative. However, Accruing Dividends on the Company’s outstanding redeemable convertible preferred stock were payable only when, as and if declared by the Company’s board of directors, or upon liquidation, redemption or conversion. No dividends were payable to the holders of the Company’s common stock unless equivalent dividends had been declared and paid on the Company’s outstanding Series A, Series B and Series C Preferred Stock. No dividends had been declared or paid by the Company through the date of the IPO. Accruing Dividends totaled $18.4 million through the date of the IPO, at which time they were converted into common shares. Accruing Dividends totaled $16.2 million as of December 31, 2018. Such amounts are included in the carrying values of Series A, Series B and Series C Preferred Stock, and in the accumulated deficit on the Company’s Condensed Consolidated Balance Sheets at December 31, 2018.</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deemed liquidation event, the holders of shares of Series C Preferred Stock then outstanding were entitled to be paid out of the assets of the Company that were available for distribution to its stockholders, before any payments were to be made to the holders of Series A Preferred Stock, Series B Preferred Stock or common stock by reason of their ownership thereof, an amount per share equal to the Series C Preferred Stock original issue price of $1.46 per share,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C Preferred Stock the full amount to which they were entitled, the holders of Series C Preferred Stock were entitled to share ratably in any distribution of the assets available for distribution in proportion to the respective amounts which would otherwise be payable in respect of the shares of Series C Preferred Stock held by them upon such distribution if all amounts payable on or with respect to such shares were paid in full.</w:t>
      </w:r>
    </w:p>
    <w:p>
      <w:pPr>
        <w:spacing w:after="0" w:line="189"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deemed liquidation event, the holders of shares of Series A Preferred Stock and Series B Preferred Stock then outstanding were entitled to be paid out of the assets of the Company available for distribution to its stockholders after the payment of all preferential amounts required to be paid to the holders of shares of Series C Preferred Stock but before any payments were made to the holders of common stock by reason of their ownership thereof, (i) an amount per share equal to the Series A original issue price of $1.00 per share in the case of the Series A Preferred Stock, plus any Accruing Dividends accrued but unpaid thereon, whether or not declared, together with any other dividends declared but unpaid thereon, and (ii) an amount per share equal to the Series B original issue price of $1.15 per share in the case of the Series B Preferred Stock, plus any Accruing Dividends accrued but unpaid thereon, whether or not declared, together with any other dividends declared but unpaid thereon. If upon any such liquidation, dissolution or winding up of the Company or deemed liquidation event, the assets of the Company available for distribution to its stockholders were insufficient to pay the holders of shares of Series A Preferred Stock and Series B Preferred Stock the full amount to which they were entitled (after the payment in full of all preferential amounts required to be paid to the holders of shares of Series C Preferred Stock), the holders of shares of Series A Preferred Stock and Series B Preferred Stock were entitled to share ratably in any distribution of the assets available for distribution in respect of such shares in proportion to the respective amounts which would otherwise be payable in respect of the share of Series A Preferred Stock and Series B Preferred Stock held by them upon such distribution if all amounts payable on or with respect to such shares were paid in full.</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deemed liquidation event, after the payment of all preferential amounts required to be paid to the holders of shares of redeemable convertible preferred stock, the remaining assets of the Company available for distribution to its stockholders were to be distributed among the holders of the shares of redeemable convertible preferred stock and common stock, in proportion to the number of shares held by each such holder, treating for this purpose all such securities as if they had been converted into common stock pursuant to the terms of the Company’s certificate of incorporation immediately prior to such dissolution, liquidation or winding up of the Company.</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provided that, unless prohibited by Delaware law governing distributions to stockholders, shares of the redeemable convertible preferred stock were to be redeemed by the Company in three annual installments commencing not more than 60 days after receipt by the Company, at any time on or after July 14, 2020, of written notice from the holders of at least a majority of the outstanding shares of redeemable convertible preferred stock, voting together as a single class on an as-converted basis, requesting redemption of all shares of redeemable convertible preferred stock (a “Redemption Request”).</w:t>
      </w:r>
    </w:p>
    <w:p>
      <w:pPr>
        <w:spacing w:after="0" w:line="184"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In that event, unless prohibited by Delaware law governing distributions to stockholders, generally in connection with an insolvent corporation, shares of Series A Preferred Stock, Series B Preferred Stock and Series C Preferred Stock, respectively, were to be redeemed by the Company at a price equal to the greater of (A) the applicable original issue price per share for such series of redeemable convertible preferred stock, plus any Accruing Dividends accrued but unpaid thereon, whether or not declared, together with any other dividends declared but unpaid thereon, and (B) the fair market value per share of Series A Preferred Stock, Series B Preferred Stock or Series C Preferred Stock, as the case may be, as of the date of the Company’s receipt of the Redemption Request. For purposes of these redemption rights, the fair market value per share of the Series A Preferred Stock was defined as the value per share of Series A Preferred Stock as mutually agreed upon by the Company and the holders of 60% of the shares of Series A Preferred Stock then outstanding, and, in the event that they were unable to reach agreement, by a third-party appraiser agreed to by the Company and the holders of a majority of the shares of Series A Preferred Stock then outstanding; the fair market value per share of the Series B Preferred Stock was defined as the value per share of Series B Preferred Stock as mutually agreed upon by the Company and the holders of 60% of the shares of Series B Preferred Stock then outstanding, and, in the event that they were unable to reach agreement, by a third-party appraiser agreed to by the Company and the holders of a majority of the shares of Series B Preferred Stock then outstanding; and the fair market value per share of the Series C Preferred Stock was defined as the value per share of Series C Preferred Stock as mutually agreed upon by the Company and the holders of 66 2/3% of the shares of Series C Preferred Stock then outstanding, and, in the event that they were unable to reach agreement, by a third-party appraiser agreed to by the Company and the holders of a majority of the shares of Series C Preferred Stock then outstanding.</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As a result of the redemption rights described above, the carrying values of Series A Preferred Stock of $21.0 million, Series B Preferred Stock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 million, and Series C Preferred Stock of $61.0 million as of December 31, 2018, have been classified as temporary equity, and are presented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stockholders’ equity (deficit) on the Company’s Condensed Consolidated Balance Sheets in accordance with ASC 480. The Company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accreting the carrying value of the redeemable convertible preferred stock up to the expected redemption value over the estimated Redemption Period.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included cumulative unpaid and undeclared Accruing Dividends as well as additional increases, if any, when the fair value of the redeemable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stock exceeded the liquidation value at any point during the Redemption Period. Upon the IPO, all redeemable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Accruing Dividends thereon converted to common shares and all previously unaccreted amounts were fully accreted to the expected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3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At December 31, 2018, the fair values of the Company’s Series A Preferred Stock, Series B Preferred Stock and Series C Preferred Stock were determined utilizing a probability-weighted modeling approach that included both IPO and non-IPO based scenarios. The non-IPO based scenarios included the fair value estimates of the Company’s common stock, before marketability discount, of $0.47, and each issue of its redeemable convertible preferred stock of: $0.82 for its Series A Preferred Stock; $0.86 for its Series B Preferred Stock; and $1.44 for its Series C Preferred Stock, each calculated at December 31, 2017, as there were no clinical development milestones either achieved or not achieved during the period, and it was deemed that the Company’s total equity value had not changed to any significant degree through the December 31, 2018 measurement date. Additional significant inputs utilized for the non-IPO based scenario was a probability factor of 60% and a marketability discount of 20% applied in arriving at the fair value of the common stock. The IPO-based scenario utilized an expected pre-money valuation upon IPO; cost of equity estimate of 15%; estimated time to IPO date of 0.38 years; and a probability factor of 40%.</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At December 31, 2017, the fair value of the Company’s Series A Preferred Stock, Series B Preferred Stock and Series C Preferred Stock was determined utilizing the OPM; whereby each class of stock is modeled as a call option with a unique claim on the assets of the Company. Stock characteristics that were incorporated directly into the option valuation model include liquidation preferences, participation features, convertibility features and ratios, and value-sharing between classes of stock. The Company’s equity value was estimated by employing a back-solving approach to determine its implied equity value at December 31, 2017 based on the initial closing of the Series C Preferred Stock financing completed in July 2017. A Black-Scholes options pricing approach was utilized under the OPM to determine the fair value of each security, with significant inputs including a $1.44 fair value of the Series C Preferred Stock, a risk-free rate of 1.95%, volatility of 78.0% and a probability-weighted estimate of time to liquidity event of 2.71 years.</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Financing costs of approximately $166 that were netted against the proceeds from the 2013 and 2012 Series A Preferred Stock financings were being accreted to Series A Preferred Stock over the period from their respective issuance dates to the earliest redemption date of July 14, 2020. The Company recorded $0 and $2 in accretion for financing costs for the three months ended September 30, 2019 and 2018, respectively, and $7 and $4 for the nine months ended September 30, 2019 and 2018, respectively, which, for the nine months ended September 30, 2019 includes $5 of previously unaccreted financing costs at the time of the conversion of the Series A Preferred Stock into shares of the Company’s common stock. In addition, the investor rights/obligation that was allocated from proceeds from the Series A Preferred Stock financings of $2.8 million, less $520 representing its fair value on the date of its exercise as noted above, was being accreted over the Redemption Period. The Company recorded $0 and $14 in accretion of investor rights/obligation in the three months ended September 30, 2019 and 2018, respectively, and $84 and $41 for the nine months ended September 30, 2019 and 2018, respectively, which, for the nine months ended September 30, 2019 includes $61 of previously unaccreted investor rights/obligations at the time of the conversion of the Series A Preferred Stock into shares of the Company’s common stock.</w:t>
      </w:r>
    </w:p>
    <w:p>
      <w:pPr>
        <w:spacing w:after="0" w:line="186"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Financing costs of approximately $76 that were netted against the proceeds from the 2014 Series B Preferred Stock financings were being accreted to Series B Preferred Stock over the period from their respective issuance dates to the earliest redemption date of July 14, 2020. The Company recorded $0 and $1 in accretion for financing costs in the three months ended September 30, 2019 and 2018, respectively, and $4 and $2 for the nine months ended September 30, 2019 and 2018, respectively, which, for the nine months ended September 30, 2019 includes $3 of previously unaccreted financing costs at the time of conversion of the Series B Preferred Stock into shares of the Company’s common stock. In addition, the investor rights/obligation that was allocated from proceeds from the Series B Preferred Stock financings of $2.0 million was being accreted over the remaining Redemption Period discussed above. The Company recorded $0 and $19 in accretion of Series B Preferred Stock investor rights/obligation in the three months ended September 30, 2019 and 2018, respectively, and $117 and $57 for the nine months ended September 30, 2019 and 2018, respectively, which, for the nine months ended September 30, 2019 includes $85 of previously unaccreted investor rights/obligations at the time of the conversion of the Series B Preferred Stock into shares of the Company’s common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Financing costs of approximately $379 that were netted against the proceeds from the 2017, 2018 and 2019 Series C Preferred Stock financings were being accreted to Series C Preferred Stock over the period from their respective issuance dates to the earliest redemption date of July 14, 2020. The Company recorded $0 and $27 in accretion for financing costs in the three months ended September 30, 2019 and 2018, respectively, and $223 and $79 for the nine months ended September 30, 2019 and 2018, respectively, which, for the nine months ended September 30, 2019 includes $164 of previously unaccreted financing costs at the time of conversion of the Series C Preferred Stock into shares of the Company’s common stock.</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Each holder of Series A, Series B or Series C Preferred Stock was able to convert any or all of such holder’s redeemable convertible preferred stock into common stock at any time. Each share of Series A Preferred Stock, Series B Preferred Stock and Series C Preferred Stock was convertible into such number of shares of common stock as determined by dividing the original issue price of such series by the conversion price for such series in effect at the time of conversion. As of December 31, 2018, each share of Series A Preferred Stock, Series B Preferred Stock and Series C Preferred Stock was convertible into common stock at a one-to-one conversion ratio. As of September 30, 2019, there were no redeemable convertible preferred shares outstanding as a result of the conversion into common shares in connection with the IPO.</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addition, upon conversion of shares of Series A, Series B or Series C Preferred Stock, a holder was entitled to receive, at the election of the holder, either (i) payment in cash of any Accruing Dividends declared but unpaid thereon, or (ii) such number of shares of common stock as determined by dividing the Accruing Dividends for such share of Series A, Series B or Series C Preferred Stock, by the applicable conversion price for such series of redeemable preferred stock in effect at the time of conversion. The conversion prices for Series A, Series B or Series C Preferred Stock were subject to adjustment based on certain events specified in the Company’s certificate of incorporation, including anti-dilution adjustments.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Upon the closing of a qualified public offering of common stock, as defined in the Company’s certificate of incorporation, or approval of (i) the holders of at least 60% of the Series A Preferred Stock then outstanding, voting separately as a class, (ii) the holders of at least 60% of the Series B Preferred Stock then outstanding, voting separately as a class and (iii) the holders of at least 66 2/3% of the Series C Preferred Stock then outstanding, voting separately as a class, all outstanding shares of redeemable convertible preferred stock would have automatically converted into common stock at the then-applicable conversion rate for such shares. At September 30, 2019, there were no redeemable convertible preferred shares outstanding as a result of the conversion into common shares at a one-for-9.5 conversion ratio, in connection with the IPO.</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Prior to the IPO, and except as otherwise provided by law or by the other provisions of the Company’s certificate of incorporation, the holders of redeemable convertible preferred stock were entitled to vote as one class with the holders of common stock on any matter presented to the stockholders of the Company for their action or consideration at any meeting of stockholders of the Company (or by written consent of stockholders in lieu of a meeting), and each holder of outstanding shares of redeemable convertible preferred stock was entitled to cast the number of votes equal to the number of whole shares of common stock into which the shares of redeemable convertible preferred stock held by such holder were convertible as of the record date for determining stockholders entitled to vote on the matter. The holders of record of the shares of the Company’s Series B Preferred Stock, exclusively and as a separate class, were entitled to elect two directors of the Company, the holders of record of the shares of Series C Preferred Stock, exclusively, and as a separate class, were entitled to elect three directors of the Company, and the holders of record of the shares of common stock of the Company, exclusively and as a separate class, were entitled to elect two directors of the Company.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jc w:val="both"/>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holders of shares of the Company’s common stock issued upon conversion of shares of Series A Preferred Stock, Series B Preferred Stock and Series C Preferred Stock have certain registration rights as set forth in an investors’ rights agreement between the Company and certain of its stockholders.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1" w:name="page22"/>
    <w:bookmarkEnd w:id="21"/>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w:t>
      </w:r>
    </w:p>
    <w:p>
      <w:pPr>
        <w:spacing w:after="0" w:line="18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Company’s 2012 Stock Incentive Plan (the “2012 Plan”), as amended, was adopted by the Company’s board of directors and stockholders. The Company’s board of directors administers the 2012 Plan. The 2012 Plan provides for the issuance of stock-based awards to the Company’s employees, officers and directors, as well as non-employee/consultants and advisors to the Company.</w:t>
      </w:r>
    </w:p>
    <w:p>
      <w:pPr>
        <w:spacing w:after="0" w:line="202"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Options granted under the 2019 Plan and the 2012 Plan have a maximum term of ten years. Options vest over four years based on varying vesting schedules including: 25% vesting on the first anniversary date of grant and the balance ratably over the next 36 months or vesting in equal monthly or quarterly installments over four years. As of September 30, 2019, options to purchase 650,918 shares of common stock were granted and outstanding, net of cancelations, under the 2019 Plan. As of September 30, 2019 and December 31, 2018, respectively, options to purchase 1,043,992 and 1,077,148 shares of common stock were granted and outstanding, net of cancelations, under the 2012 Plan.</w:t>
      </w:r>
    </w:p>
    <w:p>
      <w:pPr>
        <w:spacing w:after="0" w:line="21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In April 2019, the Company’s board of directors adopted a resolution effective on May 7, 2019 that no further stock options or other equity-based awards may be granted under the 2012 Plan.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2018, options to purchase 244,665 shares of the Company’s common stock were granted under the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2018, options granted under the 2012 Plan were exercised for 5,679 shares of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2018, no options granted under the 2012 Plan were forfeited.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2018, no options granted under the 2012 Plan expired.</w:t>
      </w:r>
    </w:p>
    <w:p>
      <w:pPr>
        <w:spacing w:after="0" w:line="225"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 summary of the Company’s combined stock option activity for the 2019 Plan and the 2012 Plan for the nine months ended September 30, 2019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 years)</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674,602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28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(35,745)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Expired</w:t>
            </w:r>
          </w:p>
        </w:tc>
        <w:tc>
          <w:tcPr>
            <w:tcW w:w="2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28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(14,736)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2019</w:t>
            </w:r>
          </w:p>
        </w:tc>
        <w:tc>
          <w:tcPr>
            <w:tcW w:w="15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1,694,910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September 30, 2019</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Options unvested as of September 30, 2019</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1,040,042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446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classifications of stock-based compensation expenses for the 2012 Plan and the 2019 Plan recognized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1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9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76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360" w:firstLine="518"/>
        <w:spacing w:after="0" w:line="266"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Employee Stock Purchase Plan (the “2019 ESPP”), which became effective on May 7, 2019. The 2019 ESPP is administered by the Company’s board of directors. As of September 30, 2019, there has been no activity under the 2019 ESPP.</w:t>
      </w:r>
    </w:p>
    <w:p>
      <w:pPr>
        <w:spacing w:after="0" w:line="21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 Company’s employees are eligible to participate in the 2019 ESPP, provided that:</w:t>
      </w:r>
    </w:p>
    <w:p>
      <w:pPr>
        <w:spacing w:after="0" w:line="117" w:lineRule="exact"/>
        <w:rPr>
          <w:sz w:val="20"/>
          <w:szCs w:val="20"/>
          <w:color w:val="auto"/>
        </w:rPr>
      </w:pPr>
    </w:p>
    <w:p>
      <w:pPr>
        <w:ind w:left="900" w:hanging="379"/>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customarily employed by the Company for more than 20 hours a week and for more than five months in a calendar year;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has been employed by the Company for at least three months prior to enrolling in the 2019 ESPP;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was an employee of the Company on the first day of the applicable offering period under the 2019 ESPP.</w:t>
      </w:r>
    </w:p>
    <w:p>
      <w:pPr>
        <w:spacing w:after="0" w:line="36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and nine months ended September 30, 2019 and 2018, the Company maintained a full valuation allowance on deferred tax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Company has not recorded a provision for income taxes.</w:t>
      </w:r>
    </w:p>
    <w:p>
      <w:pPr>
        <w:spacing w:after="0" w:line="35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Plus: Dividends accrued on redeemable convertible preferred stock</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Accretion of redeemable convertible preferred stock</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(2,239)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net loss attributable to common stockholders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9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17,834,570</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438,606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9,680,512</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Accretion and dividends included in the table above were calculated through the IPO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September 30, 2019 and 2018, were excluded from the calculation of diluted net loss per share attributable to common stockholders for the periods indicated because including them would have had an anti-dilutive effect:</w:t>
      </w:r>
    </w:p>
    <w:p>
      <w:pPr>
        <w:spacing w:after="0" w:line="22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Shares as of</w:t>
      </w: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CFF0FC"/>
            </w:tcBorders>
          </w:tcPr>
          <w:p>
            <w:pPr>
              <w:spacing w:after="0"/>
              <w:rPr>
                <w:sz w:val="13"/>
                <w:szCs w:val="13"/>
                <w:color w:val="auto"/>
              </w:rPr>
            </w:pPr>
          </w:p>
        </w:tc>
        <w:tc>
          <w:tcPr>
            <w:tcW w:w="1880" w:type="dxa"/>
            <w:vAlign w:val="bottom"/>
            <w:tcBorders>
              <w:top w:val="single" w:sz="8" w:color="auto"/>
              <w:bottom w:val="single" w:sz="8" w:color="auto"/>
            </w:tcBorders>
          </w:tcPr>
          <w:p>
            <w:pPr>
              <w:jc w:val="right"/>
              <w:ind w:right="7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1920" w:type="dxa"/>
            <w:vAlign w:val="bottom"/>
            <w:tcBorders>
              <w:top w:val="single" w:sz="8" w:color="auto"/>
              <w:bottom w:val="single" w:sz="8" w:color="auto"/>
            </w:tcBorders>
          </w:tcPr>
          <w:p>
            <w:pPr>
              <w:jc w:val="right"/>
              <w:ind w:right="7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15,387,923</w:t>
            </w:r>
          </w:p>
        </w:tc>
        <w:tc>
          <w:tcPr>
            <w:tcW w:w="100" w:type="dxa"/>
            <w:vAlign w:val="bottom"/>
            <w:shd w:val="clear" w:color="auto" w:fill="CFF0FC"/>
          </w:tcPr>
          <w:p>
            <w:pPr>
              <w:spacing w:after="0"/>
              <w:rPr>
                <w:sz w:val="19"/>
                <w:szCs w:val="19"/>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22,608,695</w:t>
            </w:r>
          </w:p>
        </w:tc>
        <w:tc>
          <w:tcPr>
            <w:tcW w:w="100" w:type="dxa"/>
            <w:vAlign w:val="bottom"/>
          </w:tcPr>
          <w:p>
            <w:pPr>
              <w:spacing w:after="0"/>
              <w:rPr>
                <w:sz w:val="19"/>
                <w:szCs w:val="19"/>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38,097,672</w:t>
            </w:r>
          </w:p>
        </w:tc>
        <w:tc>
          <w:tcPr>
            <w:tcW w:w="100" w:type="dxa"/>
            <w:vAlign w:val="bottom"/>
            <w:shd w:val="clear" w:color="auto" w:fill="CFF0FC"/>
          </w:tcPr>
          <w:p>
            <w:pPr>
              <w:spacing w:after="0"/>
              <w:rPr>
                <w:sz w:val="19"/>
                <w:szCs w:val="19"/>
                <w:color w:val="auto"/>
              </w:rPr>
            </w:pPr>
          </w:p>
        </w:tc>
      </w:tr>
      <w:tr>
        <w:trPr>
          <w:trHeight w:val="230"/>
        </w:trPr>
        <w:tc>
          <w:tcPr>
            <w:tcW w:w="7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1,694,910</w:t>
            </w:r>
          </w:p>
        </w:tc>
        <w:tc>
          <w:tcPr>
            <w:tcW w:w="320" w:type="dxa"/>
            <w:vAlign w:val="bottom"/>
            <w:tcBorders>
              <w:bottom w:val="single" w:sz="8" w:color="CFF0FC"/>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1,082,411</w:t>
            </w:r>
          </w:p>
        </w:tc>
        <w:tc>
          <w:tcPr>
            <w:tcW w:w="100" w:type="dxa"/>
            <w:vAlign w:val="bottom"/>
            <w:tcBorders>
              <w:bottom w:val="single" w:sz="8" w:color="CFF0FC"/>
            </w:tcBorders>
          </w:tcPr>
          <w:p>
            <w:pPr>
              <w:spacing w:after="0"/>
              <w:rPr>
                <w:sz w:val="19"/>
                <w:szCs w:val="19"/>
                <w:color w:val="auto"/>
              </w:rPr>
            </w:pPr>
          </w:p>
        </w:tc>
      </w:tr>
      <w:tr>
        <w:trPr>
          <w:trHeight w:val="223"/>
        </w:trPr>
        <w:tc>
          <w:tcPr>
            <w:tcW w:w="720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1,694,910</w:t>
            </w:r>
          </w:p>
        </w:tc>
        <w:tc>
          <w:tcPr>
            <w:tcW w:w="32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77,176,701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Collaborative and Licensing Agreements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Company enters into collaborative and licensing agreements with pharmaceutical companies to in-license, develop, manufacture and/or market products that fit within its business strategy.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Endo Pharmaceuticals Inc.</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nalbuphine ER, in all fields and for any use.</w:t>
      </w:r>
    </w:p>
    <w:p>
      <w:pPr>
        <w:spacing w:after="0" w:line="180"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4"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4" w:name="page25"/>
    <w:bookmarkEnd w:id="24"/>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Rutgers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On November 6,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184"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Agreement with MentiNova, Inc.</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On November 6, 2018, concurrent with the signing of the agreement with Rutgers described above, the Company entered into a restructuring agreement with MentiNova, Inc. (“MentiNova”) for the purchase of specified information and know-how, specified contractual rights and benefits, and all books and records of MentiNova related thereto (collectively, the “Acquired Assets”).</w:t>
      </w:r>
    </w:p>
    <w:p>
      <w:pPr>
        <w:spacing w:after="0" w:line="17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$1,188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29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Company also has commitments under lease and licensing agreements </w:t>
      </w:r>
      <w:r>
        <w:rPr>
          <w:rFonts w:ascii="Times New Roman" w:cs="Times New Roman" w:eastAsia="Times New Roman" w:hAnsi="Times New Roman"/>
          <w:sz w:val="18"/>
          <w:szCs w:val="18"/>
          <w:i w:val="1"/>
          <w:iCs w:val="1"/>
          <w:color w:val="auto"/>
        </w:rPr>
        <w:t>(Note 4 and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2018 included in the final prospectus for our initial public offering of our common shares, or IPO, filed with the Securities and Exchange Commission, or SEC, pursuant to Rule 424(b)(4) on May 8, 2019.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“could,”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19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720" w:firstLine="518"/>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nalbuphine ER to treat serious neurologically mediated conditions. We are currently developing nalbuphine ER for the treatment of chronic pruritus, chronic cough in patients with idiopathic pulmonary fibrosis, or IPF, and levodopa-induced dyskinesia, or LID, in patients with Parkinson’s disease.</w:t>
      </w:r>
    </w:p>
    <w:p>
      <w:pPr>
        <w:spacing w:after="0" w:line="217"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are conducting a Phase 2b/3 clinical trial of nalbuphine ER, which we refer to as the PRISM trial, in patients with severe pruritus associated with prurigo nodularis, or PN. The PRISM trial is a randomized, double-blind, placebo controlled, two-arm treatment study that is designed to evaluate the safety and anti-pruritic efficacy of nalbuphine ER in approximately 240 patients in the United States and Europe. To date, we have enrolled approximately 30% of the target number of patients. The pace of enrollment has been slower than anticipated primarily due to competition from other clinical trials and slower than planned site start-ups in Europe. We expect to report top-line data from the 14-week blinded treatment period of the PRISM trial in the second half of 2020. Additionally, the protocol for the PRISM trial provides for a sample size re-estimation analysis once 50% of the patients in the trial are evaluable for the primary endpoint. We expect the re-estimation analysis will occur in mid-2020.</w:t>
      </w:r>
    </w:p>
    <w:p>
      <w:pPr>
        <w:spacing w:after="0" w:line="189" w:lineRule="exact"/>
        <w:rPr>
          <w:sz w:val="20"/>
          <w:szCs w:val="20"/>
          <w:color w:val="auto"/>
        </w:rPr>
      </w:pPr>
    </w:p>
    <w:p>
      <w:pPr>
        <w:ind w:right="220" w:firstLine="518"/>
        <w:spacing w:after="0" w:line="281" w:lineRule="auto"/>
        <w:rPr>
          <w:sz w:val="20"/>
          <w:szCs w:val="20"/>
          <w:color w:val="auto"/>
        </w:rPr>
      </w:pPr>
      <w:r>
        <w:rPr>
          <w:rFonts w:ascii="Times New Roman" w:cs="Times New Roman" w:eastAsia="Times New Roman" w:hAnsi="Times New Roman"/>
          <w:sz w:val="17"/>
          <w:szCs w:val="17"/>
          <w:color w:val="auto"/>
        </w:rPr>
        <w:t>We are also conducting a Phase 2 clinical trial of nalbuphine ER for chronic cough in patients with IPF. This Phase 2 clinical trial is a randomized, double-blind, placebo controlled, two-treatment, two-period, crossover study designed to evaluate the efficacy, safety, tolerability and dosing of nalbuphine ER for chronic cough in up to 56 patients with IPF in the United Kingdom. Patient enrollment is underway and we expect to activate all remaining clinical sites by year end. We expect to complete enrollment in the first half of 2020 and report top-line data from the trial in the second half of 2020.</w:t>
      </w:r>
    </w:p>
    <w:p>
      <w:pPr>
        <w:spacing w:after="0" w:line="16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we are conducting a Phase 1b clinical trial in patients with chronic liver disease to evaluate the safety and pharmacokinetics, or PK, of nalbuphine ER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and moderate hepatic impairment and there were no serious adverse events reported in the trial. After reviewing the safety and PK data generated to date in the single ascending dose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 w:name="page27"/>
    <w:bookmarkEnd w:id="26"/>
    <w:p>
      <w:pPr>
        <w:ind w:right="120"/>
        <w:spacing w:after="0" w:line="261" w:lineRule="auto"/>
        <w:rPr>
          <w:sz w:val="20"/>
          <w:szCs w:val="20"/>
          <w:color w:val="auto"/>
        </w:rPr>
      </w:pPr>
      <w:r>
        <w:rPr>
          <w:rFonts w:ascii="Times New Roman" w:cs="Times New Roman" w:eastAsia="Times New Roman" w:hAnsi="Times New Roman"/>
          <w:sz w:val="18"/>
          <w:szCs w:val="18"/>
          <w:color w:val="auto"/>
        </w:rPr>
        <w:t>portion of the trial, we believe that these data are sufficient to support further investigation of nalbuphine ER in potential future safety and efficacy studies in patients with relevant liver diseases. We intend to start planning for a Phase 2 trial of nalbuphine ER in patients with pruritus associated with primary biliary cholangitis, or PBC. In addition, we intend to use the data from the hepatic impairment study to support a new drug application, or NDA, submission for nalbuphine ER for pruritus in PN.</w:t>
      </w:r>
    </w:p>
    <w:p>
      <w:pPr>
        <w:spacing w:after="0" w:line="180"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have written the protocol for a Phase 2 clinical trial for LID in patients with Parkinson’s disease and plan to submit an Investigational New Drug, or IND, application to the FDA in the upcoming months.</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Since commencing operations in 2011, we have devoted substantially all of our efforts and financial resources to the clinical development of nalbuphine ER. We have not generated any revenue from product sales and, as a result, we have never been profitable and have incurred net losses in each year since commencement of our operations. As of September 30, 2019, we had an accumulated deficit of $107.7 million, primarily as a result of research and development and general and administrative expenses. We do not expect to generate product revenue unless and until we obtain marketing approval for and commercialize nalbuphine ER for the treatment of pruritus associated with prurigo nodularis, chronic cough in patients with IPF or LID in patients with Parkinson’s disease, and we can provide no assurance that we will ever generate significant revenue or profits.</w:t>
      </w:r>
    </w:p>
    <w:p>
      <w:pPr>
        <w:spacing w:after="0" w:line="18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On May 9,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207"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of September 30, 2019, we had cash and cash equivalents of $63.5 million. We believe that our existing cash and cash equivalents will enable us to fund our operating expenses and capital expenditure requirements through at least the end of the first quarter of 2021. Our estimate as to how long we expect our existing cash and cash equivalents to 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the additional Phase 3 clinical trial we will be required to conduct to support the submission of an NDA to the United States Food and Drug Administration, or FDA, for nalbuphine ER for the treatment of pruritus associated with prurigo nodularis, our ongoing Phase 2 clinical trial in chronic cough in patients with IPF, the development and validation of our commercial manufacturing process for nalbuphine ER and other development activities, including potentially commencing Phase 2 clinical trials for the treatment of LID in patients with Parkinson’s disease and for pruritus associated with PBC. Furthermore, we expect to incur additional costs associated with operating as a public company, including significant legal, accounting, investor relations and other expenses that we did not incur as a private company.</w:t>
      </w:r>
    </w:p>
    <w:p>
      <w:pPr>
        <w:spacing w:after="0" w:line="185"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nalbuphine ER,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nalbuphine ER for one or more indications or delay our efforts to expand our product pipeline.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firstLine="518"/>
        <w:spacing w:after="0" w:line="277" w:lineRule="auto"/>
        <w:rPr>
          <w:sz w:val="20"/>
          <w:szCs w:val="20"/>
          <w:color w:val="auto"/>
        </w:rPr>
      </w:pPr>
      <w:r>
        <w:rPr>
          <w:rFonts w:ascii="Times New Roman" w:cs="Times New Roman" w:eastAsia="Times New Roman" w:hAnsi="Times New Roman"/>
          <w:sz w:val="17"/>
          <w:szCs w:val="17"/>
          <w:color w:val="auto"/>
        </w:rPr>
        <w:t>All of our research and development expenses consist of expenses incurred in connection with the development of nalbuphine ER.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nalbuphine ER, as a significant amount of our development activities broadly support all indications. In addition, several of our departments support our nalbuphine ER drug candidate development program and we do not identify internal costs for each potential indication.</w:t>
      </w:r>
    </w:p>
    <w:p>
      <w:pPr>
        <w:spacing w:after="0" w:line="16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over the next few years as we pursue our development program, pursue regulatory approval of nalbuphine ER in the United States and Europe and prepare for a possible commercial launch of nalbuphine ER. Predicting the timing or the cost to conduct our nalbuphine ER development program and prepare for a possible commercial launch of nalbuphine ER is difficult and delays may occur because of many factors including factors outside of our control such as the sample size re-estimation.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nalbuphine ER will receive regulatory approval in the United States or elsewhere with any certainty.</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17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stock exchange listing and SEC requirements, investor relations costs and director and officer insurance premiums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 on our Term Loan Facility</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December 2014, we entered into a loan and security agreement with Solar Capital Ltd. and Square 1 Bank under which we borrowed $15.0 million under a term loan, or the Term Loan. The Term Loan accrued interest at a floating rate equal to the one-month LIBOR plus 7.75% per annum. The Term Loan required interest-only payments until March 2016, which was extended to November 2016. After November 2016, payments on the Term Loan were made monthly in 20 equal installments of principal plus interest. In June 2018, we paid all amounts owed under the Term Loan.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Series C Redeemable Convertible Preferred Stock Liability</w:t>
      </w:r>
    </w:p>
    <w:p>
      <w:pPr>
        <w:spacing w:after="0" w:line="119"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The stock purchase agreement under which we sold shares of Series C preferred stock provided for the issuance and sale of our Series C preferred stock in three separate tranches. The tranches represented a free-standing financial instrument under Accounting Standards Codification, or ASC, 480 and required fair value accounting until they were settled. We recognized a liability on our consolidated balance sheet for the obligations under this financial instrument. We adjusted this liability to fair value at each reporting date and recognized the changes in fair value in our statements of operations as a component of other income (expense), net. We continued to recognize changes in the fair value of this liability through the closing of the third tranche, which occurred on January 18, 2019.</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Obligation for Loan Success Fee</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Term Loan, we entered into the Success Fee Agreement under which we agreed to pay the lenders a Success Fee upon the occurrence of an exit event, as defined in the Success Fee Agreement. We classified this contingent obligation for the Success Fee as a liability on our consolidated balance sheet and we adjusted this liability to fair value at each reporting date. We recognized changes in the fair value of this obligation for the Success Fee in our statements of operations as a component of other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8" w:name="page29"/>
    <w:bookmarkEnd w:id="28"/>
    <w:p>
      <w:pPr>
        <w:ind w:right="280"/>
        <w:spacing w:after="0" w:line="282" w:lineRule="auto"/>
        <w:rPr>
          <w:sz w:val="20"/>
          <w:szCs w:val="20"/>
          <w:color w:val="auto"/>
        </w:rPr>
      </w:pPr>
      <w:r>
        <w:rPr>
          <w:rFonts w:ascii="Times New Roman" w:cs="Times New Roman" w:eastAsia="Times New Roman" w:hAnsi="Times New Roman"/>
          <w:sz w:val="18"/>
          <w:szCs w:val="18"/>
          <w:color w:val="auto"/>
        </w:rPr>
        <w:t>income (expense), net. We recognized changes in the fair value of the obligation for the Success Fee until the Success Fee payment was triggered and paid upon the closing of our IPO in May 2019.</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from money market funds on our cash and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60" w:type="dxa"/>
            <w:vAlign w:val="bottom"/>
          </w:tcPr>
          <w:p>
            <w:pPr>
              <w:spacing w:after="0"/>
              <w:rPr>
                <w:sz w:val="19"/>
                <w:szCs w:val="19"/>
                <w:color w:val="auto"/>
              </w:rPr>
            </w:pP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(7,650)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Series C redeemable convertible preferred</w:t>
            </w:r>
          </w:p>
        </w:tc>
        <w:tc>
          <w:tcPr>
            <w:tcW w:w="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liability</w:t>
            </w:r>
          </w:p>
        </w:tc>
        <w:tc>
          <w:tcPr>
            <w:tcW w:w="8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20"/>
                <w:szCs w:val="20"/>
                <w:color w:val="auto"/>
              </w:rPr>
            </w:pPr>
          </w:p>
        </w:tc>
      </w:tr>
      <w:tr>
        <w:trPr>
          <w:trHeight w:val="23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obligation for loan success fee</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8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(7,370)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(7,365)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4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8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2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expenses and professional fees</w:t>
            </w:r>
          </w:p>
        </w:tc>
        <w:tc>
          <w:tcPr>
            <w:tcW w:w="2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2019 increased to $5.6 million from $3.7 million for the corresponding period in 2018. The increase was primarily due to a $1.7 million increase in clinical development expenses primarily related to increased activity in several clinical trials including our Phase 2b/3 PRISM trial, our Phase 2 trial in chronic cough in patients with IPF and our Phase 1b trial in patients with chronic liver disease. For the periods presented, all of our research and development expenses related to our development activity for nalbuphine ER.</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2019 increased to $2.0 million from $1.2 million for the corresponding period in 2018. The increase was primarily due to an increase in expenses related to being a public company of $0.4 million and an increase in personnel and stock-based compensation expenses of $0.2 million resulting from the issuance of new stock option grants upon the IPO and from our expanded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Other income (expense), net for the three months ended September 30, 2019 increased to other income, net of $0.3 million from other (expense), net of $0.7 million for the corresponding period in 2018. The increase primarily reflects the change in fair value of our liability during the three months ended September 30, 2018 for the shares of Series C preferred stock purchasable in the second and third tranches of our Series C preferred stock financing as well as increased interest income of $0.3 million in the three months ended September 30, 2019 due to our larger cash balance following our IPO in May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8"/>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260" w:type="dxa"/>
            <w:vAlign w:val="bottom"/>
          </w:tcPr>
          <w:p>
            <w:pPr>
              <w:spacing w:after="0"/>
              <w:rPr>
                <w:sz w:val="19"/>
                <w:szCs w:val="19"/>
                <w:color w:val="auto"/>
              </w:rPr>
            </w:pP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Series C redeemable convertible preferred</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liability</w:t>
            </w: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(1,968)</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FF0FC"/>
          </w:tcPr>
          <w:p>
            <w:pPr>
              <w:spacing w:after="0"/>
              <w:rPr>
                <w:sz w:val="20"/>
                <w:szCs w:val="20"/>
                <w:color w:val="auto"/>
              </w:rPr>
            </w:pPr>
          </w:p>
        </w:tc>
      </w:tr>
      <w:tr>
        <w:trPr>
          <w:trHeight w:val="23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obligation for loan success fee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r>
      <w:tr>
        <w:trPr>
          <w:trHeight w:val="223"/>
        </w:trPr>
        <w:tc>
          <w:tcPr>
            <w:tcW w:w="59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24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expenses and professional fees</w:t>
            </w:r>
          </w:p>
        </w:tc>
        <w:tc>
          <w:tcPr>
            <w:tcW w:w="2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2019 increased to $14.5 million from $9.5 million for the corresponding period in 2018. The increase was primarily due to a $4.5 million increase in clinical development expenses primarily related to increased activities in several clinical trials including our Phase 2b/3 PRISM trial, our Phase 2 trial in chronic cough in patients with IPF and our Phase 1b trial in patients with chronic liver disease. In addition, personnel and related expenses increased by $0.2 million as a result of an increase in our employee headcount, and consulting expenses and professional fees increased by $0.2 million as a result of our increased clinical trial activity. For the periods presented, all of our research and development expenses relate to our development activity for nalbuphine 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2019 increased to $5.4 million from $2.9 million for the corresponding period in 2018. The increase was primarily due to an increase in personnel and stock-based compensation expenses of $1.2 million, which we incurred from the issuance of new stock option grants upon the IPO and from expanded operations, an increase in expenses related to being a public company of $0.7 million and an increase in consulting expenses and professional fees of $0.3 million.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Other income (expense), net for nine months ended September 30, 2019 increased to other income, net of $0.4 million from other (expense), net of $2.2 million for the corresponding period in 2018. The increase primarily reflects the change in fair value of our liability during the nine months ended September 30, 2018 for the shares of Series C preferred stock purchasable in the second and third tranches of our Series C preferred stock financing as well as increased interest income of $0.5 million due to our larger cash balance following our IPO in May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a term loan facility. From inception to our IPO, we raised an aggregate of $102.2 million in gross proceeds from sales of our preferred stock and convertible notes and borrowed $15.0 million under a term loan facility. As of June 30, 2018, all amounts owed under the term loan facility had been paid in full.</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176"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we had cash and cash equivalents of $63.5 million. Our cash and cash equivalents are primarily held in money market accounts.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below (in thousands):</w:t>
      </w:r>
    </w:p>
    <w:p>
      <w:pPr>
        <w:spacing w:after="0" w:line="25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(16,891)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20" w:type="dxa"/>
            <w:vAlign w:val="bottom"/>
            <w:shd w:val="clear" w:color="auto" w:fill="CFF0FC"/>
          </w:tcPr>
          <w:p>
            <w:pPr>
              <w:spacing w:after="0"/>
              <w:rPr>
                <w:sz w:val="19"/>
                <w:szCs w:val="19"/>
                <w:color w:val="auto"/>
              </w:rPr>
            </w:pPr>
          </w:p>
        </w:tc>
      </w:tr>
      <w:tr>
        <w:trPr>
          <w:trHeight w:val="223"/>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increase (decrease)</w:t>
            </w:r>
          </w:p>
        </w:tc>
        <w:tc>
          <w:tcPr>
            <w:tcW w:w="244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2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2019, operating activities used $16.9 million of cash, resulting from our net loss of $19.5 million, partially offset by changes in our operating assets and liabilities of $1.6 million and non-cash charges of $1.0 million. Changes in our operating assets and liabilities for the nine months ended September 30, 2019 consisted primarily of a $2.4 million increase in accrued expenses, a $0.4 million increase in prepaid expenses and a $0.3 million decrease in accounts payable. The increase in accrued expenses was primarily due to increases in accruals related to our Phase 2b/3 PRISM trial in prurigo nodularis, our Phase 2 trial for chronic cough in IPF and our phase 1b trial in patients with chronic liver disease. The decrease in accounts payable was primarily due to timing of vendor invoices. The increase in prepaid expenses was primarily due to prepayments of our insurance policies partially offset by a decrease in prepayments of $0.4 million related to our human abuse liability, or HAL, study. The non-cash charges for nine months ended September 30, 2019 consisted primarily of stock-based compensation expense of $0.8 million and changes in fair value of the Success Fee of $0.2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1" w:name="page32"/>
    <w:bookmarkEnd w:id="31"/>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2018, operating activities used $13.6 million of cash, resulting from our net loss of $14.6 million and changes in our operating assets and liabilities of $1.5 million, partially offset by non-cash charges of $2.5 million. Changes in our operating assets and liabilities for the nine months ended September 30, 2018 consisted primarily of a $1.5 million increase in prepaid expenses. The increase in prepaid expenses was primarily due to increases in prepayments under our ongoing research, development and clinical trial work performed by our CROs. The non-cash charges for the nine months ended September 30, 2018 consisted primarily of a $2.0 million expense related to the change in fair value of our Series C redeemable convertible preferred stock liability and stock-based compensation expense of $0.3 million.</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and the nine months ended September 30, 2018, we used an insignificant amount of cash in investing activities, consisting of purchases of property and equipment.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$73.2 million, primarily consisting of cash proceeds, net of underwriting discounts and commissions and placement agent fees, of $65.1 million from our IPO and concurrent private placement, and $10.0 million from our sales of shares of Series C preferred stock in the third tranche of our Series C preferred stock financing in January 2019, partially offset by costs relating to our IPO of $1.2 million and payment of the $0.7 million Success Fee.</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net cash provided by financing activities was $5.1 million, primarily consisting of net cash proceeds of $10.5 million from our sales of shares of Series C preferred stock in the second tranche of our Series C preferred stock financing in August 2018, partially offset by repayments of $4.8 million on the Term Loan and $0.5 million of final fees on the Term Loan.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nalbuphine ER through clinical development, the regulatory approval process and, if approved, commercial launch activities. Specifically, in the near term, we expect to incur substantial expenses relating to our ongoing Phase 2b/3 PRISM trial, the additional Phase 3 clinical trial we will need to conduct to support the submission of an NDA to the FDA and a marketing authorization application to the European Medicines Agency for nalbuphine ER for the treatment of pruritus associated with prurigo nodularis, our ongoing Phase 2 clinical trial in chronic cough in patients with IPF, the costs of commercialization activities, including manufacturing capabilities, for nalbuphine ER and other development activities including potentially commencing Phase 2 clinical trials for the treatment of LID in patients with Parkinson’s disease and for pruritus associated with PBC. Furthermore, we expect to incur additional costs associated with operating as a public company, including significant legal, accounting, investor relations and other expenses that we did not incur as a private company.</w:t>
      </w:r>
    </w:p>
    <w:p>
      <w:pPr>
        <w:spacing w:after="0" w:line="185"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nalbuphine ER,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72" w:lineRule="exact"/>
        <w:rPr>
          <w:sz w:val="20"/>
          <w:szCs w:val="20"/>
          <w:color w:val="auto"/>
        </w:rPr>
      </w:pPr>
    </w:p>
    <w:p>
      <w:pPr>
        <w:ind w:left="900" w:right="20" w:hanging="379"/>
        <w:spacing w:after="0" w:line="261"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nalbuphine ER for the treatment of pruritus associated with prurigo nodularis, including the results of the sample size re-estimation for our ongoing Phase 2b/3 PRISM trial that we expect will take place in mid-2020 as well as the scope, progress, timing, costs and results of clinical trials of nalbuphine ER for other serious neurologically mediated conditions, as well as any future product candidates;</w:t>
      </w:r>
    </w:p>
    <w:p>
      <w:pPr>
        <w:spacing w:after="0" w:line="71"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nalbuphine ER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900" w:right="380" w:hanging="379"/>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53"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nalbuphine ER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jc w:val="both"/>
        <w:ind w:left="900" w:right="20" w:hanging="379"/>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2" w:name="page33"/>
    <w:bookmarkEnd w:id="32"/>
    <w:p>
      <w:pPr>
        <w:ind w:left="900" w:right="660" w:hanging="379"/>
        <w:spacing w:after="0" w:line="313"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30" w:lineRule="exact"/>
        <w:rPr>
          <w:rFonts w:ascii="Times New Roman" w:cs="Times New Roman" w:eastAsia="Times New Roman" w:hAnsi="Times New Roman"/>
          <w:sz w:val="17"/>
          <w:szCs w:val="17"/>
          <w:color w:val="auto"/>
        </w:rPr>
      </w:pPr>
    </w:p>
    <w:p>
      <w:pPr>
        <w:ind w:left="900" w:right="220" w:hanging="379"/>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68"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establish a commercial infrastructure;</w:t>
      </w:r>
    </w:p>
    <w:p>
      <w:pPr>
        <w:spacing w:after="0" w:line="117" w:lineRule="exact"/>
        <w:rPr>
          <w:rFonts w:ascii="Times New Roman" w:cs="Times New Roman" w:eastAsia="Times New Roman" w:hAnsi="Times New Roman"/>
          <w:sz w:val="18"/>
          <w:szCs w:val="18"/>
          <w:color w:val="auto"/>
        </w:rPr>
      </w:pPr>
    </w:p>
    <w:p>
      <w:pPr>
        <w:ind w:left="900" w:right="460" w:hanging="379"/>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expenditure requirements through at least the end of the first quarter of 2021.</w:t>
      </w:r>
    </w:p>
    <w:p>
      <w:pPr>
        <w:spacing w:after="0" w:line="162"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nalbuphine ER for pruritus associated with prurigo nodularis or any other indication.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w:t>
      </w:r>
    </w:p>
    <w:p>
      <w:pPr>
        <w:spacing w:after="0" w:line="189"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there were no material changes to our critical accounting policies. Our critical accounting policies are described under the heading “Management’s Discussion and Analysis of Financial Condition and Results of Operations—Critical Accounting Policies and Use of Estimates” in the final prospectus for our IPO filed with the SEC pursuant to Rule 424(b)(4) on May 8, 2019 and in the notes to the condensed consolidated financial statements appearing elsewhere in this Quarterly Report on Form 10-Q.</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 See Note 13 to our condensed consolidated financial statements included elsewhere in this Quarterly Report on Form 10-Q for discussion regarding our commitments and contingent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or FASB, issued Accounting Standards Update or, ASU, No. 2016-02 titled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ASU 2016-02, which requires rights and obligations arising from both operating and capital leases to be reported on the Consolidated Balance Sheet, and to disclose quantitative and qualitative information about lease transactions (such as information about variable lease payments and options to renew and terminate leases). ASU 2016-02 is effective for fiscal years beginning after December 15, 2018, with early adoption permitted.</w:t>
      </w:r>
    </w:p>
    <w:p>
      <w:pPr>
        <w:spacing w:after="0" w:line="182" w:lineRule="exact"/>
        <w:rPr>
          <w:sz w:val="20"/>
          <w:szCs w:val="20"/>
          <w:color w:val="auto"/>
        </w:rPr>
      </w:pPr>
    </w:p>
    <w:p>
      <w:pPr>
        <w:ind w:right="100" w:firstLine="518"/>
        <w:spacing w:after="0" w:line="272" w:lineRule="auto"/>
        <w:rPr>
          <w:sz w:val="20"/>
          <w:szCs w:val="20"/>
          <w:color w:val="auto"/>
        </w:rPr>
      </w:pPr>
      <w:r>
        <w:rPr>
          <w:rFonts w:ascii="Times New Roman" w:cs="Times New Roman" w:eastAsia="Times New Roman" w:hAnsi="Times New Roman"/>
          <w:sz w:val="17"/>
          <w:szCs w:val="17"/>
          <w:color w:val="auto"/>
        </w:rPr>
        <w:t>We adopted this new guidance as of January 1, 2019, which included an assessment of the impact of the new guidance on the condensed consolidated financial statements. We utilized the transition practical expedient added by the FASB, which eliminated the requirement that entities apply the new lease standard to the comparative periods presented in the year of adoption. We elected to use the package of practical expedients that allowed us to not reassess:</w:t>
      </w:r>
    </w:p>
    <w:p>
      <w:pPr>
        <w:spacing w:after="0" w:line="2" w:lineRule="exact"/>
        <w:rPr>
          <w:sz w:val="20"/>
          <w:szCs w:val="20"/>
          <w:color w:val="auto"/>
        </w:rPr>
      </w:pPr>
    </w:p>
    <w:p>
      <w:pPr>
        <w:ind w:firstLine="8"/>
        <w:spacing w:after="0" w:line="253"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any expired or existing contracts were or contained leases, (2) lease classification for any expired or existing leases and (3) initial direct costs for any expired or existing leases. We used the practical expedient that allows lessees to treat the lease and non-lease components of leases as a single lease component. The adoption of this standard resulted in the recognition of a right-of-use asset of $379 and related lease liabilities of $424 related to our operating lease commitments on the Condensed Consolidated Balance Sheet as of January 1, 2019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The impact of adoption of the new leasing standard did not have a material impact on the Condensed Consolidated Statement of Operations during the three and nine months ended September 30, 2019.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new accounting pronouncements during the three and nine months ended September 30, 2019, as compared to the recent accounting pronouncements described in Note 2 to our audited consolidated financial statements for the year ended December 31, 2018 included in the final prospectus for our IPO, which could be expected to materially impact our unaudited condensed consolidated financial statements.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Required.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2019.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180" w:firstLine="51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nine months ended September 30, 2019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incurred significant annual net losses every year since our inception. We expect to continue to incur significant and increasing net losses for at least the next several years. Our net losses were $19.5 million, $20.5 million and $12.9 million for the nine months ended September 30, 2019, the year ended December 31, 2018 and the year ended December 31, 2017, respectively. As of September 30, 2019, we had an accumulated deficit of $107.7 million. We have not generated any revenues from product sales, have not completed the development of any product candidate and may never have a product candidate approved for commercialization. We have financed our operations to date primarily through our initial public offering and private placements of our convertible preferred stock prior to our initial public offering. We have devoted substantially all of our financial resources and efforts to the clinical development of our product candidate nalbuphine ER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85"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900" w:right="160" w:hanging="379"/>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nalbuphine ER, including our ongoing Phase 2b/3 trial of nalbuphine ER for the treatment of pruritus associated with prurigo nodularis, which we refer to as our PRISM trial, and our other ongoing clinical trials of nalbuphine ER in other serious neurologically mediated conditions;</w:t>
      </w:r>
    </w:p>
    <w:p>
      <w:pPr>
        <w:spacing w:after="0" w:line="68" w:lineRule="exact"/>
        <w:rPr>
          <w:rFonts w:ascii="Times New Roman" w:cs="Times New Roman" w:eastAsia="Times New Roman" w:hAnsi="Times New Roman"/>
          <w:sz w:val="18"/>
          <w:szCs w:val="18"/>
          <w:color w:val="auto"/>
        </w:rPr>
      </w:pPr>
    </w:p>
    <w:p>
      <w:pPr>
        <w:ind w:left="900" w:right="20" w:hanging="379"/>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nalbuphine ER for the treatment of pruritus associated with prurigo nodularis, including completing our PRISM trial and at least one additional Phase 3 clinical trial in this indication;</w:t>
      </w:r>
    </w:p>
    <w:p>
      <w:pPr>
        <w:spacing w:after="0" w:line="71" w:lineRule="exact"/>
        <w:rPr>
          <w:rFonts w:ascii="Times New Roman" w:cs="Times New Roman" w:eastAsia="Times New Roman" w:hAnsi="Times New Roman"/>
          <w:sz w:val="18"/>
          <w:szCs w:val="18"/>
          <w:color w:val="auto"/>
        </w:rPr>
      </w:pPr>
    </w:p>
    <w:p>
      <w:pPr>
        <w:ind w:left="900" w:right="300" w:hanging="379"/>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nalbuphine ER for the treatment of pruritus associated with prurigo nodularis or for other serious neurologically mediated conditions or for any future product candidate that successfully completes clinical trials, if any;</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any post-approval commitments, including a pediatric development plan;</w:t>
      </w:r>
    </w:p>
    <w:p>
      <w:pPr>
        <w:spacing w:after="0" w:line="117"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760" w:hanging="379"/>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nalbuphine ER or any future product candidate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rights to other potential product candidates or technologies;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research, preclinical and clinical development efforts for any future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regulatory and scientific personnel;</w:t>
      </w:r>
    </w:p>
    <w:p>
      <w:pPr>
        <w:spacing w:after="0" w:line="117"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development program for nalbuphine ER and for any future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5" w:name="page36"/>
    <w:bookmarkEnd w:id="35"/>
    <w:p>
      <w:pPr>
        <w:ind w:firstLine="518"/>
        <w:spacing w:after="0" w:line="253"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significant revenue unless and until we are able to obtain marketing approval for, and successfully commercialize, nalbuphine ER or any future product candidate. Successful commercialization will require achievement of key milestones, including completing clinical trials of nalbuphine ER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nalbuphine ER for the treatment of pruritus associated with prurigo nodularis, we will be required, at a minimum, to successfully complete our ongoing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9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were founded and commenced operations in 2011. Our operations to date have been limited to financing and staffing our company and conducting preclinical and clinical development of nalbuphine ER.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89"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If we are able to obtain marketing approval for nalbuphine ER or any future product candidate, we will need to transition from a company focused on clinical development to a company capable of supporting commercial activities. We may not be successful in effectuating such a transition.</w:t>
      </w:r>
    </w:p>
    <w:p>
      <w:pPr>
        <w:spacing w:after="0" w:line="176"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nine months ended September 30, 2019 and in the years ended December 31, 2018 and 2017, we used net cash of $16.9 million, $18.3 million and $8.0 million, respectively, in our operating activities, substantially all of which related to development activities for nalbuphine ER. As of September 30, 2019, our cash and cash equivalents were $63.5 million. We expect our expenses to increase substantially in connection with our ongoing activities, particularly as we continue to develop and conduct clinical trials of nalbuphine ER, including our ongoing PRISM trial and the additional Phase 3 clinical trial we will need to conduct for nalbuphine ER for the treatment of pruritus associated with prurigo nodularis, acquire or in-license rights to other potential product candidates or technologies and seek regulatory and marketing approvals for nalbuphine ER or any future product candidate that successfully completes clinical trials, if any. In addition, if we obtain marketing approval for nalbuphine ER or any future product candidate, we may incur significant commercialization expenses related to product sales, marketing, manufacturing and distribution. For instance, we currently intend to commercialize nalbuphine ER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6" w:name="page37"/>
    <w:bookmarkEnd w:id="36"/>
    <w:p>
      <w:pPr>
        <w:ind w:firstLine="518"/>
        <w:spacing w:after="0" w:line="255" w:lineRule="auto"/>
        <w:rPr>
          <w:sz w:val="20"/>
          <w:szCs w:val="20"/>
          <w:color w:val="auto"/>
        </w:rPr>
      </w:pPr>
      <w:r>
        <w:rPr>
          <w:rFonts w:ascii="Times New Roman" w:cs="Times New Roman" w:eastAsia="Times New Roman" w:hAnsi="Times New Roman"/>
          <w:sz w:val="18"/>
          <w:szCs w:val="18"/>
          <w:color w:val="auto"/>
        </w:rPr>
        <w:t>We plan to use our existing cash and cash equivalents, to fund the development of nalbuphine ER for the treatment of pruritus associated with prurigo nodularis, to fund the development of nalbuphine ER for other serious neurologically mediated conditions and for working capital and other general corporate purposes. We will be required to expend significant funds in order to advance the development of nalbuphine ER in multiple indications, as well as any future product candidates we may seek to develop. Our existing cash and cash equivalents will not be sufficient to complete development of nalbuphine ER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5"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expenditure requirements through at least the end of the first quarter of 2021.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6" w:lineRule="exact"/>
        <w:rPr>
          <w:sz w:val="20"/>
          <w:szCs w:val="20"/>
          <w:color w:val="auto"/>
        </w:rPr>
      </w:pPr>
    </w:p>
    <w:p>
      <w:pPr>
        <w:ind w:left="900" w:right="20" w:hanging="379"/>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nalbuphine ER for the treatment of pruritus associated with prurigo nodularis, including the results of the sample size re-estimation for our ongoing Phase 2b/3 PRISM trial that we expect will take place in mid-2020 as well as the scope, progress, timing, costs and results of clinical trials of nalbuphine ER for other serious neurologically mediated conditions, as well as any future product candidates;</w:t>
      </w:r>
    </w:p>
    <w:p>
      <w:pPr>
        <w:spacing w:after="0" w:line="71"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nalbuphine ER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900" w:right="38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53"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nalbuphine ER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jc w:val="both"/>
        <w:ind w:left="900" w:right="20" w:hanging="379"/>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nalbuphine ER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68" w:lineRule="exact"/>
        <w:rPr>
          <w:rFonts w:ascii="Times New Roman" w:cs="Times New Roman" w:eastAsia="Times New Roman" w:hAnsi="Times New Roman"/>
          <w:sz w:val="18"/>
          <w:szCs w:val="18"/>
          <w:color w:val="auto"/>
        </w:rPr>
      </w:pPr>
    </w:p>
    <w:p>
      <w:pPr>
        <w:ind w:left="900" w:right="660" w:hanging="379"/>
        <w:spacing w:after="0" w:line="313"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of marketing approvals, revenue, if any, received from commercial sales of nalbuphine ER for the treatment of pruritus associated with prurigo nodularis or for any other serious neurologically mediated conditions or from any future product candidates;</w:t>
      </w:r>
    </w:p>
    <w:p>
      <w:pPr>
        <w:spacing w:after="0" w:line="30" w:lineRule="exact"/>
        <w:rPr>
          <w:rFonts w:ascii="Times New Roman" w:cs="Times New Roman" w:eastAsia="Times New Roman" w:hAnsi="Times New Roman"/>
          <w:sz w:val="17"/>
          <w:szCs w:val="17"/>
          <w:color w:val="auto"/>
        </w:rPr>
      </w:pPr>
    </w:p>
    <w:p>
      <w:pPr>
        <w:ind w:left="900" w:right="220" w:hanging="379"/>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nalbuphine ER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68"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establish a commercial infrastructure;</w:t>
      </w:r>
    </w:p>
    <w:p>
      <w:pPr>
        <w:spacing w:after="0" w:line="117" w:lineRule="exact"/>
        <w:rPr>
          <w:rFonts w:ascii="Times New Roman" w:cs="Times New Roman" w:eastAsia="Times New Roman" w:hAnsi="Times New Roman"/>
          <w:sz w:val="18"/>
          <w:szCs w:val="18"/>
          <w:color w:val="auto"/>
        </w:rPr>
      </w:pPr>
    </w:p>
    <w:p>
      <w:pPr>
        <w:ind w:left="900" w:right="460" w:hanging="379"/>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included a “going concern” explanatory paragraph.</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as of and for the year ended December 31, 2018 that was issued prior to our initial public offering included an explanatory paragraph indicating that there was substantial doubt about our ability to continue as a going concern. Given our planned expenditures, including expenditures in connection with our clinical trials of nalbuphine ER, our independent registered public accounting firm may conclude, in connection with the audit of our financial statements for the year ended December 31, 2019 or any other subsequent period, that there is substantial doubt regarding our ability to continue as a going concern.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may materially adversely affect our share price and our ability to raise new capital, enter into critical contractual relations with third parties and otherwise execute our development strategy.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planned operations, particularly as we conduct our ongoing PRISM trial as well as the additional Phase 3 clinical trial we will need to conduct for nalbuphine ER for the treatment of pruritus associated with prurigo nodularis and develop nalbuphine ER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Securing financing could also require a substantial amount of time from our management and may divert a disproportionate amount of their attention away from daily activities, which may adversely affect our management’s ability to oversee the development of nalbuphine ER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Nalbuphine ER and Any Future Product Candidates</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development and commercialization of nalbuphine ER, our sole product candidate. If we are unable to complete the clinical development of, obtain marketing approval for or successfully commercialize nalbuphine ER, or if we experience significant delays in doing so, our business would be substantially harmed.</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have no products approved for sale and are investing substantially all of our efforts and financial resources to fund the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nalbuphine ER for multiple serious neurologically mediated conditions. Our prospects are dependent on our ability to develop, obtain marketing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successfully commercialize nalbuphine ER in one or more indications as we currently have no other product candidates under development. We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 or in-license rights to other potential product candidates or technologies in the future, but we are currently not developing any other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most advanced program for nalbuphine ER is our program to develop nalbuphine ER for the treatment of pruritus associated with prurigo nodularis, as our efforts to develop nalbuphine ER for other serious neurologically mediated conditions are only at an early stage. As a result, if our efforts to develop and commercialize nalbuphine ER for the treatment of pruritus associated with prurigo nodularis are unsuccessful, or we experience significant delays in doing so, our business could also be substantially harmed.</w:t>
      </w:r>
    </w:p>
    <w:p>
      <w:pPr>
        <w:spacing w:after="0" w:line="18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success of nalbuphine ER for the treatment of pruritus associated with prurigo nodularis, as well as for other serious neurologically mediated conditions, will depend on several factors, including the following:</w:t>
      </w:r>
    </w:p>
    <w:p>
      <w:pPr>
        <w:spacing w:after="0" w:line="54" w:lineRule="exact"/>
        <w:rPr>
          <w:sz w:val="20"/>
          <w:szCs w:val="20"/>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recruiting, enrolling and retaining patients in and completing our PRISM trial;</w:t>
      </w:r>
    </w:p>
    <w:p>
      <w:pPr>
        <w:spacing w:after="0" w:line="117" w:lineRule="exact"/>
        <w:rPr>
          <w:rFonts w:ascii="Times New Roman" w:cs="Times New Roman" w:eastAsia="Times New Roman" w:hAnsi="Times New Roman"/>
          <w:sz w:val="18"/>
          <w:szCs w:val="18"/>
          <w:color w:val="auto"/>
        </w:rPr>
      </w:pPr>
    </w:p>
    <w:p>
      <w:pPr>
        <w:ind w:left="900" w:right="220" w:hanging="379"/>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successfully recruiting, enrolling and retaining patients in and completing additional clinical and nonclinical trials, including the additional Phase 3 clinical trial we will need to conduct for nalbuphine ER for the treatment of pruritus associated with prurigo nodularis and other supportive clinical studies such as our planned HAL study and TQT studies;</w:t>
      </w:r>
    </w:p>
    <w:p>
      <w:pPr>
        <w:spacing w:after="0" w:line="68"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and other comparable regulatory authorities for marketing approval;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38" w:name="page39"/>
    <w:bookmarkEnd w:id="38"/>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extent and cost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suppliers of drug substance for nalbuphine ER;</w:t>
      </w:r>
    </w:p>
    <w:p>
      <w:pPr>
        <w:spacing w:after="0" w:line="117" w:lineRule="exact"/>
        <w:rPr>
          <w:rFonts w:ascii="Times New Roman" w:cs="Times New Roman" w:eastAsia="Times New Roman" w:hAnsi="Times New Roman"/>
          <w:sz w:val="18"/>
          <w:szCs w:val="18"/>
          <w:color w:val="auto"/>
        </w:rPr>
      </w:pPr>
    </w:p>
    <w:p>
      <w:pPr>
        <w:ind w:left="900" w:right="10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of nalbuphine ER, including 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United States and other countries;</w:t>
      </w:r>
    </w:p>
    <w:p>
      <w:pPr>
        <w:spacing w:after="0" w:line="117" w:lineRule="exact"/>
        <w:rPr>
          <w:rFonts w:ascii="Times New Roman" w:cs="Times New Roman" w:eastAsia="Times New Roman" w:hAnsi="Times New Roman"/>
          <w:sz w:val="18"/>
          <w:szCs w:val="18"/>
          <w:color w:val="auto"/>
        </w:rPr>
      </w:pPr>
    </w:p>
    <w:p>
      <w:pPr>
        <w:ind w:left="900" w:right="30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focused, specialty sales organization in the United States and successfully launching commercial sales following any marketing approval;</w:t>
      </w:r>
    </w:p>
    <w:p>
      <w:pPr>
        <w:spacing w:after="0" w:line="53"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25"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nalbuphine ER, or if we experience delays as a result of any of these factors or otherwise, our business would be substantially harmed.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development and commercialization of nalbuphine ER to treat serious neurologically mediated conditions is unproven.</w:t>
      </w:r>
    </w:p>
    <w:p>
      <w:pPr>
        <w:spacing w:after="0" w:line="121" w:lineRule="exact"/>
        <w:rPr>
          <w:sz w:val="20"/>
          <w:szCs w:val="20"/>
          <w:color w:val="auto"/>
        </w:rPr>
      </w:pPr>
    </w:p>
    <w:p>
      <w:pPr>
        <w:ind w:firstLine="518"/>
        <w:spacing w:after="0" w:line="270" w:lineRule="auto"/>
        <w:rPr>
          <w:sz w:val="20"/>
          <w:szCs w:val="20"/>
          <w:color w:val="auto"/>
        </w:rPr>
      </w:pPr>
      <w:r>
        <w:rPr>
          <w:rFonts w:ascii="Times New Roman" w:cs="Times New Roman" w:eastAsia="Times New Roman" w:hAnsi="Times New Roman"/>
          <w:sz w:val="17"/>
          <w:szCs w:val="17"/>
          <w:color w:val="auto"/>
        </w:rPr>
        <w:t>We are currently focused on the development and commercialization of nalbuphine ER to treat serious neurologically mediated conditions. Nalbuphine ER is an oral extended release formulation of nalbuphine,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nalbuphine ER. While we believe that nalbuphine’s dual mechanism of action, which targets both the central and peripheral nervous systems, makes nalbuphine ER a promising potential therapy for the treatment of chronic pruritus and other serious neurologically mediated conditions, and that nalbuphine ER has the potential to be safe and well-tolerated, nalbuphine has not been approved in any indications other than pain. Additionally, nalbuphine ER has not been approved in any indication, including the treatment of pruritus associated with prurigo nodularis, the lead indication for which we are pursuing clinical development of nalbuphine ER. No therapies have been approved in the United States or Europe for the treatment of moderate to severe pruritus, and we can provide no assurance that either nalbuphine ER or any other future product candidate that we may seek to develop for this indication or for any other serious neurologically mediated condition will be effective or safe, obtain regulatory approval or be commercially successful.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nalbuphine ER and any future product candidate in humans and complete required regulatory submissions before we will be able to obtain these approvals. We may never receive such approvals.</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The clinical development of nalbuphine ER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nalbuphine ER or any future product candidate, including:</w:t>
      </w:r>
    </w:p>
    <w:p>
      <w:pPr>
        <w:spacing w:after="0" w:line="72" w:lineRule="exact"/>
        <w:rPr>
          <w:sz w:val="20"/>
          <w:szCs w:val="20"/>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unfavorable or inconclusive results;</w:t>
      </w:r>
    </w:p>
    <w:p>
      <w:pPr>
        <w:spacing w:after="0" w:line="117" w:lineRule="exact"/>
        <w:rPr>
          <w:rFonts w:ascii="Times New Roman" w:cs="Times New Roman" w:eastAsia="Times New Roman" w:hAnsi="Times New Roman"/>
          <w:sz w:val="18"/>
          <w:szCs w:val="18"/>
          <w:color w:val="auto"/>
        </w:rPr>
      </w:pPr>
    </w:p>
    <w:p>
      <w:pPr>
        <w:ind w:left="900" w:right="300" w:hanging="379"/>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restructure clinical trials, conduct additional clinical and nonclinical trials or abandon product development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ind w:left="900" w:right="200" w:hanging="379"/>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patient enrollment in these clinical trials may be slower than we anticipate or participants may discontinue their participation in these clinical trials at a higher rate than we anticipate, as we experienced in our Phase 2 clinical trial of nalbuphine ER for the treatment of pruritus associated with prurigo nodularis;</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may be greater than we anticipate;</w:t>
      </w:r>
    </w:p>
    <w:p>
      <w:pPr>
        <w:spacing w:after="0" w:line="117" w:lineRule="exact"/>
        <w:rPr>
          <w:rFonts w:ascii="Times New Roman" w:cs="Times New Roman" w:eastAsia="Times New Roman" w:hAnsi="Times New Roman"/>
          <w:sz w:val="18"/>
          <w:szCs w:val="18"/>
          <w:color w:val="auto"/>
        </w:rPr>
      </w:pPr>
    </w:p>
    <w:p>
      <w:pPr>
        <w:ind w:left="900" w:right="120" w:hanging="379"/>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68" w:lineRule="exact"/>
        <w:rPr>
          <w:rFonts w:ascii="Times New Roman" w:cs="Times New Roman" w:eastAsia="Times New Roman" w:hAnsi="Times New Roman"/>
          <w:sz w:val="18"/>
          <w:szCs w:val="18"/>
          <w:color w:val="auto"/>
        </w:rPr>
      </w:pPr>
    </w:p>
    <w:p>
      <w:pPr>
        <w:ind w:left="900" w:right="46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20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240" w:hanging="379"/>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68" w:lineRule="exact"/>
        <w:rPr>
          <w:rFonts w:ascii="Times New Roman" w:cs="Times New Roman" w:eastAsia="Times New Roman" w:hAnsi="Times New Roman"/>
          <w:sz w:val="18"/>
          <w:szCs w:val="18"/>
          <w:color w:val="auto"/>
        </w:rPr>
      </w:pPr>
    </w:p>
    <w:p>
      <w:pPr>
        <w:ind w:left="900" w:right="520" w:hanging="379"/>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delay, suspend or terminate clinical trials for various reasons, including a finding that the participants are being exposed to unacceptable health risks, undesirable side effects, insufficient efficacy at any planned statistical re-estimations, or other unexpected characteristics of a product candidate;</w:t>
      </w:r>
    </w:p>
    <w:p>
      <w:pPr>
        <w:spacing w:after="0" w:line="68" w:lineRule="exact"/>
        <w:rPr>
          <w:rFonts w:ascii="Times New Roman" w:cs="Times New Roman" w:eastAsia="Times New Roman" w:hAnsi="Times New Roman"/>
          <w:sz w:val="18"/>
          <w:szCs w:val="18"/>
          <w:color w:val="auto"/>
        </w:rPr>
      </w:pPr>
    </w:p>
    <w:p>
      <w:pPr>
        <w:ind w:left="900" w:right="180" w:hanging="379"/>
        <w:spacing w:after="0" w:line="26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900" w:right="28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designs or our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900" w:right="100" w:hanging="379"/>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68"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to obtain marketing approvals; and</w:t>
      </w:r>
    </w:p>
    <w:p>
      <w:pPr>
        <w:spacing w:after="0" w:line="53" w:lineRule="exact"/>
        <w:rPr>
          <w:rFonts w:ascii="Times New Roman" w:cs="Times New Roman" w:eastAsia="Times New Roman" w:hAnsi="Times New Roman"/>
          <w:sz w:val="18"/>
          <w:szCs w:val="18"/>
          <w:color w:val="auto"/>
        </w:rPr>
      </w:pPr>
    </w:p>
    <w:p>
      <w:pPr>
        <w:ind w:left="900" w:right="180" w:hanging="379"/>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76"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Under the protocol for our ongoing Phase 2b/3 PRISM trial, once 50% of the patients are evaluable for the primary efficacy endpoint, an unblinded statistician for the trial will review the appropriate data, perform a sample size re-estimation and advise us on whether we should increase the number of patients in the trial or if we should stop the trial due to insufficient efficacy. If we determine to increase the number of patients in the trial based on the re-estimation, the costs of the trial may increase, the results of the trial may be delayed, and we may need to raise additional funds or divert resources from and delay our other programs to complete the trial.</w:t>
      </w:r>
    </w:p>
    <w:p>
      <w:pPr>
        <w:spacing w:after="0" w:line="184"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nalbuphine ER or any future product candidate beyond the trials and testing that we contemplate, we are unable to successfully and timely complete clinical trials or other testing of nalbuphine ER or any future product candidate, the results of these trials or tests are unfavorable, uncertain or are only modestly favorable or there are unacceptable safety concerns associated with the product candidate, we may:</w:t>
      </w:r>
    </w:p>
    <w:p>
      <w:pPr>
        <w:spacing w:after="0" w:line="72" w:lineRule="exact"/>
        <w:rPr>
          <w:sz w:val="20"/>
          <w:szCs w:val="20"/>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 which may exceed the resources that we have available or are able to obtain on reasonable terms;</w:t>
      </w:r>
    </w:p>
    <w:p>
      <w:pPr>
        <w:spacing w:after="0" w:line="117" w:lineRule="exact"/>
        <w:rPr>
          <w:rFonts w:ascii="Times New Roman" w:cs="Times New Roman" w:eastAsia="Times New Roman" w:hAnsi="Times New Roman"/>
          <w:sz w:val="18"/>
          <w:szCs w:val="18"/>
          <w:color w:val="auto"/>
        </w:rPr>
      </w:pPr>
    </w:p>
    <w:p>
      <w:pPr>
        <w:jc w:val="both"/>
        <w:ind w:left="900" w:hanging="379"/>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marketing approval at all;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we originally intended or desired;</w:t>
      </w:r>
    </w:p>
    <w:p>
      <w:pPr>
        <w:spacing w:after="0" w:line="117"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22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Our failure to successfully and timely complete clinical trials of nalbuphine ER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nalbuphine ER or any future product candidates, which would likely prevent or delay regulatory approval and commercialization.</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nalbuphine ER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nalbuphine ER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nalbuphine ER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nalbuphine ER or any future product candidate that is greater than the actual positive effect, if any. Similarly, in our clinical trials we may fail to detect toxicity of, or intolerability caused by, nalbuphine ER or any future product candidate, or mistakenly believe that nalbuphine ER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nalbuphine ER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99"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In addition, even if the clinical trials we plan are successfully completed and nalbuphine ER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nalbuphine ER for the treatment of pruritus associated with prurigo nodularis, the FDA raised the need to adequately isolate a patient population with pruritus associated with prurigo nodularis for our planned Phase 3 clinical trials. While the inclusion criteria in our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nalbuphine ER does not achieve the primary endpoint in our PRISM trial, or the FDA does not otherwise believe that the results of the trial are sufficiently supportive of an application for marketing approval, the FDA may require us to conduct another Phase 3 clinical trial in addition to the PRISM trial and the additional Phase 3 clinical trial we plan to conduct, which would cause us to incur substantial additional costs and significantly delay our development of nalbuphine ER for the treatment of pruritus associated with prurigo nodularis.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1" w:name="page42"/>
    <w:bookmarkEnd w:id="41"/>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patient-reported outcome assessments, or PROs, in our clinical trials and high placebo response rates may delay or impair the development of nalbuphine ER or adversely impact our clinical trials.</w:t>
      </w:r>
    </w:p>
    <w:p>
      <w:pPr>
        <w:spacing w:after="0" w:line="5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Due to the difficulty of objectively measuring pruritus, the assessment of pruritus in clinical trials typically involves the use of PROs. Our clinical trials evaluating the efficacy of nalbuphine ER in pruritus indications have used PROs as primary endpoints. For example, the primary endpoint of our Phase 2 clinical trial of nalbuphine ER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8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addition, PROs for the assessment of pruritus have historically been observed to have high placebo group response rates. We observed this in some of our clinical trials of nalbuphine ER. For example, in our Phase 2 clinical trial of nalbuphine ER for the treatment of pruritus associated with prurigo nodularis, we observed a mean reduction from baseline in WI-NRS score for the trial’s modified intention-to-treat population of 1.75 points for placebo as compared to 2.14 points for nalbuphine ER dosed twice-daily at 81 mg and 2.51 points for nalbuphine ER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8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variability of PRO measures and related high placebo response rates have adversely impacted clinical results of other therapies being tested for pruritus and could adversely impact our clinical development of nalbuphine ER. The FDA could also require changes in the PROs we are currently using or indicate that the PROs we are using are insufficient for demonstrating efficacy in pruritus, potentially delaying clinical development of nalbuphine ER, increasing our costs and making additional clinical trials necessary.</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nalbuphine ER or any future product candidate may be identified during development and could delay or prevent the marketing approval or limit the use of nalbuphine ER or any future product candidate.</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nalbuphine ER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addition, nalbuphine ER,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nalbuphine ER to date. μ-opioid receptor antagonists have the potential to precipitate withdrawal effects in patients, including drug addicts, and are associated with respiratory depression and potential cardiac risk. The drug label for nalbuphine, the active ingredient in nalbuphine ER, carries an opioid class label warning for serious, life-threatening or fatal respiratory depression, and nalbuphine ER, if approved for marketing in any indication, will likely carry a similar opioid class label. To support our planned submission of an NDA to the FDA for nalbuphine ER, we will be required to conduct a clinical trial of nalbuphine ER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2" w:name="page43"/>
    <w:bookmarkEnd w:id="42"/>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our Phase 2 clinical trial of nalbuphine ER for the treatment of pruritus associated with prurigo nodularis, the most frequently reported adverse events associated with nalbuphine ER were nausea, dizziness and headache. In the open label extension of the trial, nausea, dizziness and fatigue were reported. Across both the Phase 2 clinical trial of nalbuphine ER for the treatment of pruritus associated with prurigo nodularis and the open label extension, a total of four patients reported SAEs, but none of these events was attributed to nalbuphine ER.</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our Phase 2b/3 trial of nalbuphine ER in patients with uremic pruritus, the most frequently reported adverse events attributed to nalbuphine ER were nausea, vomiting, somnolence and dizziness. In patients with uremic pruritus, SAEs were frequent but were primarily related to associated underlying diseases or to procedural complications related to hemodialysis.</w:t>
      </w:r>
    </w:p>
    <w:p>
      <w:pPr>
        <w:spacing w:after="0" w:line="176" w:lineRule="exact"/>
        <w:rPr>
          <w:sz w:val="20"/>
          <w:szCs w:val="20"/>
          <w:color w:val="auto"/>
        </w:rPr>
      </w:pPr>
    </w:p>
    <w:p>
      <w:pPr>
        <w:jc w:val="both"/>
        <w:ind w:right="120" w:firstLine="518"/>
        <w:spacing w:after="0" w:line="258" w:lineRule="auto"/>
        <w:rPr>
          <w:sz w:val="20"/>
          <w:szCs w:val="20"/>
          <w:color w:val="auto"/>
        </w:rPr>
      </w:pPr>
      <w:r>
        <w:rPr>
          <w:rFonts w:ascii="Times New Roman" w:cs="Times New Roman" w:eastAsia="Times New Roman" w:hAnsi="Times New Roman"/>
          <w:sz w:val="18"/>
          <w:szCs w:val="18"/>
          <w:color w:val="auto"/>
        </w:rPr>
        <w:t>If nalbuphine ER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2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currently approved µ-opioid products are subject to restrictive marketing and distribution regulations which, if applied to nalbuphine ER, could potentially restrict its use and harm our ability to generate profits.</w:t>
      </w:r>
    </w:p>
    <w:p>
      <w:pPr>
        <w:spacing w:after="0" w:line="5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nalbuphine ER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nalbuphine ER may carry risks of misuse, abuse or addiction, or even if the trial indicates that nalbuphine ER does not carry such risks, the FDA may require us to implement a REMS program in connection with any commercialization of nalbuphine ER. We cannot predict whether a REMS program would be required as part of FDA approval of nalbuphine ER and, if required, what requirements it might entail. Any limitations on approval or marketing could restrict the commercial promotion, distribution, prescription or dispensation of nalbuphine ER, if approved. If a REMS program is required, depending on the extent of the REMS requirements, the program might significantly increase our costs to commercialize nalbuphine ER. Furthermore, risks of nalbuphine ER that are not adequately addressed through a proposed REMS program for nalbuphine ER may also prevent or delay any approval for commercialization.</w:t>
      </w:r>
    </w:p>
    <w:p>
      <w:pPr>
        <w:spacing w:after="0" w:line="19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nalbuphine ER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nalbuphine ER as a controlled substance under different, but potentially no less burdensome, regulations.</w:t>
      </w:r>
    </w:p>
    <w:p>
      <w:pPr>
        <w:spacing w:after="0" w:line="193"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If nalbuphine ER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nalbuphine ER is classified as a controlled substance, there is a risk that such regulations could limit its supply for use in clinical trials and, in the future, limit our ability to produce and distribute nalbuphine ER in the volume needed to meet potential commercial demand.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nalbuphine ER is classified as a controlled substance, failure to obtain and maintain required registrations or comply with any applicable regulations could delay or preclude us from developing and commercializing nalbuphine ER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nalbuphine ER is classified as a controlled substance, depending on how it is scheduled, its commercial prospects could be limited.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clinical trials may not be predictive of results of later clinical trials.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outcome of preclinical studies and clinical trials may not be predictive of the success of later clinical trials, and preliminary or interim results of clinical trials do not necessarily predict final results. For instance, nalbuphine ER or any future product candidate may fail to show the desired safety and efficacy in clinical development despite demonstrating positive results in preclinical studies or successfully advancing through Phase 1 and Phase 2 clinical trials.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8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At a meeting with the FDA following the completion of our Phase 2 clinical trial of nalbuphine ER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PRISM trial.</w:t>
      </w:r>
    </w:p>
    <w:p>
      <w:pPr>
        <w:spacing w:after="0" w:line="188"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PRISM trial based on an assumed discontinuation rate that takes into account observed discontinuation rates in our Phase 2 clinical trial of nalbuphine ER for the treatment of pruritus associated with prurigo nodularis. If enrolled patients withdraw from our PRISM trial at a rate that is higher than expected, as occurred in our Phase 2 clinical trial of nalbuphine ER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nalbuphine ER or any future product candidate warrant marketing approval, the FDA or comparable foreign regulatory authorities may disagree and may not grant marketing approval of the product candidate.</w:t>
      </w:r>
    </w:p>
    <w:p>
      <w:pPr>
        <w:spacing w:after="0" w:line="19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addition, some of our data for nalbuphine ER for the treatment of pruritus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our Phase 2 clinical trials of nalbuphine ER in patients with prurigo nodularis and uremic pruritus. While we believe these data may be useful in informing the design of our PRISM trial and other future Phase 3 clinical trials for nalbuphine ER,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18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nalbuphine ER or any future product candidate, the development timeline and regulatory approval and commercialization prospects for those product candidates and, correspondingly, our business and financial prospects would be negatively impacted.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nalbuphine ER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68" w:lineRule="exact"/>
        <w:rPr>
          <w:sz w:val="20"/>
          <w:szCs w:val="20"/>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eligible patient population;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eligible patients to clinical sites;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17" w:lineRule="exact"/>
        <w:rPr>
          <w:rFonts w:ascii="Times New Roman" w:cs="Times New Roman" w:eastAsia="Times New Roman" w:hAnsi="Times New Roman"/>
          <w:sz w:val="18"/>
          <w:szCs w:val="18"/>
          <w:color w:val="auto"/>
        </w:rPr>
      </w:pPr>
    </w:p>
    <w:p>
      <w:pPr>
        <w:ind w:left="900" w:right="180" w:hanging="379"/>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particular, the successful completion of our clinical development program for nalbuphine ER for the treatment of pruritus associated with prurigo nodularis is dependent upon our ability to enroll a sufficient number of patients with this severe condition. We have experienced delays and difficulties in the enrollment of patients in our clinical trials, including our PRISM trial. We have taken actions to increase enrollment, including increasing the number of clinical sites and closing underperforming sites. However, these actions may not be successful. Other companies are conducting clinical trials or have announced plans for future clinical trials that are seeking, or are likely to seek, to enroll patients with prurigo nodularis,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85" w:lineRule="exact"/>
        <w:rPr>
          <w:sz w:val="20"/>
          <w:szCs w:val="20"/>
          <w:color w:val="auto"/>
        </w:rPr>
      </w:pPr>
    </w:p>
    <w:p>
      <w:pPr>
        <w:ind w:right="40" w:firstLine="518"/>
        <w:spacing w:after="0" w:line="281"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nalbuphine ER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269" w:lineRule="exact"/>
        <w:rPr>
          <w:sz w:val="20"/>
          <w:szCs w:val="20"/>
          <w:color w:val="auto"/>
        </w:rPr>
      </w:pPr>
    </w:p>
    <w:p>
      <w:pPr>
        <w:jc w:val="both"/>
        <w:ind w:right="4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nalbuphine ER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6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72" w:lineRule="exact"/>
        <w:rPr>
          <w:sz w:val="20"/>
          <w:szCs w:val="20"/>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the product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5" w:name="page46"/>
    <w:bookmarkEnd w:id="45"/>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nalbuphine ER or any future product candidate receives marketing approval, it may fail to achieve the degree of market acceptance by physicians, patients, third-party payors and others in the medical community necessary for commercial success, in which case the market opportunity for nalbuphine ER may be smaller than we estimate and we may not generate significant revenues or become profitable.</w:t>
      </w:r>
    </w:p>
    <w:p>
      <w:pPr>
        <w:spacing w:after="0" w:line="67" w:lineRule="exact"/>
        <w:rPr>
          <w:sz w:val="20"/>
          <w:szCs w:val="20"/>
          <w:color w:val="auto"/>
        </w:rPr>
      </w:pPr>
    </w:p>
    <w:p>
      <w:pPr>
        <w:ind w:right="340" w:firstLine="518"/>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nalbuphine ER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88"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nalbuphine ER or any future product candidate may require significant resources and may not be successful. If nalbuphine ER or any future product candidate is approved but does not achieve an adequate level of market acceptance, we may not generate significant revenues and we may not become profitable. The degree of market acceptance of nalbuphine ER or any future product candidate, if approved for commercial sale, will depend on a number of factors, including:</w:t>
      </w:r>
    </w:p>
    <w:p>
      <w:pPr>
        <w:spacing w:after="0" w:line="72" w:lineRule="exact"/>
        <w:rPr>
          <w:sz w:val="20"/>
          <w:szCs w:val="20"/>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compared to other therapies;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DEA could determine that nalbuphine ER should be classified as a controlled substance;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for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6" w:name="page47"/>
    <w:bookmarkEnd w:id="46"/>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nalbuphine ER for the treatment of pruritus associated with prurigo nodularis as our lead program. However, the development of nalbuphine ER for this indication may ultimately prove to be unsuccessful or less successful than another product candidate or other indications that we might have chosen to pursue with our limited resources.</w:t>
      </w:r>
    </w:p>
    <w:p>
      <w:pPr>
        <w:spacing w:after="0" w:line="18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nalbuphine ER or any future product candidates if and when they are approved.</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nalbuphine ER receives marketing approval from the FDA in any of our target indications, we believe we will have the opportunity to commercialize it in the United States directly through our own focused, specialty sales organization. If nalbuphine ER receives marketing approval outside the United States, we may develop a variety of collaboration, distribution and other marketing arrangements with one or more third parties to commercialize the product in those markets.</w:t>
      </w:r>
    </w:p>
    <w:p>
      <w:pPr>
        <w:spacing w:after="0" w:line="18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certain indications and markets, we may seek to enter into collaborations that we believe may contribute to our ability to advance development and ultimately commercialize nalbuphine ER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nalbuphine ER or any future product candidate that we may seek to develop or commercialize. Our competitors may succeed in developing, acquiring or licensing technologies and products that are more effective, have fewer or more tolerable side effects or are more convenient or less costly than nalbuphine ER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8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If nalbuphine ER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 prescription medicine approved for atopic dermatitis, gabapentin and Lyrica (pregabalin), which are prescription medicines approved for the treatment of seizures and neuropathic pain, naltrexone and UVB light therapy. We also expect that nalbuphine ER might compete with product candidates currently in clinical development in this indication, including serlopitant, an oral neurokinin-1 receptor antagonist being developed by Menlo Therapeutics that is in Phase 3 clinical trials;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nalbuphine ER, if approved for the treatment of pruritus associated with prurigo nodularis could face competition from these product candidates, including tradipitant, an oral neurokinin-1 receptor antagonist being developed by Vanda Pharmaceuticals that is in Phase 3 clinical trials for chronic pruritus in patients with atopic dermatitis.</w:t>
      </w:r>
    </w:p>
    <w:p>
      <w:pPr>
        <w:spacing w:after="0" w:line="18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If nalbuphine ER is approved for the treatment of pruritus associated with primary biliary cholangitis, or PBC, we expect that it would compete with a number of therapeutics that are used off-label to treat pruritus associated with chronic liver disease, including PBC, which may include bile acid sequestrants, such as cholestyramine, which are used off-label and generally as first-line therapy, although they typically provide only modest relief. Cholestyramine is marketed as Questran in the United States and as Colestyr, Efensol, Ipocol, Kolestran, Lipocol, Olestyr, Prevalite or Quantalan in various other countries. Treatment of pruritus associated with chronic liver disease, including PBC, may also include second-line therapies such as the antibiotic rifampicin, naltrexone, the anti-depressant sertraline, as well as phototherapy and drugs such as gabapentin and Lyrica (pregabalin), which are prescription medicines approved for the treatment of seizures and neuropathic pain. We also expect that nalbuphine ER might compete with product candidates currently in clinical development in this indication, including Korsuva (difelikefalin), an orally administered κ-opioid receptor agonist being developed by Cara Therapeutics, and linerixibat, an ileal bile acid transporter inhibitor being developed by GlaxoSmithKline, both of which are in Phase 2 clinical trials for pruritus associated with PBC. In addition, it is possible that therapies to reduce chronic liver disease, such as ursodeoxycholic acid, which is approved for the treatment of PBC, could reduce the need for therapies to treat pruritus associated with chronic liver disease, including PBC.</w:t>
      </w:r>
    </w:p>
    <w:p>
      <w:pPr>
        <w:spacing w:after="0" w:line="193"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If nalbuphine ER is approved for the treatment of chronic cough associated with idiopathic pulmonary fibrosis, or IPF, we expect that it would compete with product candidates currently in development for the treatment of chronic cough, such as RVT-1601, a formulation of cromolyn sodium being developed by Respivant Sciences, and expect that it might also compete with other product candidates currently in development for the treatment of chronic cough by companies including Merck, Shinogi, Bellus Therapeutics and Nerre Therapeutics. In addition, it is possible that product candidates currently in development for the treatment of IPF could, if approved, reduce the need for therapies to treat chronic cough associated with IPF.</w:t>
      </w:r>
    </w:p>
    <w:p>
      <w:pPr>
        <w:spacing w:after="0" w:line="184"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If nalbuphine ER is approved for the treatment of levodopa-induced dyskinesia, or LID, in patients with Parkinson’s disease, we expect that it would compete with Gocovri, and Osmolex, both extended release capsule formulation of amantadine marketed respectively by Adamas Pharmaceuticals and Osmotica, and expect that it might also compete with other product candidates currently in development for the treatment of LID by companies including Lundbeck, Addex Therapeutics and IRLAB Therapeutics. In addition, it is possible that product candidates currently in development for the treatment of Parkinson’s disease by companies could, if approved, reduce the need for therapies to treat LID.</w:t>
      </w:r>
    </w:p>
    <w:p>
      <w:pPr>
        <w:spacing w:after="0" w:line="184"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67"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85"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6" w:lineRule="exact"/>
        <w:rPr>
          <w:sz w:val="20"/>
          <w:szCs w:val="20"/>
          <w:color w:val="auto"/>
        </w:rPr>
      </w:pPr>
    </w:p>
    <w:p>
      <w:pPr>
        <w:ind w:right="820" w:firstLine="518"/>
        <w:spacing w:after="0" w:line="282" w:lineRule="auto"/>
        <w:rPr>
          <w:sz w:val="20"/>
          <w:szCs w:val="20"/>
          <w:color w:val="auto"/>
        </w:rPr>
      </w:pPr>
      <w:r>
        <w:rPr>
          <w:rFonts w:ascii="Times New Roman" w:cs="Times New Roman" w:eastAsia="Times New Roman" w:hAnsi="Times New Roman"/>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26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8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9" w:name="page50"/>
    <w:bookmarkEnd w:id="49"/>
    <w:p>
      <w:pPr>
        <w:ind w:right="20"/>
        <w:spacing w:after="0" w:line="281" w:lineRule="auto"/>
        <w:rPr>
          <w:sz w:val="20"/>
          <w:szCs w:val="20"/>
          <w:color w:val="auto"/>
        </w:rPr>
      </w:pPr>
      <w:r>
        <w:rPr>
          <w:rFonts w:ascii="Times New Roman" w:cs="Times New Roman" w:eastAsia="Times New Roman" w:hAnsi="Times New Roman"/>
          <w:sz w:val="17"/>
          <w:szCs w:val="17"/>
          <w:color w:val="auto"/>
        </w:rPr>
        <w:t>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6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5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 or in-license;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nalbuphine ER or any future product candidate could be prevented or inhibited, which could harm our business, financial condition, results of operations and prospects.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nalbuphine ER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88"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91"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nalbuphine ER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9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packaging and distribution of nalbuphine ER for clinical trials, including a single supplier for the active ingredient, and expect to continue to rely on third parties for these services in connection with our future development and commercialization efforts for nalbuphine ER and any future product candidates.</w:t>
      </w:r>
    </w:p>
    <w:p>
      <w:pPr>
        <w:spacing w:after="0" w:line="67"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80" w:lineRule="exact"/>
        <w:rPr>
          <w:sz w:val="20"/>
          <w:szCs w:val="20"/>
          <w:color w:val="auto"/>
        </w:rPr>
      </w:pPr>
    </w:p>
    <w:p>
      <w:pPr>
        <w:ind w:left="900" w:right="40" w:hanging="379"/>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prioritize the supply of other companies’ products over nalbuphine ER or any future product candidates or otherwise fail to satisfactorily perform according to the terms of the agreements between us and them, or if unforeseen events in the manufacturing process arise;</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p>
      <w:pPr>
        <w:ind w:left="900" w:right="18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do not have long-term supply agreements with any of our contract manufacturers. If any of our existing manufacturers should become unavailable to us for any reason, we may incur delays in identifying or qualifying replacements. Any performance failure on the part of our contract manufacturers or the other third-party contractors that we use to store and distribute drug substance and drug product could be disruptive to our operations and delay clinical development or marketing approval of nalbuphine ER or any future product candidates of ours or commercialization of any resulting products, producing additional losses and depriving us of potential product revenue.</w:t>
      </w:r>
    </w:p>
    <w:p>
      <w:pPr>
        <w:spacing w:after="0" w:line="184"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nalbuphine ER, which could adversely impact the timing of our current and planned clinical trials and potential regulatory approval and commercialization of nalbuphine ER.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74"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If nalbuphine ER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4"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nalbuphine ER. We expect that we would be similarly dependent on third-party manufacturers of nalbuphine ER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nalbuphine ER or any future product candidate and harm our business, financial condition and results of operations.</w:t>
      </w:r>
    </w:p>
    <w:p>
      <w:pPr>
        <w:spacing w:after="0" w:line="188"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nalbuphine ER or any future product candidate may harm our future profit margins and our ability to commercialize any products that receive marketing approval on a timely and competitive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2" w:name="page53"/>
    <w:bookmarkEnd w:id="5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While we have not entered into any collaborations to date, we may seek to establish one or more collaborations for the development and commercialization of nalbuphine ER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84"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in this Quarterly Report on Form 10-Q would also apply to the activities of any such future collaborators.</w:t>
      </w:r>
    </w:p>
    <w:p>
      <w:pPr>
        <w:spacing w:after="0" w:line="26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or commercialization of nalbuphine ER or any future product candidate, our prospects with respect to those product candidates will depend in significant part on the success of those collaborations.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may seek to enter into collaborations with third parties for the development or commercialization of nalbuphine ER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a product candidate would pose a number of risks, including the following:</w:t>
      </w:r>
    </w:p>
    <w:p>
      <w:pPr>
        <w:spacing w:after="0" w:line="117" w:lineRule="exact"/>
        <w:rPr>
          <w:sz w:val="20"/>
          <w:szCs w:val="20"/>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00" w:hanging="379"/>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68"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and could decide to delay, diminish or terminate the development or commercialization of any product candidate licensed by us;</w:t>
      </w:r>
    </w:p>
    <w:p>
      <w:pPr>
        <w:spacing w:after="0" w:line="53" w:lineRule="exact"/>
        <w:rPr>
          <w:rFonts w:ascii="Times New Roman" w:cs="Times New Roman" w:eastAsia="Times New Roman" w:hAnsi="Times New Roman"/>
          <w:sz w:val="18"/>
          <w:szCs w:val="18"/>
          <w:color w:val="auto"/>
        </w:rPr>
      </w:pPr>
    </w:p>
    <w:p>
      <w:pPr>
        <w:ind w:left="900" w:right="74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3" w:name="page54"/>
    <w:bookmarkEnd w:id="53"/>
    <w:p>
      <w:pPr>
        <w:ind w:left="900" w:right="8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the product candidates under the collaboration;</w:t>
      </w:r>
    </w:p>
    <w:p>
      <w:pPr>
        <w:spacing w:after="0" w:line="53" w:lineRule="exact"/>
        <w:rPr>
          <w:rFonts w:ascii="Times New Roman" w:cs="Times New Roman" w:eastAsia="Times New Roman" w:hAnsi="Times New Roman"/>
          <w:sz w:val="18"/>
          <w:szCs w:val="18"/>
          <w:color w:val="auto"/>
        </w:rPr>
      </w:pPr>
    </w:p>
    <w:p>
      <w:pPr>
        <w:ind w:left="900" w:right="82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40" w:hanging="379"/>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36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900" w:right="94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engage in misconduct or other improper activities, including non-compliance with regulatory standards and requirements;</w:t>
      </w:r>
    </w:p>
    <w:p>
      <w:pPr>
        <w:spacing w:after="0" w:line="117"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900" w:right="128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nalbuphine ER.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8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such event could have a material adverse impact on our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regarding intellectual property subject to a license agreement, including:</w:t>
      </w:r>
    </w:p>
    <w:p>
      <w:pPr>
        <w:spacing w:after="0" w:line="117" w:lineRule="exact"/>
        <w:rPr>
          <w:sz w:val="20"/>
          <w:szCs w:val="20"/>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right="28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activities or product candidates may infringe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joint creation or use of intellectual property by licensors and us;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4" w:name="page55"/>
    <w:bookmarkEnd w:id="54"/>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26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nalbuphine ER or any future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67"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nalbuphine ER and any future product candidates.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nalbuphine ER. The patent application and approval process is expensive and time-consuming. We may not be able to file and prosecute all necessary or desirable patent applications at a reasonable cost, in a timely manner or at all.</w:t>
      </w:r>
    </w:p>
    <w:p>
      <w:pPr>
        <w:spacing w:after="0" w:line="18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9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80"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93"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auto"/>
        </w:rPr>
        <w:t>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nalbuphine ER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80"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9"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5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9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6" w:name="page57"/>
    <w:bookmarkEnd w:id="56"/>
    <w:p>
      <w:pPr>
        <w:ind w:right="40"/>
        <w:spacing w:after="0" w:line="255" w:lineRule="auto"/>
        <w:rPr>
          <w:sz w:val="20"/>
          <w:szCs w:val="20"/>
          <w:color w:val="auto"/>
        </w:rPr>
      </w:pPr>
      <w:r>
        <w:rPr>
          <w:rFonts w:ascii="Times New Roman" w:cs="Times New Roman" w:eastAsia="Times New Roman" w:hAnsi="Times New Roman"/>
          <w:sz w:val="18"/>
          <w:szCs w:val="18"/>
          <w:color w:val="auto"/>
        </w:rPr>
        <w:t>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28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nalbuphine ER or any future product candidate.</w:t>
      </w:r>
    </w:p>
    <w:p>
      <w:pPr>
        <w:spacing w:after="0" w:line="5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nalbuphine ER or any future product candidate. If any third-party patents or patent applications are found to cover nalbuphine ER or any future product candidate or their methods of use, we may not be free to manufacture or market the product candidates as planned without obtaining a license, which may not be available on commercially reasonable terms, or at all.</w:t>
      </w:r>
    </w:p>
    <w:p>
      <w:pPr>
        <w:spacing w:after="0" w:line="18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nalbuphine ER or any future product candidates, including interference proceedings before the USPTO. There may be third-party patents or patent applications with claims to materials, formulations, methods of manufacture or methods for treatment related to nalbuphine ER or any future product candidate. Because patent applications can take many years to issue, there may be currently pending patent applications which may later result in issued patents that nalbuphine ER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9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nalbuphine ER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7" w:name="page58"/>
    <w:bookmarkEnd w:id="57"/>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9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88"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8" w:name="page59"/>
    <w:bookmarkEnd w:id="58"/>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7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0" w:firstLine="518"/>
        <w:spacing w:after="0" w:line="254" w:lineRule="auto"/>
        <w:rPr>
          <w:sz w:val="20"/>
          <w:szCs w:val="20"/>
          <w:color w:val="auto"/>
        </w:rPr>
      </w:pPr>
      <w:r>
        <w:rPr>
          <w:rFonts w:ascii="Times New Roman" w:cs="Times New Roman" w:eastAsia="Times New Roman" w:hAnsi="Times New Roman"/>
          <w:sz w:val="18"/>
          <w:szCs w:val="18"/>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nalbuphine ER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nalbuphine ER or any future product candidate, our competitive position would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our business could be harmed.</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nalbuphine ER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nalbuphine ER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3" w:lineRule="exact"/>
        <w:rPr>
          <w:sz w:val="20"/>
          <w:szCs w:val="20"/>
          <w:color w:val="auto"/>
        </w:rPr>
      </w:pPr>
    </w:p>
    <w:p>
      <w:pPr>
        <w:jc w:val="both"/>
        <w:ind w:right="40" w:firstLine="518"/>
        <w:spacing w:after="0" w:line="272" w:lineRule="auto"/>
        <w:rPr>
          <w:sz w:val="20"/>
          <w:szCs w:val="20"/>
          <w:color w:val="auto"/>
        </w:rPr>
      </w:pPr>
      <w:r>
        <w:rPr>
          <w:rFonts w:ascii="Times New Roman" w:cs="Times New Roman" w:eastAsia="Times New Roman" w:hAnsi="Times New Roman"/>
          <w:sz w:val="17"/>
          <w:szCs w:val="17"/>
          <w:color w:val="auto"/>
        </w:rPr>
        <w:t>We commenced our Phase 2b/3 PRISM trial of nalbuphine ER for the treatment of pruritus associated with prurigo nodularis and expect to conduct an additional Phase 3 clinical trial of nalbuphine ER for the treatment of pruritus associated with prurigo nodularis under the FDA’s Section 505(b)(2) regulatory pathway. The Drug Price Competition and Patent Term Restoration Act of 1984, or the Hatch-Waxman Act, added Section 505(b)(2) to the FDCA.</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nalbuphine ER for the treatment of pruritus associated with prurigo nodularis and any future product candidates by potentially decreasing the amount of preclinical and clinical data that we would need to generate in order to obtain FDA approval. However, while we believe that nalbuphine ER is a reformulation of an existing drug or biologic and, therefore, will not be treated as a new chemical entity, or NCE, the submission of an NDA under the Section 505(b)(2) or similar regulatory pathway does not preclude the FDA from determining that nalbuphine ER is an NCE and therefore not eligible for review under such regulatory pathway.</w:t>
      </w:r>
    </w:p>
    <w:p>
      <w:pPr>
        <w:spacing w:after="0" w:line="19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nalbuphine ER for the treatment of pruritus associated with prurigo nodularis and any future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93"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nalbuphine ER or any future product candidate. As a result, we cannot predict when or if, and in which territories, we will obtain marketing approval to commercialize a product candidate.</w:t>
      </w:r>
    </w:p>
    <w:p>
      <w:pPr>
        <w:spacing w:after="0" w:line="67"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promotion and distribution of products are subject to extensive regulation by the FDA and comparable foreign regulatory authorities. We are not permitted to market nalbuphine ER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0" w:name="page61"/>
    <w:bookmarkEnd w:id="60"/>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nalbuphine ER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8"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26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conducting and intend in the future to conduct clinical trials for nalbuphine ER,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6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have conducted, are conducting and intend in the future to conduct clinical trials for nalbuphine ER,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nalbuphine ER or the applicable future product candidate.</w:t>
      </w:r>
    </w:p>
    <w:p>
      <w:pPr>
        <w:spacing w:after="0" w:line="193"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adverse impact on us. Risks inherent in conducting international clinical trials include:</w:t>
      </w:r>
    </w:p>
    <w:p>
      <w:pPr>
        <w:spacing w:after="0" w:line="54" w:lineRule="exact"/>
        <w:rPr>
          <w:sz w:val="20"/>
          <w:szCs w:val="20"/>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1" w:name="page62"/>
    <w:bookmarkEnd w:id="6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nalbuphine ER or any future product candidate from being marketed in other countries. Any marketing approval we are granted in the United States would not assure marketing approval in foreign jurisdictions.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nalbuphine ER or any future product candidate will be harmed and our business, financial condition, results of operations and prospects may be adversely affected.</w:t>
      </w:r>
    </w:p>
    <w:p>
      <w:pPr>
        <w:spacing w:after="0" w:line="189" w:lineRule="exact"/>
        <w:rPr>
          <w:sz w:val="20"/>
          <w:szCs w:val="20"/>
          <w:color w:val="auto"/>
        </w:rPr>
      </w:pPr>
    </w:p>
    <w:p>
      <w:pPr>
        <w:ind w:right="100" w:firstLine="518"/>
        <w:spacing w:after="0" w:line="252" w:lineRule="auto"/>
        <w:rPr>
          <w:sz w:val="20"/>
          <w:szCs w:val="20"/>
          <w:color w:val="auto"/>
        </w:rPr>
      </w:pPr>
      <w:r>
        <w:rPr>
          <w:rFonts w:ascii="Times New Roman" w:cs="Times New Roman" w:eastAsia="Times New Roman" w:hAnsi="Times New Roman"/>
          <w:sz w:val="18"/>
          <w:szCs w:val="18"/>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January 31, 2020 to allow the parties time to continue to negotiate a withdrawal agreement. The United Kingdom could leave the European Union earlier if the U.K. Parliament approves such a withdrawal, however reaching consensus in the U.K. Parliament with respect to Brexit has proven to be extremely difficult to date. The future effects of Brexit remain uncertain and will depend on the terms upon which the United Kingdom withdraws from the European Union. Since a significant proportion of the regulatory framework in the United Kingdom is derived from European Union directives and regulations, Brexit could materially impact the regulatory regime with respect to the approval of nalbuphine ER or any future product candidate in the United Kingdom or the European Union. Any delay in obtaining, or an inability to obtain, any marketing approvals, as a result of Brexit or otherwise, would prevent us from commercializing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30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nalbuphine ER or any future product candidate.</w:t>
      </w:r>
    </w:p>
    <w:p>
      <w:pPr>
        <w:spacing w:after="0" w:line="67"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2" w:name="page63"/>
    <w:bookmarkEnd w:id="62"/>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51"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4"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62" w:lineRule="exact"/>
        <w:rPr>
          <w:sz w:val="20"/>
          <w:szCs w:val="20"/>
          <w:color w:val="auto"/>
        </w:rPr>
      </w:pPr>
    </w:p>
    <w:p>
      <w:pPr>
        <w:ind w:right="520" w:firstLine="518"/>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post-approval regulatory requirements, we could have the marketing approvals for any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6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any regulatory approval to market nalbuphine ER in the United States will be limited by indication. If we fail to comply or are found to be in violation of FDA and other regulations restricting the promotion of nalbuphine ER for unapproved uses, we could be subject to criminal penalties, substantial fines or other sanctions and damage awards.</w:t>
      </w:r>
    </w:p>
    <w:p>
      <w:pPr>
        <w:spacing w:after="0" w:line="6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If our clinical trials are successful, we intend to seek approval to market nalbuphine ER for the treatment of pruritus associated with prurigo nodularis. If we obtain regulatory approval to market nalbuphine ER with an indication statement for the treatment of pruritus associated with prurigo nodularis, we expect to be prohibited from marketing nalbuphine ER using any promotional claims relating to treatment of pruritus generally. Marketing of nalbuphine ER may also be limited by regulatory authorities based on use as a monotherapy or adjuvant, concomitant medications, severity of pruritus and other factors.</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nalbuphine ER to treat pruritic conditions other than pruritus associated with prurigo nodularis, nalbuphine ER cannot be promoted for uses other than uses approved in the labeling by the FDA, EMA or other applicable regulatory authorities. Physicians may nevertheless prescribe nalbuphine ER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nalbuphine ER for unapproved uses. We also cannot be sure that our employees will comply with company policies and applicable regulations regarding the promotion of products for unapproved uses.</w:t>
      </w:r>
    </w:p>
    <w:p>
      <w:pPr>
        <w:spacing w:after="0" w:line="185" w:lineRule="exact"/>
        <w:rPr>
          <w:sz w:val="20"/>
          <w:szCs w:val="20"/>
          <w:color w:val="auto"/>
        </w:rPr>
      </w:pPr>
    </w:p>
    <w:p>
      <w:pPr>
        <w:ind w:right="160" w:firstLine="518"/>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3" w:name="page64"/>
    <w:bookmarkEnd w:id="63"/>
    <w:p>
      <w:pPr>
        <w:ind w:right="10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6"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89"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8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4" w:lineRule="exact"/>
        <w:rPr>
          <w:sz w:val="20"/>
          <w:szCs w:val="20"/>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1" w:right="279" w:bottom="1440" w:gutter="0" w:footer="0" w:header="0"/>
        </w:sectPr>
      </w:pPr>
    </w:p>
    <w:bookmarkStart w:id="64" w:name="page65"/>
    <w:bookmarkEnd w:id="64"/>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the 21st Century Cures Act and regulatory reform initiatives of the current presidential administration, the FDA’s policies, regulations and guidance may be revised or revoked, which could prevent, limit or delay regulatory approval of nalbuphine ER or any future product candidate, impacting our ability to generate revenue.</w:t>
      </w:r>
    </w:p>
    <w:p>
      <w:pPr>
        <w:spacing w:after="0" w:line="6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other countries.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under-resourced FDA could result in delays in the FDA’s responsiveness or in its ability to review submissions or applications, issue regulations or guidance, or implement or enforce regulatory requirements in a timely fashion or at all. In January 2017, the President issued an executive order applicable to all executive agencies, including the FDA, which required that for each notice of proposed rulemaking or final regulation to be issued in fiscal year 2017, the agency shall have identified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in February 2017, the administration indicates that the “two-for-one” provisions may apply not only to agency regulations, but also to significant agency guidance documents. In addition, on February 24, 2017, the President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It is difficult to predict how these various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9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nalbuphine ER or any future product candidate and may affect the prices we may obtain.</w:t>
      </w:r>
    </w:p>
    <w:p>
      <w:pPr>
        <w:spacing w:after="0" w:line="5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nalbuphine ER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84"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March 2010, then-President Obama signed into law the Patient Protection and Affordable Care Act, as amended by the Health Care and Education Reconciliation Act, or collectively, the ACA. Among the provisions of the ACA of potential importance to our business and nalbuphine ER or any future product candidate are the following:</w:t>
      </w:r>
    </w:p>
    <w:p>
      <w:pPr>
        <w:spacing w:after="0" w:line="68" w:lineRule="exact"/>
        <w:rPr>
          <w:sz w:val="20"/>
          <w:szCs w:val="20"/>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900" w:right="500" w:hanging="379"/>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900" w:right="240" w:hanging="379"/>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70% point-of-sale discounts off negotiated prices;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5" w:name="page66"/>
    <w:bookmarkEnd w:id="65"/>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certain financial arrangements with physicians and teaching hospitals;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900" w:right="280" w:hanging="379"/>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product for which we may obtain regulatory approval or the frequency with which any such product is prescribed or used.</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Since enactment of the ACA, there have been numerous legal challenges and Congressional actions to repeal and replace provisions of the law. For example, with the December 2017 enactment of the Tax Cuts and Jobs Act of 2017, or the Tax Act, Congress repealed the “individual mandate.” The repeal of this provision, which requires most Americans to carry a minimal level of health insurance, became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Congress will likely consider other legislation to replace elements of the ACA during the next congressional session.</w:t>
      </w:r>
    </w:p>
    <w:p>
      <w:pPr>
        <w:spacing w:after="0" w:line="19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current presidential administration has also taken executive actions to undermine or delay implementation of the ACA. In January 2017, the President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current presidential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 Further, in July 2018 following a federal district court decision from New Mexico, the current presidential administration announced that it would be freezing payments to insurers under the ACA to cover sicker patients until it or Congress can address the appropriate methodology for calculating and making such payments. It remains to be seen how this action will affect the implementation of the ACA.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6" w:name="page67"/>
    <w:bookmarkEnd w:id="66"/>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plan to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commercialize product candidates.</w:t>
      </w:r>
    </w:p>
    <w:p>
      <w:pPr>
        <w:spacing w:after="0" w:line="189"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 has pressed for further drug price control measures to be enacted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Any proposed measures will require authorization through additional legislation to become effective, and Congress and the current presidential administration have each indicated that it will continue to seek new legislative and/or administrative measures to control drug costs. It is unclear, however, whether the Congress and administration will be able to reach agreement on any such measures in the foreseeable future.</w:t>
      </w:r>
    </w:p>
    <w:p>
      <w:pPr>
        <w:spacing w:after="0" w:line="185"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addition, on May 11, 2018, the current presidential administration issued a plan to lower drug prices. Under this blueprint for action, the current presidential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improve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w:t>
      </w:r>
    </w:p>
    <w:p>
      <w:pPr>
        <w:spacing w:after="0" w:line="188" w:lineRule="exact"/>
        <w:rPr>
          <w:sz w:val="20"/>
          <w:szCs w:val="20"/>
          <w:color w:val="auto"/>
        </w:rPr>
      </w:pPr>
    </w:p>
    <w:p>
      <w:pPr>
        <w:jc w:val="both"/>
        <w:ind w:right="60" w:firstLine="518"/>
        <w:spacing w:after="0" w:line="258" w:lineRule="auto"/>
        <w:rPr>
          <w:sz w:val="20"/>
          <w:szCs w:val="20"/>
          <w:color w:val="auto"/>
        </w:rPr>
      </w:pPr>
      <w:r>
        <w:rPr>
          <w:rFonts w:ascii="Times New Roman" w:cs="Times New Roman" w:eastAsia="Times New Roman" w:hAnsi="Times New Roman"/>
          <w:sz w:val="18"/>
          <w:szCs w:val="18"/>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FDA regulations, guidance or interpretations will be changed, or what the impact of such changes on the marketing approvals of our drug candidates, if any, may be. In addition, increased scrutiny by the Congress of the FDA’s approval process may significantly delay or prevent marketing approval, as well as subject us and any collaborators to more stringent drug labeling and post-marketing testing and other requirements.</w:t>
      </w:r>
    </w:p>
    <w:p>
      <w:pPr>
        <w:spacing w:after="0" w:line="2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3"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7" w:name="page68"/>
    <w:bookmarkEnd w:id="67"/>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 soliciting,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0"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 civil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0"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83"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the Centers for Medicare &amp; Medicaid Services information related to payments or transfers of value made to physicians and teaching hospitals, as well as information regarding ownership and investment interests held by physicians and their immediate family members.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5"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3"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68" w:name="page69"/>
    <w:bookmarkEnd w:id="68"/>
    <w:p>
      <w:pPr>
        <w:ind w:right="160" w:firstLine="518"/>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29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9"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9" w:name="page70"/>
    <w:bookmarkEnd w:id="69"/>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 product to other available therapies. If reimbursement of any products is unavailable or limited in scope or amount, or if pricing is set at unsatisfactory levels, our business could be harmed.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nalbuphine ER or any future product candidate could be significantly delayed.</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21" w:lineRule="exact"/>
        <w:rPr>
          <w:sz w:val="20"/>
          <w:szCs w:val="20"/>
          <w:color w:val="auto"/>
        </w:rPr>
      </w:pPr>
    </w:p>
    <w:p>
      <w:pPr>
        <w:jc w:val="both"/>
        <w:ind w:right="20" w:firstLine="518"/>
        <w:spacing w:after="0" w:line="272" w:lineRule="auto"/>
        <w:rPr>
          <w:sz w:val="20"/>
          <w:szCs w:val="20"/>
          <w:color w:val="auto"/>
        </w:rPr>
      </w:pPr>
      <w:r>
        <w:rPr>
          <w:rFonts w:ascii="Times New Roman" w:cs="Times New Roman" w:eastAsia="Times New Roman" w:hAnsi="Times New Roman"/>
          <w:sz w:val="17"/>
          <w:szCs w:val="17"/>
          <w:color w:val="auto"/>
        </w:rPr>
        <w:t>We are highly dependent on Jennifer Good, our President and Chief Executive Officer; Thomas Sciascia, M.D., our Chief Medical Officer; and Helena Brett-Smith, M.D., our Chief Development Officer; as well as the other principal members of our management and scientific teams. Although we have formal employment agreements with Ms. Good and Dr. Sciascia, these agreements do not prevent them from terminating their employment with us at any time.</w:t>
      </w:r>
    </w:p>
    <w:p>
      <w:pPr>
        <w:spacing w:after="0" w:line="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Except as otherwise required by law, and except with respect to Yann Mazabraud, our Chief Commercial Officer and Head of International, whose employment agreement provides for a three-month termination notice period,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8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0" w:name="page71"/>
    <w:bookmarkEnd w:id="70"/>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nalbuphine ER or any future product candidate will be limited.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of September 30, 2019, we had 16 employees. We expect to experience significant growth in the number of our employees and the scope of our operations, particularly in the areas of clinical development and regulatory affairs. In addition,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nalbuphine ER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9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w:t>
      </w:r>
    </w:p>
    <w:p>
      <w:pPr>
        <w:spacing w:after="0" w:line="121"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68" w:lineRule="exact"/>
        <w:rPr>
          <w:sz w:val="20"/>
          <w:szCs w:val="20"/>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nalbuphine ER or any future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nalbuphine ER or any future product candidates or competitors’ products and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rights;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of our development programs;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estimated financial results or development timelines;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considerations described in this “Risk Factors” section.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72" w:name="page73"/>
    <w:bookmarkEnd w:id="72"/>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2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outstanding shares of common stock are eligible to be sold in the public market in the near future, which could cause the trading price of our common stock to decline significantly.</w:t>
      </w:r>
    </w:p>
    <w:p>
      <w:pPr>
        <w:spacing w:after="0" w:line="5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All of the lock-up agreements entered into between our officers, directors, employees and stockholders and the representatives of our initial public offering expired on November 3, 2019.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May 2019, we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our executive officers and directors and their affiliates who have significant influence over our business and may prevent new investors from influencing significant corporate decisions.</w:t>
      </w:r>
    </w:p>
    <w:p>
      <w:pPr>
        <w:spacing w:after="0" w:line="5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and their affiliates, in the aggregate, beneficially own shares representing approximately 72.8% of our common stock as of November 14, 2019. As a result, our executive officers, directors and their affiliates acting together would be able to control all matters submitted to our stockholders for approval, as well as our management and affairs. This concentration of ownership control may:</w:t>
      </w:r>
    </w:p>
    <w:p>
      <w:pPr>
        <w:spacing w:after="0" w:line="68" w:lineRule="exact"/>
        <w:rPr>
          <w:sz w:val="20"/>
          <w:szCs w:val="20"/>
          <w:color w:val="auto"/>
        </w:rPr>
      </w:pPr>
    </w:p>
    <w:p>
      <w:pPr>
        <w:ind w:left="900" w:hanging="379"/>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17" w:lineRule="exact"/>
        <w:rPr>
          <w:rFonts w:ascii="Times New Roman" w:cs="Times New Roman" w:eastAsia="Times New Roman" w:hAnsi="Times New Roman"/>
          <w:sz w:val="18"/>
          <w:szCs w:val="18"/>
          <w:color w:val="auto"/>
        </w:rPr>
      </w:pPr>
    </w:p>
    <w:p>
      <w:pPr>
        <w:ind w:left="900" w:right="460" w:hanging="379"/>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sale, other business combination or other significant corporate transaction involving us that other stockholders may desire.</w:t>
      </w:r>
    </w:p>
    <w:p>
      <w:pPr>
        <w:spacing w:after="0" w:line="162"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3" w:name="page74"/>
    <w:bookmarkEnd w:id="73"/>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any future debt financing that we may obtain may also preclude us from declaring and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5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9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120" w:firstLine="518"/>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will be required to furnish a report by our management on our internal control over financial reporting beginning with our Annual Report on Form 10-K for our fiscal year ending December 31, 2020.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have never been required to test our internal control within a specified period and despite our efforts, there is a risk that we will not be able to conclude, within the prescribed timeframe or at all,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of our management team have limited experience managing a public company.</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daily management of our business, which could materially adversely affect our business, financial condition and operating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As of December 31, 2018, we had federal and state net operating loss carryforwards of $82.9 million, and federal research and development tax credit carryforwards of $2.9 million, which if not utilized generally will begin to expire in 2031 and 2032, respectively. These net operating loss and tax credit carryforwards could expire unused and be unavailable to offset future income tax liabilities. Under the Tax Act, federal net operating losses generated after December 31, 2017 are not subject to expiration, but the deductibility of such federal net operating losses is limited to 80% of our taxable income in any future taxable year. In addition, due to our Series A convertible preferred stock financing in December 2013, we were subject to an “ownership change” under Section 382 of the Internal Revenue Code of 1986, as amended. As a result, our ability to use approximately $825,000 of our net operating loss carryforwards is limited. We may experience further ownership changes in the future as a result of subsequent shifts in our stock ownership, some of which may be outside of our control. If a further ownership change occurred, our ability to use our net operating loss carryforwards might be further limited. We have not conducted a detailed study to document whether our historical activities qualify to support the research and development credit carryforwards. A detailed study could result in adjustment to our research and development credit carryforwards. If we determine that an ownership change has occurred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2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51"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0" w:lineRule="exact"/>
        <w:rPr>
          <w:sz w:val="20"/>
          <w:szCs w:val="20"/>
          <w:color w:val="auto"/>
        </w:rPr>
      </w:pPr>
    </w:p>
    <w:p>
      <w:pPr>
        <w:ind w:left="900" w:hanging="379"/>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5" w:name="page76"/>
    <w:bookmarkEnd w:id="75"/>
    <w:p>
      <w:pPr>
        <w:ind w:left="900" w:hanging="379"/>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900" w:right="520" w:hanging="379"/>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jc w:val="both"/>
        <w:ind w:left="900" w:right="60" w:hanging="379"/>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rFonts w:ascii="Times New Roman" w:cs="Times New Roman" w:eastAsia="Times New Roman" w:hAnsi="Times New Roman"/>
          <w:sz w:val="18"/>
          <w:szCs w:val="18"/>
          <w:color w:val="auto"/>
        </w:rPr>
      </w:pPr>
    </w:p>
    <w:p>
      <w:pPr>
        <w:ind w:left="900" w:right="520" w:hanging="379"/>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73"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9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We did not sell or issue any equity securities during the three months ended September 30, 2019 that were not registered under the Securities Act of 1933, as amended, or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On May 9, 2019, we closed our initial public offering, or IPO, in which we issued and sold 5,500,000 shares of common stock at a public offering price of $10.00 per share. The aggregate gross proceeds to us from our IPO offering were $55.0 million.</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17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16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2019, we had not used any of the net proceeds from the IPO.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980" w:type="dxa"/>
            <w:vAlign w:val="bottom"/>
            <w:gridSpan w:val="7"/>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9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260" w:type="dxa"/>
            <w:vAlign w:val="bottom"/>
            <w:tcBorders>
              <w:top w:val="single" w:sz="8" w:color="auto"/>
            </w:tcBorders>
            <w:gridSpan w:val="9"/>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Trevi Therapeutics, Inc. Executive Separation Benefits and Retention Plan (incorporated by reference to Exhibit 10.1 to the Registrant’s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Current Report on Form 8-K (File No. 001-38886) filed with the SEC on September 24, 2019)</w:t>
              </w:r>
            </w:hyperlink>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60" w:type="dxa"/>
            <w:vAlign w:val="bottom"/>
            <w:gridSpan w:val="9"/>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Certification of Principal Executive Officer Pursuant to Rules 13a-14(a) or 15d-14(a) under the Securities Exchange Act of 1934, as Adopted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Pursuant to Section 302 of the Sarbanes-Oxley Act of 2002</w:t>
              </w:r>
            </w:hyperlink>
          </w:p>
        </w:tc>
        <w:tc>
          <w:tcPr>
            <w:tcW w:w="5880" w:type="dxa"/>
            <w:vAlign w:val="bottom"/>
            <w:tcBorders>
              <w:top w:val="single" w:sz="8" w:color="0000EE"/>
            </w:tcBorders>
            <w:gridSpan w:val="6"/>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Certification of Principal Financial Officer Pursuant to Rules 13a-14(a) or 15d-14(a) under the Securities Exchange Act of 1934, as Adopted</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Pursuant to Section 302 of the Sarbanes-Oxley Act of 2002</w:t>
              </w:r>
            </w:hyperlink>
          </w:p>
        </w:tc>
        <w:tc>
          <w:tcPr>
            <w:tcW w:w="59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260" w:type="dxa"/>
            <w:vAlign w:val="bottom"/>
            <w:gridSpan w:val="9"/>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Act of 2002</w:t>
              </w:r>
            </w:hyperlink>
          </w:p>
        </w:tc>
        <w:tc>
          <w:tcPr>
            <w:tcW w:w="9180" w:type="dxa"/>
            <w:vAlign w:val="bottom"/>
            <w:tcBorders>
              <w:top w:val="single" w:sz="8" w:color="0000EE"/>
            </w:tcBorders>
            <w:gridSpan w:val="5"/>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3">
              <w:r>
                <w:rPr>
                  <w:rFonts w:ascii="Times New Roman" w:cs="Times New Roman" w:eastAsia="Times New Roman" w:hAnsi="Times New Roman"/>
                  <w:sz w:val="18"/>
                  <w:szCs w:val="18"/>
                  <w:color w:val="0000EE"/>
                  <w:w w:val="97"/>
                </w:rPr>
                <w:t>Act of 2002</w:t>
              </w:r>
            </w:hyperlink>
          </w:p>
        </w:tc>
        <w:tc>
          <w:tcPr>
            <w:tcW w:w="9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8" w:name="page79"/>
    <w:bookmarkEnd w:id="78"/>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TREVI THERAPEUTICS, INC.</w:t>
      </w:r>
    </w:p>
    <w:p>
      <w:pPr>
        <w:spacing w:after="0" w:line="252" w:lineRule="exact"/>
        <w:rPr>
          <w:sz w:val="20"/>
          <w:szCs w:val="20"/>
          <w:color w:val="auto"/>
        </w:rPr>
      </w:pPr>
    </w:p>
    <w:p>
      <w:pPr>
        <w:spacing w:after="0"/>
        <w:tabs>
          <w:tab w:leader="none" w:pos="6220" w:val="left"/>
          <w:tab w:leader="none" w:pos="818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17145</wp:posOffset>
            </wp:positionV>
            <wp:extent cx="31045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Christopher Seiter</w:t>
      </w:r>
    </w:p>
    <w:p>
      <w:pPr>
        <w:spacing w:after="0" w:line="25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5715</wp:posOffset>
            </wp:positionV>
            <wp:extent cx="31045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800"/>
          </w:cols>
          <w:pgMar w:left="240" w:top="333" w:right="859" w:bottom="1440" w:gutter="0" w:footer="0" w:header="0"/>
        </w:sectPr>
      </w:pPr>
    </w:p>
    <w:bookmarkStart w:id="79" w:name="page80"/>
    <w:bookmarkEnd w:id="79"/>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Good, certify that:</w:t>
      </w:r>
    </w:p>
    <w:p>
      <w:pPr>
        <w:spacing w:after="0" w:line="225" w:lineRule="exact"/>
        <w:rPr>
          <w:sz w:val="20"/>
          <w:szCs w:val="20"/>
          <w:color w:val="auto"/>
        </w:rPr>
      </w:pPr>
    </w:p>
    <w:p>
      <w:pPr>
        <w:ind w:left="700" w:hanging="17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40" w:firstLine="526"/>
        <w:spacing w:after="0" w:line="282" w:lineRule="auto"/>
        <w:tabs>
          <w:tab w:leader="none" w:pos="6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520" w:firstLine="499"/>
        <w:spacing w:after="0" w:line="266" w:lineRule="auto"/>
        <w:tabs>
          <w:tab w:leader="none" w:pos="1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520" w:right="500" w:firstLine="499"/>
        <w:spacing w:after="0" w:line="282" w:lineRule="auto"/>
        <w:tabs>
          <w:tab w:leader="none" w:pos="12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80" w:firstLine="499"/>
        <w:spacing w:after="0" w:line="266" w:lineRule="auto"/>
        <w:tabs>
          <w:tab w:leader="none" w:pos="1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40" w:firstLine="526"/>
        <w:spacing w:after="0" w:line="282" w:lineRule="auto"/>
        <w:tabs>
          <w:tab w:leader="none" w:pos="6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720" w:firstLine="499"/>
        <w:spacing w:after="0" w:line="282" w:lineRule="auto"/>
        <w:tabs>
          <w:tab w:leader="none" w:pos="1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60" w:right="239" w:bottom="1440" w:gutter="0" w:footer="0" w:header="0"/>
        </w:sectPr>
      </w:pPr>
    </w:p>
    <w:bookmarkStart w:id="80" w:name="page81"/>
    <w:bookmarkEnd w:id="80"/>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Seiter, certify that:</w:t>
      </w:r>
    </w:p>
    <w:p>
      <w:pPr>
        <w:spacing w:after="0" w:line="225" w:lineRule="exact"/>
        <w:rPr>
          <w:sz w:val="20"/>
          <w:szCs w:val="20"/>
          <w:color w:val="auto"/>
        </w:rPr>
      </w:pPr>
    </w:p>
    <w:p>
      <w:pPr>
        <w:ind w:left="700" w:hanging="17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40" w:firstLine="526"/>
        <w:spacing w:after="0" w:line="282" w:lineRule="auto"/>
        <w:tabs>
          <w:tab w:leader="none" w:pos="6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520" w:firstLine="499"/>
        <w:spacing w:after="0" w:line="266" w:lineRule="auto"/>
        <w:tabs>
          <w:tab w:leader="none" w:pos="11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520" w:right="500" w:firstLine="499"/>
        <w:spacing w:after="0" w:line="282" w:lineRule="auto"/>
        <w:tabs>
          <w:tab w:leader="none" w:pos="12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480" w:firstLine="499"/>
        <w:spacing w:after="0" w:line="266" w:lineRule="auto"/>
        <w:tabs>
          <w:tab w:leader="none" w:pos="11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40" w:firstLine="526"/>
        <w:spacing w:after="0" w:line="282" w:lineRule="auto"/>
        <w:tabs>
          <w:tab w:leader="none" w:pos="6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720" w:firstLine="499"/>
        <w:spacing w:after="0" w:line="282" w:lineRule="auto"/>
        <w:tabs>
          <w:tab w:leader="none" w:pos="11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Christopher Seiter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360"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September 30, 2019,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780" w:hanging="254"/>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tabs>
          <w:tab w:leader="none" w:pos="5580" w:val="left"/>
          <w:tab w:leader="none" w:pos="604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60"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September 30, 2019,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780" w:hanging="254"/>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tabs>
          <w:tab w:leader="none" w:pos="5580" w:val="left"/>
          <w:tab w:leader="none" w:pos="604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Seiter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9"/>
    </w:lvl>
    <w:lvl w:ilvl="1">
      <w:lvlJc w:val="left"/>
      <w:lvlText w:val="•"/>
      <w:numFmt w:val="bullet"/>
      <w:start w:val="1"/>
    </w:lvl>
  </w:abstractNum>
  <w:abstractNum w:abstractNumId="14">
    <w:nsid w:val="4516DDE9"/>
    <w:multiLevelType w:val="hybridMultilevel"/>
    <w:lvl w:ilvl="0">
      <w:lvlJc w:val="left"/>
      <w:lvlText w:val="%1."/>
      <w:numFmt w:val="decimal"/>
      <w:start w:val="11"/>
    </w:lvl>
  </w:abstractNum>
  <w:abstractNum w:abstractNumId="15">
    <w:nsid w:val="3006C83E"/>
    <w:multiLevelType w:val="hybridMultilevel"/>
    <w:lvl w:ilvl="0">
      <w:lvlJc w:val="left"/>
      <w:lvlText w:val="%1."/>
      <w:numFmt w:val="decimal"/>
      <w:start w:val="12"/>
    </w:lvl>
  </w:abstractNum>
  <w:abstractNum w:abstractNumId="16">
    <w:nsid w:val="614FD4A1"/>
    <w:multiLevelType w:val="hybridMultilevel"/>
    <w:lvl w:ilvl="0">
      <w:lvlJc w:val="left"/>
      <w:lvlText w:val="%1."/>
      <w:numFmt w:val="decimal"/>
      <w:start w:val="13"/>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0" Type="http://schemas.openxmlformats.org/officeDocument/2006/relationships/hyperlink" Target="http://www.sec.gov/Archives/edgar/data/1563880/000119312519253605/d80814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2019-12-28T01:32:19Z</dcterms:created>
  <dcterms:modified xsi:type="dcterms:W3CDTF">2019-12-28T01:32:19Z</dcterms:modified>
</cp:coreProperties>
</file>