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rvi-20230331.htm"/>
      <w:bookmarkStart w:id="1" w:name="kstrvi20230331"/>
      <w:bookmarkEnd w:id="0"/>
      <w:bookmarkEnd w:id="1"/>
      <w:r>
        <w:rPr/>
        <w:t> </w:t>
      </w:r>
    </w:p>
    <w:p>
      <w:pPr>
        <w:pStyle w:val="TextBody"/>
        <w:pBdr>
          <w:bottom w:val="double" w:sz="6" w:space="1" w:color="000000"/>
        </w:pBdr>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120" w:after="0"/>
        <w:jc w:val="left"/>
        <w:rPr>
          <w:rFonts w:ascii="Times New Roman;serif" w:hAnsi="Times New Roman;serif"/>
          <w:b/>
          <w:sz w:val="16"/>
        </w:rPr>
      </w:pPr>
      <w:r>
        <w:rPr>
          <w:rFonts w:ascii="Times New Roman;serif" w:hAnsi="Times New Roman;serif"/>
          <w:b/>
          <w:sz w:val="16"/>
        </w:rPr>
        <w:t>(Mark One)</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p>
      <w:pPr>
        <w:pStyle w:val="TextBody"/>
        <w:bidi w:val="0"/>
        <w:spacing w:before="12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120" w:after="0"/>
        <w:jc w:val="center"/>
        <w:rPr>
          <w:rFonts w:ascii="Times New Roman" w:hAnsi="Times New Roman"/>
          <w:sz w:val="20"/>
        </w:rPr>
      </w:pPr>
      <w:r>
        <w:rPr>
          <w:rFonts w:ascii="Times New Roman;serif" w:hAnsi="Times New Roman;serif"/>
          <w:b/>
          <w:sz w:val="20"/>
        </w:rPr>
        <w:t>For the transition period from</w:t>
      </w:r>
      <w:r>
        <w:rPr>
          <w:rFonts w:ascii="Times New Roman" w:hAnsi="Times New Roman"/>
          <w:sz w:val="20"/>
          <w:u w:val="single"/>
        </w:rPr>
        <w:t xml:space="preserve"> </w:t>
      </w:r>
      <w:r>
        <w:rPr>
          <w:rFonts w:ascii="Times New Roman;serif" w:hAnsi="Times New Roman;serif"/>
          <w:b/>
          <w:sz w:val="20"/>
        </w:rPr>
        <w:t>to</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001-38886</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48"/>
        </w:rPr>
      </w:pPr>
      <w:r>
        <w:rPr>
          <w:rFonts w:ascii="Times New Roman;serif" w:hAnsi="Times New Roman;serif"/>
          <w:b/>
          <w:sz w:val="48"/>
        </w:rPr>
        <w:t>TREVI THERAPEUTICS,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45-0834299</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State or other jurisdiction of</w:t>
            </w:r>
          </w:p>
          <w:p>
            <w:pPr>
              <w:pStyle w:val="TableContents"/>
              <w:bidi w:val="0"/>
              <w:spacing w:before="0" w:after="15"/>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br/>
              <w:t>Identification No.)</w:t>
            </w:r>
          </w:p>
        </w:tc>
      </w:tr>
      <w:tr>
        <w:trPr/>
        <w:tc>
          <w:tcPr>
            <w:tcW w:w="2926" w:type="dxa"/>
            <w:tcBorders/>
            <w:vAlign w:val="center"/>
          </w:tcPr>
          <w:p>
            <w:pPr>
              <w:pStyle w:val="TableContents"/>
              <w:bidi w:val="0"/>
              <w:spacing w:before="120" w:after="0"/>
              <w:ind w:left="0" w:right="0" w:hanging="0"/>
              <w:jc w:val="center"/>
              <w:rPr>
                <w:rFonts w:ascii="Times New Roman" w:hAnsi="Times New Roman"/>
                <w:sz w:val="20"/>
              </w:rPr>
            </w:pPr>
            <w:r>
              <w:rPr>
                <w:rFonts w:ascii="Times New Roman;serif" w:hAnsi="Times New Roman;serif"/>
                <w:b/>
                <w:sz w:val="20"/>
              </w:rPr>
              <w:t>195 Church Street, 16</w:t>
            </w:r>
            <w:r>
              <w:rPr>
                <w:rFonts w:ascii="Times New Roman;serif" w:hAnsi="Times New Roman;serif"/>
                <w:b/>
                <w:sz w:val="13"/>
              </w:rPr>
              <w:t>th</w:t>
            </w:r>
            <w:r>
              <w:rPr>
                <w:rFonts w:ascii="Times New Roman;serif" w:hAnsi="Times New Roman;serif"/>
                <w:sz w:val="20"/>
              </w:rPr>
              <w:t xml:space="preserve"> </w:t>
            </w:r>
            <w:r>
              <w:rPr>
                <w:rFonts w:ascii="Times New Roman;serif" w:hAnsi="Times New Roman;serif"/>
                <w:b/>
                <w:sz w:val="20"/>
              </w:rPr>
              <w:t>Floor</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New Haven, Connecticut</w:t>
            </w:r>
            <w:r>
              <w:rPr>
                <w:rFonts w:ascii="Times New Roman" w:hAnsi="Times New Roman"/>
                <w:sz w:val="20"/>
              </w:rPr>
              <w:t xml:space="preserve">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06510</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(203) 304-2499</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w:t>
      </w:r>
    </w:p>
    <w:p>
      <w:pPr>
        <w:pStyle w:val="TextBody"/>
        <w:pBdr>
          <w:bottom w:val="single" w:sz="4"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7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 $0.001 par value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TRVI</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The Nasdaq Stock Market LLC</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As of May 11, 2023, the registrant had 60,069,512</w:t>
      </w:r>
      <w:r>
        <w:rPr>
          <w:rFonts w:ascii="Times New Roman" w:hAnsi="Times New Roman"/>
          <w:sz w:val="20"/>
        </w:rPr>
        <w:t xml:space="preserve"> </w:t>
      </w:r>
      <w:r>
        <w:rPr>
          <w:rFonts w:ascii="Times New Roman;serif" w:hAnsi="Times New Roman;serif"/>
          <w:b w:val="false"/>
          <w:sz w:val="18"/>
        </w:rPr>
        <w:t>shares of common stock, $0.001 par value per share, outstanding.</w:t>
      </w:r>
    </w:p>
    <w:p>
      <w:pPr>
        <w:pStyle w:val="TextBody"/>
        <w:pBdr>
          <w:bottom w:val="double" w:sz="6" w:space="1" w:color="000000"/>
        </w:pBdr>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CAUTIONARY NOTE REGARDING FORWARD-LOOKING STATEMENTS AND INDUSTRY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forward-looking statements in this Quarterly Report on Form 10-Q include, among other things, statements about: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clinical trials, including our planned trials of Haduvio for the treatment of chronic cough in idiopathic pulmonary fibrosis, or IPF, and for refractory chronic cough and our Phase 2b/3 PRISM trial of Haduvio for the treatment of prurigo nodularis;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plans to develop and, if approved, subsequently commercialize Haduvio for the treatment of chronic cough in IPF and for other chronic cough indications and for the treatment of prurigo nodularis;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timing for the initiation of clinical trials and the reporting of data from such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and our ability to submit applications for and to obtain and maintain regulatory approvals for Haduvio;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our ability to fund our operating expenses, including our planned clinical trials, with our cash, cash equivalents and marketable securities;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estimates regarding expenses, future revenue, timing of any future revenue, capital requirements and needs for additional financing;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government laws and regulations;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competitive position;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and maintain collaborations;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 of the COVID-19 pandemic and other outbreaks of infectious disease on our clinical trials, business and operations, and our response to the COVID-19 pandemic and any other such outbreaks.</w:t>
      </w:r>
    </w:p>
    <w:p>
      <w:pPr>
        <w:pStyle w:val="TextBody"/>
        <w:bidi w:val="0"/>
        <w:spacing w:before="120" w:after="0"/>
        <w:jc w:val="left"/>
        <w:rPr>
          <w:rFonts w:ascii="Times New Roman" w:hAnsi="Times New Roman"/>
          <w:sz w:val="20"/>
        </w:rPr>
      </w:pPr>
      <w:r>
        <w:rPr>
          <w:rFonts w:ascii="Times New Roman;serif" w:hAnsi="Times New Roman;serif"/>
          <w:b w:val="false"/>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120" w:after="0"/>
        <w:jc w:val="left"/>
        <w:rPr>
          <w:rFonts w:ascii="Times New Roman" w:hAnsi="Times New Roman"/>
          <w:sz w:val="20"/>
        </w:rPr>
      </w:pPr>
      <w:r>
        <w:rPr>
          <w:rFonts w:ascii="Times New Roman;serif" w:hAnsi="Times New Roman;serif"/>
          <w:b w:val="false"/>
          <w:sz w:val="20"/>
        </w:rPr>
        <w:t>We own or have rights to trademarks, service marks and trade names that we use in connection with the operation of our business, including our corporate name, logos and website names. We own the trademarks Trevi</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 xml:space="preserve">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and  symbols, but we will assert, to the fullest extent under applicable law, our rights to our trademarks, service marks and trade names. We intend to propose Haduvio as the trade name for our oral nalbuphine ER investigational product.</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RISK FACTOR SUMMARY</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significant losses since inception and expect to continue to incur significant and increasing losses for the foreseeable future. We may never achieve or maintain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will need substantial additional funding. If we are unable to raise sufficient capital when needed on acceptable terms or at all, we could be forced to delay, reduce or abandon our product development programs or commercialization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in the process of designing future clinical trials of Haduvio for the treatment of chronic cough in IPF and refractory chronic cough. Before commencing the trials, we will need to submit an IND for Haduvio to the FDA and complete regulatory submissions in countries selected for the studies. Changes in the design of planned trials or regulatory delays may affect the timing and costs of the trials and changes in the timing or costs of the trials for these or other reasons may affect our ability to complete the planned trials with our existing cash resources.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of clinical trials may not be predictive of the success of later clinical trials. For instance, Haduvio may fail to show the desired safety and efficacy in clinical development despite demonstrating positive results in earlier clinical trials. The results of our Phase 2 CANAL trial may not be predictive of the results of future trials of Haduvio for the treatment of chronic cough in IPF or other chronic cough indications such as refractory chronic cough, and the results of our Phase 2b/3 PRISM trial in Haduvio for the treatment of prurigo nodularis may not be predictive of the results of any future trial in prurigo nodularis.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experienced delays and difficulties in the enrollment of subjects in our clinical trials in the past, including in our Phase 2 CANAL trial and our Phase 2b/3 PRISM trial. If we experience delays or difficulties in the enrollment of subjects in future clinical trials, our receipt of necessary regulatory approvals could be delayed or prevented. Other companies are conducting clinical trials or have announced plans for future clinical trials that are seeking or are likely to seek to enroll subjects with chronic cough with IPF, refractory chronic cough and prurigo nodularis, and subjects are generally only able to enroll in a single trial at a time. In addition, many patients use various treatments off-label to treat chronic cough associated with IPF, refractory chronic cough and prurigo nodularis, and these patients and their physicians may be reluctant to forgo, discontinue or otherwise alter their use of such off-label therapeutic approaches to participate in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drug development involves a lengthy and expensive process with an uncertain outcome. Even if we complete the necessary preclinical studies and clinical trials, the regulatory approval process is expensive, time-consuming and uncertain, which may prevent us from obtaining approvals for the commercialization of Haduvio or any future product candidate.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drug label for nalbuphine, the active ingredient in Haduvio, carries an opioid class label warning for serious, life-threatening or fatal respiratory depression and Haduvio, if approved for marketing in any indication, will likely carry a similar opioid class label. We intend to conduct a Phase 1b study of Haduvio to evaluate the effect of Haduvio on respiratory physiology in patients with chronic cough in IPF of varying disease severity. If there is a safety signal in the Phase 1b study, it could affect our ability to conduct a trial in this patient population.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Many currently approved μ-opioid products are subject to restrictive marketing and distribution regulations which, if applied to Haduvio, could potentially restrict its use and harm our ability to generate profits. We are conducting a human abuse potential, or HAP, study to determine the abuse potential of oral nalbuphine ER relative to butorphanol. If the results of the HAP study suggest that Haduvio may carry risks of misuse, abuse or addiction or even if the trial indicates that Haduvio does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carry such risks, the U.S. Food and Drug Administration, or FDA, may require us to implement a Risk Evaluation and Mitigation Strategy in connection with any commercialization of Haduvio and the U.S. Drug Enforcement Agency could determine that Haduvio should be classified as a controlled substance.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face substantial competition, which may result in others developing or commercializing products before or more successfully than we do.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contract with third parties to conduct our clinical trials and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Condensed 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perations">
              <w:r>
                <w:rPr>
                  <w:rStyle w:val="InternetLink"/>
                  <w:rFonts w:ascii="Times New Roman;serif" w:hAnsi="Times New Roman;serif"/>
                  <w:b w:val="false"/>
                  <w:sz w:val="20"/>
                  <w:u w:val="single"/>
                </w:rPr>
                <w:t>Condensed Consolidated Statements of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_of_stockholders_e">
              <w:r>
                <w:rPr>
                  <w:rStyle w:val="InternetLink"/>
                  <w:rFonts w:ascii="Times New Roman;serif" w:hAnsi="Times New Roman;serif"/>
                  <w:b w:val="false"/>
                  <w:sz w:val="20"/>
                  <w:u w:val="single"/>
                </w:rPr>
                <w:t>Condensed 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cash_flows">
              <w:r>
                <w:rPr>
                  <w:rStyle w:val="InternetLink"/>
                  <w:rFonts w:ascii="Times New Roman;serif" w:hAnsi="Times New Roman;serif"/>
                  <w:b w:val="false"/>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Unaudited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bidi w:val="0"/>
        <w:spacing w:before="12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Condensed Consolidated Financial Statements.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Trevi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and per share amounts)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18"/>
        <w:gridCol w:w="146"/>
        <w:gridCol w:w="211"/>
        <w:gridCol w:w="841"/>
        <w:gridCol w:w="166"/>
        <w:gridCol w:w="146"/>
        <w:gridCol w:w="213"/>
        <w:gridCol w:w="852"/>
        <w:gridCol w:w="612"/>
      </w:tblGrid>
      <w:tr>
        <w:trPr/>
        <w:tc>
          <w:tcPr>
            <w:tcW w:w="7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8"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br/>
            </w:r>
            <w:r>
              <w:rPr>
                <w:rFonts w:ascii="Times New Roman" w:hAnsi="Times New Roman"/>
                <w:sz w:val="16"/>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hanging="0"/>
              <w:jc w:val="righ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firstLine="200"/>
              <w:jc w:val="righ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11,651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12,589</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99,607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107,921</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Prepaid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795</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1,311</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114,201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122,616</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205</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Finance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Property, equipment and leasehold improvements,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170</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116,205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123,015</w:t>
            </w:r>
          </w:p>
        </w:tc>
        <w:tc>
          <w:tcPr>
            <w:tcW w:w="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hanging="0"/>
              <w:jc w:val="righ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firstLine="200"/>
              <w:jc w:val="righ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2,857</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3,518</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Term loan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7,482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7,000</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Finance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13,201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13,400</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Term loan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2,151</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Finance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14,473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15,556</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Commitments and contingencies (Note 12)</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hanging="0"/>
              <w:jc w:val="righ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firstLine="200"/>
              <w:jc w:val="right"/>
              <w:rPr/>
            </w:pPr>
            <w:r>
              <w:rPr/>
              <w:t> </w:t>
            </w:r>
          </w:p>
        </w:tc>
      </w:tr>
      <w:tr>
        <w:trPr/>
        <w:tc>
          <w:tcPr>
            <w:tcW w:w="7018"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9"/>
              </w:rPr>
              <w:t>Preferred stock: $0.001</w:t>
            </w:r>
            <w:r>
              <w:rPr>
                <w:rFonts w:ascii="Times New Roman" w:hAnsi="Times New Roman"/>
                <w:sz w:val="20"/>
              </w:rPr>
              <w:t> </w:t>
            </w:r>
            <w:r>
              <w:rPr>
                <w:rFonts w:ascii="Times New Roman;serif" w:hAnsi="Times New Roman;serif"/>
                <w:b w:val="false"/>
                <w:sz w:val="19"/>
              </w:rPr>
              <w:t>par value; 5,000,000</w:t>
            </w:r>
            <w:r>
              <w:rPr>
                <w:rFonts w:ascii="Times New Roman" w:hAnsi="Times New Roman"/>
                <w:sz w:val="20"/>
              </w:rPr>
              <w:t> </w:t>
            </w:r>
            <w:r>
              <w:rPr>
                <w:rFonts w:ascii="Times New Roman;serif" w:hAnsi="Times New Roman;serif"/>
                <w:b w:val="false"/>
                <w:sz w:val="19"/>
              </w:rPr>
              <w:t>shares authorized at March 31, 2023 and December 31, 2022; no</w:t>
            </w:r>
            <w:r>
              <w:rPr>
                <w:rFonts w:ascii="Times New Roman" w:hAnsi="Times New Roman"/>
                <w:sz w:val="20"/>
              </w:rPr>
              <w:t> </w:t>
            </w:r>
            <w:r>
              <w:rPr>
                <w:rFonts w:ascii="Times New Roman;serif" w:hAnsi="Times New Roman;serif"/>
                <w:b w:val="false"/>
                <w:sz w:val="19"/>
              </w:rPr>
              <w:t>shares issued or outstanding at March 31,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9"/>
              </w:rPr>
              <w:t>Common stock: $0.001</w:t>
            </w:r>
            <w:r>
              <w:rPr>
                <w:rFonts w:ascii="Times New Roman" w:hAnsi="Times New Roman"/>
                <w:sz w:val="20"/>
              </w:rPr>
              <w:t> </w:t>
            </w:r>
            <w:r>
              <w:rPr>
                <w:rFonts w:ascii="Times New Roman;serif" w:hAnsi="Times New Roman;serif"/>
                <w:b w:val="false"/>
                <w:sz w:val="19"/>
              </w:rPr>
              <w:t>par value; 200,000,000</w:t>
            </w:r>
            <w:r>
              <w:rPr>
                <w:rFonts w:ascii="Times New Roman" w:hAnsi="Times New Roman"/>
                <w:sz w:val="20"/>
              </w:rPr>
              <w:t> </w:t>
            </w:r>
            <w:r>
              <w:rPr>
                <w:rFonts w:ascii="Times New Roman;serif" w:hAnsi="Times New Roman;serif"/>
                <w:b w:val="false"/>
                <w:sz w:val="19"/>
              </w:rPr>
              <w:t>shares authorized at March 31, 2023 and December 31, 2022; and 60,065,408</w:t>
            </w:r>
            <w:r>
              <w:rPr>
                <w:rFonts w:ascii="Times New Roman" w:hAnsi="Times New Roman"/>
                <w:sz w:val="20"/>
              </w:rPr>
              <w:t> </w:t>
            </w:r>
            <w:r>
              <w:rPr>
                <w:rFonts w:ascii="Times New Roman;serif" w:hAnsi="Times New Roman;serif"/>
                <w:b w:val="false"/>
                <w:sz w:val="19"/>
              </w:rPr>
              <w:t>and 59,943,430</w:t>
            </w:r>
            <w:r>
              <w:rPr>
                <w:rFonts w:ascii="Times New Roman" w:hAnsi="Times New Roman"/>
                <w:sz w:val="20"/>
              </w:rPr>
              <w:t> </w:t>
            </w:r>
            <w:r>
              <w:rPr>
                <w:rFonts w:ascii="Times New Roman;serif" w:hAnsi="Times New Roman;serif"/>
                <w:b w:val="false"/>
                <w:sz w:val="19"/>
              </w:rPr>
              <w:t>shares issued and outstanding at March 31,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318,230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317,590</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(122</w:t>
            </w:r>
          </w:p>
        </w:tc>
        <w:tc>
          <w:tcPr>
            <w:tcW w:w="612"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(216,470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(210,069</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101,732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107,459</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116,205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123,015</w:t>
            </w:r>
          </w:p>
        </w:tc>
        <w:tc>
          <w:tcPr>
            <w:tcW w:w="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Trevi Therapeutics,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5" w:name="consolidated_statements_operations"/>
      <w:bookmarkEnd w:id="5"/>
      <w:r>
        <w:rPr>
          <w:rFonts w:ascii="Times New Roman;serif" w:hAnsi="Times New Roman;serif"/>
          <w:b/>
          <w:sz w:val="20"/>
        </w:rPr>
        <w:t>Condensed Consolidated Statements of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 except share and per share amounts)</w:t>
      </w:r>
    </w:p>
    <w:p>
      <w:pPr>
        <w:pStyle w:val="TextBody"/>
        <w:bidi w:val="0"/>
        <w:spacing w:before="0" w:after="0"/>
        <w:jc w:val="left"/>
        <w:rPr/>
      </w:pPr>
      <w:r>
        <w:rPr/>
        <w:t> </w:t>
      </w:r>
    </w:p>
    <w:tbl>
      <w:tblPr>
        <w:tblW w:w="8814" w:type="dxa"/>
        <w:jc w:val="left"/>
        <w:tblInd w:w="0" w:type="dxa"/>
        <w:tblLayout w:type="fixed"/>
        <w:tblCellMar>
          <w:top w:w="28" w:type="dxa"/>
          <w:left w:w="28" w:type="dxa"/>
          <w:bottom w:w="28" w:type="dxa"/>
          <w:right w:w="28" w:type="dxa"/>
        </w:tblCellMar>
      </w:tblPr>
      <w:tblGrid>
        <w:gridCol w:w="5251"/>
        <w:gridCol w:w="146"/>
        <w:gridCol w:w="211"/>
        <w:gridCol w:w="1036"/>
        <w:gridCol w:w="166"/>
        <w:gridCol w:w="146"/>
        <w:gridCol w:w="211"/>
        <w:gridCol w:w="1036"/>
        <w:gridCol w:w="61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4,645</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2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(7,025</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term loan derivative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net loss per common share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used in net loss per share</w:t>
              <w:br/>
              <w:t>   attributable to common stockholders,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98,610,671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30,805,804</w:t>
            </w:r>
          </w:p>
        </w:tc>
        <w:tc>
          <w:tcPr>
            <w:tcW w:w="611" w:type="dxa"/>
            <w:tcBorders/>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(7,329</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100"/>
              <w:jc w:val="left"/>
              <w:rPr/>
            </w:pPr>
            <w:r>
              <w:rPr/>
              <w:t> </w:t>
            </w:r>
          </w:p>
        </w:tc>
      </w:tr>
      <w:tr>
        <w:trPr/>
        <w:tc>
          <w:tcPr>
            <w:tcW w:w="52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unrealized gains on available-for-sale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6" w:name="consolidated_statement_of_stockholders_e"/>
      <w:bookmarkEnd w:id="6"/>
      <w:r>
        <w:rPr>
          <w:rFonts w:ascii="Times New Roman;serif" w:hAnsi="Times New Roman;serif"/>
          <w:b/>
          <w:sz w:val="20"/>
        </w:rPr>
        <w:t>Trevi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34"/>
        <w:gridCol w:w="146"/>
        <w:gridCol w:w="146"/>
        <w:gridCol w:w="916"/>
        <w:gridCol w:w="146"/>
        <w:gridCol w:w="146"/>
        <w:gridCol w:w="271"/>
        <w:gridCol w:w="480"/>
        <w:gridCol w:w="146"/>
        <w:gridCol w:w="146"/>
        <w:gridCol w:w="205"/>
        <w:gridCol w:w="726"/>
        <w:gridCol w:w="166"/>
        <w:gridCol w:w="146"/>
        <w:gridCol w:w="405"/>
        <w:gridCol w:w="901"/>
        <w:gridCol w:w="166"/>
        <w:gridCol w:w="146"/>
        <w:gridCol w:w="233"/>
        <w:gridCol w:w="893"/>
        <w:gridCol w:w="166"/>
        <w:gridCol w:w="146"/>
        <w:gridCol w:w="246"/>
        <w:gridCol w:w="871"/>
        <w:gridCol w:w="212"/>
      </w:tblGrid>
      <w:tr>
        <w:trPr/>
        <w:tc>
          <w:tcPr>
            <w:tcW w:w="2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12" w:type="dxa"/>
            <w:tcBorders/>
            <w:vAlign w:val="center"/>
          </w:tcPr>
          <w:p>
            <w:pPr>
              <w:pStyle w:val="TableContents"/>
              <w:bidi w:val="0"/>
              <w:spacing w:before="0" w:after="0"/>
              <w:ind w:left="0" w:right="0" w:hanging="0"/>
              <w:jc w:val="center"/>
              <w:rPr/>
            </w:pPr>
            <w:r>
              <w:rPr/>
              <w:t> </w:t>
            </w:r>
          </w:p>
        </w:tc>
      </w:tr>
      <w:tr>
        <w:trPr/>
        <w:tc>
          <w:tcPr>
            <w:tcW w:w="20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Paid-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Stockholders’</w:t>
            </w:r>
          </w:p>
        </w:tc>
        <w:tc>
          <w:tcPr>
            <w:tcW w:w="212" w:type="dxa"/>
            <w:tcBorders/>
            <w:vAlign w:val="center"/>
          </w:tcPr>
          <w:p>
            <w:pPr>
              <w:pStyle w:val="TableContents"/>
              <w:bidi w:val="0"/>
              <w:spacing w:before="0" w:after="0"/>
              <w:ind w:left="0" w:right="0" w:hanging="0"/>
              <w:jc w:val="center"/>
              <w:rPr/>
            </w:pPr>
            <w:r>
              <w:rPr/>
              <w:t> </w:t>
            </w:r>
          </w:p>
        </w:tc>
      </w:tr>
      <w:tr>
        <w:trPr/>
        <w:tc>
          <w:tcPr>
            <w:tcW w:w="20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3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0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17" w:type="dxa"/>
            <w:gridSpan w:val="2"/>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December 31,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59,943,430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317,590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(210,069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107,459</w:t>
            </w:r>
          </w:p>
        </w:tc>
        <w:tc>
          <w:tcPr>
            <w:tcW w:w="212"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578</w:t>
            </w:r>
          </w:p>
        </w:tc>
        <w:tc>
          <w:tcPr>
            <w:tcW w:w="212"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exercise of stock options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212"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Unrealized gains on available-for-sale marketable securities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212"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(6,401</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March 31, 2023</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60,065,408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318,230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(216,470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101,732</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17"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December 31, 2021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28,505,804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197,963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(180,917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17,075</w:t>
            </w:r>
          </w:p>
        </w:tc>
        <w:tc>
          <w:tcPr>
            <w:tcW w:w="212"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737</w:t>
            </w:r>
          </w:p>
        </w:tc>
        <w:tc>
          <w:tcPr>
            <w:tcW w:w="212"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under the at-the-market sales agreement, net of commissions and allocated fees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warrant exercise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12"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(7,329</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3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March 31, 2022</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30,805,804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198,678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(188,246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10,463</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Trevi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consolidated_statements_cash_flows"/>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w:t>
      </w:r>
      <w:r>
        <w:rPr>
          <w:rFonts w:ascii="Times New Roman" w:hAnsi="Times New Roman"/>
          <w:sz w:val="20"/>
        </w:rPr>
        <w:t xml:space="preserve"> </w:t>
      </w:r>
    </w:p>
    <w:p>
      <w:pPr>
        <w:pStyle w:val="TextBody"/>
        <w:bidi w:val="0"/>
        <w:spacing w:before="0" w:after="0"/>
        <w:jc w:val="left"/>
        <w:rPr/>
      </w:pPr>
      <w:r>
        <w:rPr/>
        <w:t> </w:t>
      </w:r>
    </w:p>
    <w:tbl>
      <w:tblPr>
        <w:tblW w:w="9387" w:type="dxa"/>
        <w:jc w:val="left"/>
        <w:tblInd w:w="0" w:type="dxa"/>
        <w:tblLayout w:type="fixed"/>
        <w:tblCellMar>
          <w:top w:w="28" w:type="dxa"/>
          <w:left w:w="28" w:type="dxa"/>
          <w:bottom w:w="28" w:type="dxa"/>
          <w:right w:w="28" w:type="dxa"/>
        </w:tblCellMar>
      </w:tblPr>
      <w:tblGrid>
        <w:gridCol w:w="6031"/>
        <w:gridCol w:w="146"/>
        <w:gridCol w:w="242"/>
        <w:gridCol w:w="778"/>
        <w:gridCol w:w="191"/>
        <w:gridCol w:w="168"/>
        <w:gridCol w:w="242"/>
        <w:gridCol w:w="778"/>
        <w:gridCol w:w="8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9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Operating activities:</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(6,401</w:t>
            </w:r>
          </w:p>
        </w:tc>
        <w:tc>
          <w:tcPr>
            <w:tcW w:w="1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(7,329</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w:t>
            </w:r>
          </w:p>
        </w:tc>
        <w:tc>
          <w:tcPr>
            <w:tcW w:w="191"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w:t>
            </w:r>
          </w:p>
        </w:tc>
        <w:tc>
          <w:tcPr>
            <w:tcW w:w="8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Accretion of available-for-sale marketable securities, net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(671</w:t>
            </w:r>
          </w:p>
        </w:tc>
        <w:tc>
          <w:tcPr>
            <w:tcW w:w="1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Loss on disposal of property, equipment and leasehold improvements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w:t>
            </w:r>
          </w:p>
        </w:tc>
        <w:tc>
          <w:tcPr>
            <w:tcW w:w="191"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Change in fair value of term loan derivative liability</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w:t>
            </w:r>
          </w:p>
        </w:tc>
        <w:tc>
          <w:tcPr>
            <w:tcW w:w="8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Accretion/accrual of term loan discounts and debt issuance costs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81</w:t>
            </w:r>
          </w:p>
        </w:tc>
        <w:tc>
          <w:tcPr>
            <w:tcW w:w="191"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154</w:t>
            </w:r>
          </w:p>
        </w:tc>
        <w:tc>
          <w:tcPr>
            <w:tcW w:w="8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578</w:t>
            </w:r>
          </w:p>
        </w:tc>
        <w:tc>
          <w:tcPr>
            <w:tcW w:w="191"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737</w:t>
            </w:r>
          </w:p>
        </w:tc>
        <w:tc>
          <w:tcPr>
            <w:tcW w:w="8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(836</w:t>
            </w:r>
          </w:p>
        </w:tc>
        <w:tc>
          <w:tcPr>
            <w:tcW w:w="1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420</w:t>
            </w:r>
          </w:p>
        </w:tc>
        <w:tc>
          <w:tcPr>
            <w:tcW w:w="8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Accounts payable</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(914</w:t>
            </w:r>
          </w:p>
        </w:tc>
        <w:tc>
          <w:tcPr>
            <w:tcW w:w="1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(1,110</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Accrued expenses and other liabilities</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19"/>
              </w:rPr>
            </w:pPr>
            <w:r>
              <w:rPr>
                <w:rFonts w:ascii="Times New Roman;serif" w:hAnsi="Times New Roman;serif"/>
                <w:b w:val="false"/>
                <w:sz w:val="19"/>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(8,197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(7,092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Investing activities:</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maturities of available-for-sale marketable securities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18,000</w:t>
            </w:r>
          </w:p>
        </w:tc>
        <w:tc>
          <w:tcPr>
            <w:tcW w:w="191"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Purchases of available-for-sale marketable securities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(8,981</w:t>
            </w:r>
          </w:p>
        </w:tc>
        <w:tc>
          <w:tcPr>
            <w:tcW w:w="1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Purchases of property, equipment and leasehold improvements</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19"/>
              </w:rPr>
            </w:pPr>
            <w:r>
              <w:rPr>
                <w:rFonts w:ascii="Times New Roman;serif" w:hAnsi="Times New Roman;serif"/>
                <w:b w:val="false"/>
                <w:sz w:val="19"/>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8,962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Financing activities:</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Repayments of term loan</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(1,750</w:t>
            </w:r>
          </w:p>
        </w:tc>
        <w:tc>
          <w:tcPr>
            <w:tcW w:w="1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(583</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exercises of warrants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8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exercises of stock options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w:t>
            </w:r>
          </w:p>
        </w:tc>
        <w:tc>
          <w:tcPr>
            <w:tcW w:w="191"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Payments of offering costs</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(44</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19"/>
              </w:rPr>
            </w:pPr>
            <w:r>
              <w:rPr>
                <w:rFonts w:ascii="Times New Roman;serif" w:hAnsi="Times New Roman;serif"/>
                <w:b w:val="false"/>
                <w:sz w:val="19"/>
              </w:rPr>
              <w:t>)</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19"/>
              </w:rPr>
            </w:pPr>
            <w:r>
              <w:rPr>
                <w:rFonts w:ascii="Times New Roman;serif" w:hAnsi="Times New Roman;serif"/>
                <w:b w:val="false"/>
                <w:sz w:val="19"/>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(1,703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(625</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(938</w:t>
            </w:r>
          </w:p>
        </w:tc>
        <w:tc>
          <w:tcPr>
            <w:tcW w:w="1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8"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(7,717</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Cash and cash equivalents at beginning of period</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12,589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36,830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Cash and cash equivalents at end of period</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11,651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29,113</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Trevi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notes_to_consolidated_financial_statemen"/>
      <w:bookmarkEnd w:id="8"/>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and per share data)</w:t>
      </w:r>
    </w:p>
    <w:p>
      <w:pPr>
        <w:pStyle w:val="TextBody"/>
        <w:bidi w:val="0"/>
        <w:spacing w:before="120" w:after="0"/>
        <w:jc w:val="left"/>
        <w:rPr>
          <w:rFonts w:ascii="Times New Roman" w:hAnsi="Times New Roman"/>
          <w:b/>
          <w:sz w:val="20"/>
        </w:rPr>
      </w:pPr>
      <w:r>
        <w:rPr>
          <w:rFonts w:ascii="Times New Roman" w:hAnsi="Times New Roman"/>
          <w:b/>
          <w:sz w:val="20"/>
        </w:rPr>
        <w:t>1.</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Nature of the Business </w:t>
      </w:r>
    </w:p>
    <w:p>
      <w:pPr>
        <w:pStyle w:val="TextBody"/>
        <w:bidi w:val="0"/>
        <w:spacing w:before="120" w:after="0"/>
        <w:jc w:val="left"/>
        <w:rPr>
          <w:rFonts w:ascii="Times New Roman" w:hAnsi="Times New Roman"/>
          <w:sz w:val="20"/>
        </w:rPr>
      </w:pPr>
      <w:r>
        <w:rPr>
          <w:rFonts w:ascii="Times New Roman;serif" w:hAnsi="Times New Roman;serif"/>
          <w:b w:val="false"/>
          <w:sz w:val="20"/>
        </w:rPr>
        <w:t>Trevi Therapeutics, Inc. (“Trevi” or the “Company”) is a clinical-stage biopharmaceutical company focused on the development and commercialization of the investigational therapy Haduvio (oral nalbuphine ER) for the treatment of chronic cough in idiopathic pulmonary fibrosis (“IPF”) and other chronic cough indications, and for the treatment of prurigo nodularis.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cough and itch. Nalbuphine’s mechanism of action also mitigates the risk of abuse associated with μ-opioid agonists because it antagonizes or blocks, the μ-opioid receptor. Parenteral nalbuphine is not scheduled as a controlled substance in the U.S. and most of Europe.</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2.</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Summary of Significant Accounting Policies </w:t>
      </w:r>
    </w:p>
    <w:p>
      <w:pPr>
        <w:pStyle w:val="TextBody"/>
        <w:bidi w:val="0"/>
        <w:spacing w:before="12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unaudited interim Condensed Consolidated Financial Statements for the three months ended March 31, 2023 and 2022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Condensed Consolidated Financial Statements include the accounts of Trevi Therapeutics, Inc. and its wholly-owned subsidiary Trevi Therapeutics Limited. Intercompany balances and transactions have been eliminated.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All amounts presented are in thousands of dollars, except share and per share amounts, unless noted otherwise. The Company has evaluated events occurring subsequent to March 31, 2023</w:t>
      </w:r>
      <w:r>
        <w:rPr>
          <w:rFonts w:ascii="Times New Roman" w:hAnsi="Times New Roman"/>
          <w:sz w:val="20"/>
        </w:rPr>
        <w:t xml:space="preserve"> </w:t>
      </w:r>
      <w:r>
        <w:rPr>
          <w:rFonts w:ascii="Times New Roman;serif" w:hAnsi="Times New Roman;serif"/>
          <w:b w:val="false"/>
          <w:sz w:val="20"/>
        </w:rPr>
        <w:t>for potential recognition or disclosure in the Condensed Consolidated Financial Statements and concluded there were no subsequent events that required recognition or disclosure other than those provided in Note 13.</w:t>
      </w:r>
    </w:p>
    <w:p>
      <w:pPr>
        <w:pStyle w:val="TextBody"/>
        <w:bidi w:val="0"/>
        <w:spacing w:before="12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Unaudited Interim Financial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interim Condensed Consolidated Balance Sheet as of March 31, 2023 and the Condensed Consolidated Statements of Comprehensive Loss, the Condensed Consolidated Statements of Stockholders’ Equity and the Condensed Consolidated Statements of Cash Flows for the three months ended March 31, 2023 and 2022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March 31, 2023 and the results of its operations and its cash flows for the three months ended March 31, 2023 and 2022. The results for the three months ended March 31, 2023 and 2022 are not necessarily indicative of results to be expected for the year ending December 31, 2023</w:t>
      </w:r>
      <w:r>
        <w:rPr>
          <w:rFonts w:ascii="Times New Roman" w:hAnsi="Times New Roman"/>
          <w:sz w:val="20"/>
        </w:rPr>
        <w:t xml:space="preserve"> </w:t>
      </w:r>
      <w:r>
        <w:rPr>
          <w:rFonts w:ascii="Times New Roman;serif" w:hAnsi="Times New Roman;serif"/>
          <w:b w:val="false"/>
          <w:sz w:val="20"/>
        </w:rPr>
        <w:t>or any other interim period or any future year or period.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Cash Equivalents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classifies short-term, highly liquid investments with an original term of three months or less at the date of purchase as cash equivalents.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Marketable Securities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generally invests its excess cash in money market funds and investment grade short- to intermediate-term fixed income securities. Such investments are included in cash and cash equivalents or marketable securities on the Condensed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with unrealized gains and losses included as a component of stockholders’ equity. The amortized cost of debt securities is adjusted for amortization of premiums and accretion of discounts to maturity, which is included in interest income, net on the Condensed Consolidated Statements of Comprehensive Loss. Realized gains and losses and declines in value judged to be other-than-temporary, if any, on marketable securities are included in interest income, net on the Condensed Consolidated Statements of Comprehensive Loss. The cost of securities sold is determined using specific identification.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evaluates whether declines in the fair values of its marketable securities below their amortized cost are other-than temporary on a quarterly basis.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pStyle w:val="TextBody"/>
        <w:bidi w:val="0"/>
        <w:spacing w:before="120" w:after="0"/>
        <w:jc w:val="left"/>
        <w:rPr>
          <w:rFonts w:ascii="Times New Roman" w:hAnsi="Times New Roman"/>
          <w:sz w:val="20"/>
        </w:rPr>
      </w:pPr>
      <w:r>
        <w:rPr>
          <w:rFonts w:ascii="Times New Roman;serif" w:hAnsi="Times New Roman;serif"/>
          <w:b/>
          <w:i/>
          <w:sz w:val="20"/>
        </w:rPr>
        <w:t>Fair Value Measurements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carrying amount of the term loan approximates its fair value due to its floating market-based interest rate. The fair value of the term loan derivative liability is estimated utilizing a probability-weighted cash flow approach. The warrants to acquire the Company’s common stock are not required to be accounted for at fair value.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Current accounting guidance defines fair value, establishes a framework for measuring fair value in accordance with Accounting Standards Codification (“ASC”) 820, </w:t>
      </w:r>
      <w:r>
        <w:rPr>
          <w:rFonts w:ascii="Times New Roman;serif" w:hAnsi="Times New Roman;serif"/>
          <w:b w:val="false"/>
          <w:i/>
          <w:sz w:val="20"/>
        </w:rPr>
        <w:t>Fair Value Measurements and Disclosures,</w:t>
      </w:r>
      <w:r>
        <w:rPr>
          <w:rFonts w:ascii="Times New Roman" w:hAnsi="Times New Roman"/>
          <w:sz w:val="20"/>
        </w:rPr>
        <w:t xml:space="preserve"> </w:t>
      </w:r>
      <w:r>
        <w:rPr>
          <w:rFonts w:ascii="Times New Roman;serif" w:hAnsi="Times New Roman;serif"/>
          <w:b w:val="false"/>
          <w:sz w:val="20"/>
        </w:rPr>
        <w:t>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1—Observable inputs—quoted prices in active markets for identical assets and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3—Unobservable inputs—includes amounts derived from valuation models where one or more significant inputs are unobservable and require the company to develop relevant assumptions.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Valuation Techniques - Level 2 Inputs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Property, Equipment and Leasehold Improvements</w:t>
      </w:r>
    </w:p>
    <w:p>
      <w:pPr>
        <w:pStyle w:val="TextBody"/>
        <w:bidi w:val="0"/>
        <w:spacing w:before="120" w:after="0"/>
        <w:jc w:val="left"/>
        <w:rPr>
          <w:rFonts w:ascii="Times New Roman" w:hAnsi="Times New Roman"/>
          <w:sz w:val="20"/>
        </w:rPr>
      </w:pPr>
      <w:r>
        <w:rPr>
          <w:rFonts w:ascii="Times New Roman;serif" w:hAnsi="Times New Roman;serif"/>
          <w:b w:val="false"/>
          <w:sz w:val="20"/>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w:t>
      </w:r>
      <w:r>
        <w:rPr>
          <w:rFonts w:ascii="Times New Roman" w:hAnsi="Times New Roman"/>
          <w:sz w:val="20"/>
        </w:rPr>
        <w:t xml:space="preserve"> </w:t>
      </w:r>
      <w:r>
        <w:rPr>
          <w:rFonts w:ascii="Times New Roman;serif" w:hAnsi="Times New Roman;serif"/>
          <w:b w:val="false"/>
          <w:sz w:val="20"/>
        </w:rPr>
        <w:t>for computer equipment, five years</w:t>
      </w:r>
      <w:r>
        <w:rPr>
          <w:rFonts w:ascii="Times New Roman" w:hAnsi="Times New Roman"/>
          <w:sz w:val="20"/>
        </w:rPr>
        <w:t xml:space="preserve"> </w:t>
      </w:r>
      <w:r>
        <w:rPr>
          <w:rFonts w:ascii="Times New Roman;serif" w:hAnsi="Times New Roman;serif"/>
          <w:b w:val="false"/>
          <w:sz w:val="20"/>
        </w:rPr>
        <w:t>for furniture and office equipment, and the shorter of the term of the lease or useful life for leasehold improvements).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Impairment of Long-Lived Assets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ASC 360, </w:t>
      </w:r>
      <w:r>
        <w:rPr>
          <w:rFonts w:ascii="Times New Roman;serif" w:hAnsi="Times New Roman;serif"/>
          <w:b w:val="false"/>
          <w:i/>
          <w:sz w:val="20"/>
        </w:rPr>
        <w:t>Property, Plant and Equipment,</w:t>
      </w:r>
      <w:r>
        <w:rPr>
          <w:rFonts w:ascii="Times New Roman" w:hAnsi="Times New Roman"/>
          <w:sz w:val="20"/>
        </w:rPr>
        <w:t xml:space="preserve"> </w:t>
      </w:r>
      <w:r>
        <w:rPr>
          <w:rFonts w:ascii="Times New Roman;serif" w:hAnsi="Times New Roman;serif"/>
          <w:b w:val="false"/>
          <w:sz w:val="20"/>
        </w:rPr>
        <w:t>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Foreign Currency Transactions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the Condensed Consolidated Statements of Comprehensive Loss.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Deferred Offering Costs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operating expenses. The deferred offering costs are included in Other non-current assets on the Condensed Consolidated Balance Sheets.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Research and Development ("R&amp;D")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does not allocate its costs by each indication for which it is developing Haduvio, as a significant amount of the Company’s development activities broadly support all indications. In addition, several of the Company’s departments support the Company’s Haduvio drug candidate development program and the Company does not identify internal costs for each potential indication. The Company expenses both internal and external R&amp;D expenses as they are incurred.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Accrued R&amp;D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Patent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patent-related costs in connection with filing and prosecuting patent applications are expensed to general and administrative expense as incurred, as recoverability of such expenditures is uncertain.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Warrants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serif" w:hAnsi="Times New Roman;serif"/>
          <w:b w:val="false"/>
          <w:i/>
          <w:sz w:val="20"/>
        </w:rPr>
        <w:t xml:space="preserve">Distinguishing Liabilities from Equity </w:t>
      </w:r>
      <w:r>
        <w:rPr>
          <w:rFonts w:ascii="Times New Roman;serif" w:hAnsi="Times New Roman;serif"/>
          <w:b w:val="false"/>
          <w:sz w:val="20"/>
        </w:rPr>
        <w:t xml:space="preserve">(“ASC 480”), and then in accordance with ASC 815, </w:t>
      </w:r>
      <w:r>
        <w:rPr>
          <w:rFonts w:ascii="Times New Roman;serif" w:hAnsi="Times New Roman;serif"/>
          <w:b w:val="false"/>
          <w:i/>
          <w:sz w:val="20"/>
        </w:rPr>
        <w:t>Derivatives and Hedging</w:t>
      </w:r>
      <w:r>
        <w:rPr>
          <w:rFonts w:ascii="Times New Roman" w:hAnsi="Times New Roman"/>
          <w:sz w:val="20"/>
        </w:rPr>
        <w:t xml:space="preserve"> </w:t>
      </w:r>
      <w:r>
        <w:rPr>
          <w:rFonts w:ascii="Times New Roman;serif" w:hAnsi="Times New Roman;serif"/>
          <w:b w:val="false"/>
          <w:sz w:val="20"/>
        </w:rPr>
        <w:t>(“ASC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accounts for stock-based compensation arrangements with employees and non-employees for consultancy services in accordance with ASC 718, </w:t>
      </w:r>
      <w:r>
        <w:rPr>
          <w:rFonts w:ascii="Times New Roman;serif" w:hAnsi="Times New Roman;serif"/>
          <w:b w:val="false"/>
          <w:i/>
          <w:sz w:val="20"/>
        </w:rPr>
        <w:t xml:space="preserve">Stock Compensation </w:t>
      </w:r>
      <w:r>
        <w:rPr>
          <w:rFonts w:ascii="Times New Roman;serif" w:hAnsi="Times New Roman;serif"/>
          <w:b w:val="false"/>
          <w:sz w:val="20"/>
        </w:rPr>
        <w:t>(“ASC 718”). ASC 718 requires the recognition of compensation expense,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variables can materially affect the fair value and ultimately how much stock-based compensation expense is recognized. These inputs are subjective and generally require analysis and judgment to develop.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pStyle w:val="TextBody"/>
        <w:bidi w:val="0"/>
        <w:spacing w:before="120" w:after="0"/>
        <w:jc w:val="left"/>
        <w:rPr>
          <w:rFonts w:ascii="Times New Roman" w:hAnsi="Times New Roman"/>
          <w:sz w:val="20"/>
        </w:rPr>
      </w:pPr>
      <w:r>
        <w:rPr>
          <w:rFonts w:ascii="Times New Roman;serif" w:hAnsi="Times New Roman;serif"/>
          <w:b w:val="false"/>
          <w:sz w:val="20"/>
        </w:rPr>
        <w:t>Expected Dividend—The Black-Scholes valuation model calls for a single expected dividend yield as an input. The Company currently has no</w:t>
      </w:r>
      <w:r>
        <w:rPr>
          <w:rFonts w:ascii="Times New Roman" w:hAnsi="Times New Roman"/>
          <w:sz w:val="20"/>
        </w:rPr>
        <w:t xml:space="preserve"> </w:t>
      </w:r>
      <w:r>
        <w:rPr>
          <w:rFonts w:ascii="Times New Roman;serif" w:hAnsi="Times New Roman;serif"/>
          <w:b w:val="false"/>
          <w:sz w:val="20"/>
        </w:rPr>
        <w:t>history or expectation of paying cash dividends on its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Risk-Free Interest Rate—The risk-free interest rate is based on the yield available on U.S. Treasury zero-coupon issues similar in duration to the expected term of the stock-based award.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applies the provisions of ASC 740,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March 31, 2023 and December 31, 2022. The Company does not have any interest or penalties accrued related to tax positions as it does not have any unrecognized tax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Under ASC 842, </w:t>
      </w:r>
      <w:r>
        <w:rPr>
          <w:rFonts w:ascii="Times New Roman;serif" w:hAnsi="Times New Roman;serif"/>
          <w:b w:val="false"/>
          <w:i/>
          <w:sz w:val="20"/>
        </w:rPr>
        <w:t>Leases</w:t>
      </w:r>
      <w:r>
        <w:rPr>
          <w:rFonts w:ascii="Times New Roman" w:hAnsi="Times New Roman"/>
          <w:sz w:val="20"/>
        </w:rPr>
        <w:t xml:space="preserve"> </w:t>
      </w:r>
      <w:r>
        <w:rPr>
          <w:rFonts w:ascii="Times New Roman;serif" w:hAnsi="Times New Roman;serif"/>
          <w:b w:val="false"/>
          <w:sz w:val="20"/>
        </w:rPr>
        <w:t>(“ASC 842”),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 of use to an underlying asset for the term of the lease and the liability represents the Company’s obligation to make lease payments arising from the lease. If the Company’s leases do not provide an implicit rate within the lease, the Company uses its incremental borrowing rate, based on information available at the commencement date of the lease to determine the present value of the lease payments.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pStyle w:val="TextBody"/>
        <w:bidi w:val="0"/>
        <w:spacing w:before="120" w:after="0"/>
        <w:jc w:val="left"/>
        <w:rPr>
          <w:rFonts w:ascii="Times New Roman" w:hAnsi="Times New Roman"/>
          <w:sz w:val="20"/>
        </w:rPr>
      </w:pPr>
      <w:r>
        <w:rPr>
          <w:rFonts w:ascii="Times New Roman;serif" w:hAnsi="Times New Roman;serif"/>
          <w:b/>
          <w:i/>
          <w:sz w:val="20"/>
        </w:rPr>
        <w:t>Basic and Diluted Net Loss per Common Share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Segments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one</w:t>
      </w:r>
      <w:r>
        <w:rPr>
          <w:rFonts w:ascii="Times New Roman" w:hAnsi="Times New Roman"/>
          <w:sz w:val="20"/>
        </w:rPr>
        <w:t xml:space="preserve"> </w:t>
      </w:r>
      <w:r>
        <w:rPr>
          <w:rFonts w:ascii="Times New Roman;serif" w:hAnsi="Times New Roman;serif"/>
          <w:b w:val="false"/>
          <w:sz w:val="20"/>
        </w:rPr>
        <w:t>reporting segment which is also the Company’s only operating segment. Management uses one measurement of profitability and does not segregate its business for internal reporting. All long-lived assets are maintained in the U.S.</w:t>
      </w:r>
    </w:p>
    <w:p>
      <w:pPr>
        <w:pStyle w:val="TextBody"/>
        <w:bidi w:val="0"/>
        <w:spacing w:before="120" w:after="0"/>
        <w:jc w:val="left"/>
        <w:rPr>
          <w:rFonts w:ascii="Times New Roman" w:hAnsi="Times New Roman"/>
          <w:sz w:val="20"/>
        </w:rPr>
      </w:pPr>
      <w:r>
        <w:rPr>
          <w:rFonts w:ascii="Times New Roman;serif" w:hAnsi="Times New Roman;serif"/>
          <w:b/>
          <w:i/>
          <w:sz w:val="20"/>
        </w:rPr>
        <w:t>Recently Adopted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no new pronouncements adopted during the three months ended March 31, 2023.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Recently Issued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new pronouncements issued during the three months ended March 31, 2023, which could be expected to materially impact the Company’s Condensed Consolidated Financial Statements.</w:t>
      </w:r>
    </w:p>
    <w:p>
      <w:pPr>
        <w:pStyle w:val="TextBody"/>
        <w:bidi w:val="0"/>
        <w:spacing w:before="120" w:after="0"/>
        <w:jc w:val="left"/>
        <w:rPr>
          <w:rFonts w:ascii="Times New Roman" w:hAnsi="Times New Roman"/>
          <w:b/>
          <w:sz w:val="20"/>
        </w:rPr>
      </w:pPr>
      <w:r>
        <w:rPr>
          <w:rFonts w:ascii="Times New Roman" w:hAnsi="Times New Roman"/>
          <w:b/>
          <w:sz w:val="20"/>
        </w:rPr>
        <w:t>3.</w:t>
      </w:r>
    </w:p>
    <w:p>
      <w:pPr>
        <w:pStyle w:val="TextBody"/>
        <w:bidi w:val="0"/>
        <w:spacing w:before="120" w:after="283"/>
        <w:jc w:val="left"/>
        <w:rPr>
          <w:rFonts w:ascii="Times New Roman;serif" w:hAnsi="Times New Roman;serif"/>
          <w:b/>
          <w:sz w:val="20"/>
        </w:rPr>
      </w:pPr>
      <w:r>
        <w:rPr>
          <w:rFonts w:ascii="Times New Roman;serif" w:hAnsi="Times New Roman;serif"/>
          <w:b/>
          <w:sz w:val="20"/>
        </w:rPr>
        <w:t>Marketable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fair value and amortized cost of available-for-sale marketable securities by major security type as of March 31, 2023 and December 31, 2022 are presented in the following table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52"/>
        <w:gridCol w:w="146"/>
        <w:gridCol w:w="307"/>
        <w:gridCol w:w="987"/>
        <w:gridCol w:w="146"/>
        <w:gridCol w:w="146"/>
        <w:gridCol w:w="673"/>
        <w:gridCol w:w="1106"/>
        <w:gridCol w:w="146"/>
        <w:gridCol w:w="146"/>
        <w:gridCol w:w="553"/>
        <w:gridCol w:w="1267"/>
        <w:gridCol w:w="166"/>
        <w:gridCol w:w="146"/>
        <w:gridCol w:w="384"/>
        <w:gridCol w:w="1237"/>
        <w:gridCol w:w="297"/>
      </w:tblGrid>
      <w:tr>
        <w:trPr/>
        <w:tc>
          <w:tcPr>
            <w:tcW w:w="2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3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1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Type of security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 Fair Value</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65,766</w:t>
            </w:r>
          </w:p>
        </w:tc>
        <w:tc>
          <w:tcPr>
            <w:tcW w:w="297" w:type="dxa"/>
            <w:tcBorders/>
            <w:vAlign w:val="center"/>
          </w:tcPr>
          <w:p>
            <w:pPr>
              <w:pStyle w:val="TableContents"/>
              <w:bidi w:val="0"/>
              <w:spacing w:before="0" w:after="0"/>
              <w:ind w:left="0" w:right="0" w:hanging="0"/>
              <w:jc w:val="left"/>
              <w:rPr/>
            </w:pPr>
            <w:r>
              <w:rPr/>
              <w:t> </w:t>
            </w:r>
          </w:p>
        </w:tc>
      </w:tr>
      <w:tr>
        <w:trPr/>
        <w:tc>
          <w:tcPr>
            <w:tcW w:w="2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19,001</w:t>
            </w:r>
          </w:p>
        </w:tc>
        <w:tc>
          <w:tcPr>
            <w:tcW w:w="297" w:type="dxa"/>
            <w:tcBorders/>
            <w:vAlign w:val="center"/>
          </w:tcPr>
          <w:p>
            <w:pPr>
              <w:pStyle w:val="TableContents"/>
              <w:bidi w:val="0"/>
              <w:spacing w:before="0" w:after="0"/>
              <w:ind w:left="0" w:right="0" w:hanging="0"/>
              <w:jc w:val="left"/>
              <w:rPr/>
            </w:pPr>
            <w:r>
              <w:rPr/>
              <w:t> </w:t>
            </w:r>
          </w:p>
        </w:tc>
      </w:tr>
      <w:tr>
        <w:trPr/>
        <w:tc>
          <w:tcPr>
            <w:tcW w:w="2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7,952</w:t>
            </w:r>
          </w:p>
        </w:tc>
        <w:tc>
          <w:tcPr>
            <w:tcW w:w="297" w:type="dxa"/>
            <w:tcBorders/>
            <w:vAlign w:val="center"/>
          </w:tcPr>
          <w:p>
            <w:pPr>
              <w:pStyle w:val="TableContents"/>
              <w:bidi w:val="0"/>
              <w:spacing w:before="0" w:after="0"/>
              <w:ind w:left="0" w:right="0" w:hanging="0"/>
              <w:jc w:val="left"/>
              <w:rPr/>
            </w:pPr>
            <w:r>
              <w:rPr/>
              <w:t> </w:t>
            </w:r>
          </w:p>
        </w:tc>
      </w:tr>
      <w:tr>
        <w:trPr/>
        <w:tc>
          <w:tcPr>
            <w:tcW w:w="2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4,955</w:t>
            </w:r>
          </w:p>
        </w:tc>
        <w:tc>
          <w:tcPr>
            <w:tcW w:w="297" w:type="dxa"/>
            <w:tcBorders/>
            <w:vAlign w:val="center"/>
          </w:tcPr>
          <w:p>
            <w:pPr>
              <w:pStyle w:val="TableContents"/>
              <w:bidi w:val="0"/>
              <w:spacing w:before="0" w:after="0"/>
              <w:ind w:left="0" w:right="0" w:hanging="0"/>
              <w:jc w:val="left"/>
              <w:rPr/>
            </w:pPr>
            <w:r>
              <w:rPr/>
              <w:t> </w:t>
            </w:r>
          </w:p>
        </w:tc>
      </w:tr>
      <w:tr>
        <w:trPr/>
        <w:tc>
          <w:tcPr>
            <w:tcW w:w="2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1,933</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35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99,607</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49"/>
        <w:gridCol w:w="146"/>
        <w:gridCol w:w="273"/>
        <w:gridCol w:w="1020"/>
        <w:gridCol w:w="146"/>
        <w:gridCol w:w="146"/>
        <w:gridCol w:w="672"/>
        <w:gridCol w:w="1105"/>
        <w:gridCol w:w="146"/>
        <w:gridCol w:w="146"/>
        <w:gridCol w:w="553"/>
        <w:gridCol w:w="1266"/>
        <w:gridCol w:w="166"/>
        <w:gridCol w:w="146"/>
        <w:gridCol w:w="346"/>
        <w:gridCol w:w="1283"/>
        <w:gridCol w:w="296"/>
      </w:tblGrid>
      <w:tr>
        <w:trPr/>
        <w:tc>
          <w:tcPr>
            <w:tcW w:w="2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1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Type of Security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 Fair Value</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62,513</w:t>
            </w:r>
          </w:p>
        </w:tc>
        <w:tc>
          <w:tcPr>
            <w:tcW w:w="296"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30,739</w:t>
            </w:r>
          </w:p>
        </w:tc>
        <w:tc>
          <w:tcPr>
            <w:tcW w:w="296"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9,852</w:t>
            </w:r>
          </w:p>
        </w:tc>
        <w:tc>
          <w:tcPr>
            <w:tcW w:w="296"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w:t>
            </w:r>
          </w:p>
        </w:tc>
        <w:tc>
          <w:tcPr>
            <w:tcW w:w="296"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34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107,921</w:t>
            </w:r>
          </w:p>
        </w:tc>
        <w:tc>
          <w:tcPr>
            <w:tcW w:w="2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net amortized cost and fair value of available-for-sale marketable securities at March 31, 2023 and December 31, 2022, respectively, are shown below by contractual maturity. Actual maturities may differ from contractual maturities because securities may be restructured, called or prepaid, or the Company may intend to sell a security prior to maturity.</w:t>
      </w:r>
    </w:p>
    <w:p>
      <w:pPr>
        <w:pStyle w:val="TextBody"/>
        <w:bidi w:val="0"/>
        <w:spacing w:before="0" w:after="0"/>
        <w:jc w:val="left"/>
        <w:rPr/>
      </w:pPr>
      <w:r>
        <w:rPr/>
        <w:t> </w:t>
      </w:r>
    </w:p>
    <w:tbl>
      <w:tblPr>
        <w:tblW w:w="5515" w:type="dxa"/>
        <w:jc w:val="left"/>
        <w:tblInd w:w="0" w:type="dxa"/>
        <w:tblLayout w:type="fixed"/>
        <w:tblCellMar>
          <w:top w:w="28" w:type="dxa"/>
          <w:left w:w="28" w:type="dxa"/>
          <w:bottom w:w="28" w:type="dxa"/>
          <w:right w:w="28" w:type="dxa"/>
        </w:tblCellMar>
      </w:tblPr>
      <w:tblGrid>
        <w:gridCol w:w="2341"/>
        <w:gridCol w:w="146"/>
        <w:gridCol w:w="338"/>
        <w:gridCol w:w="1087"/>
        <w:gridCol w:w="146"/>
        <w:gridCol w:w="146"/>
        <w:gridCol w:w="242"/>
        <w:gridCol w:w="778"/>
        <w:gridCol w:w="2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to mature:</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3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than one year</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66,592</w:t>
            </w:r>
          </w:p>
        </w:tc>
        <w:tc>
          <w:tcPr>
            <w:tcW w:w="291" w:type="dxa"/>
            <w:tcBorders/>
            <w:vAlign w:val="center"/>
          </w:tcPr>
          <w:p>
            <w:pPr>
              <w:pStyle w:val="TableContents"/>
              <w:bidi w:val="0"/>
              <w:spacing w:before="0" w:after="0"/>
              <w:ind w:left="0" w:right="0" w:firstLine="100"/>
              <w:jc w:val="left"/>
              <w:rPr/>
            </w:pPr>
            <w:r>
              <w:rPr/>
              <w:t> </w:t>
            </w:r>
          </w:p>
        </w:tc>
      </w:tr>
      <w:tr>
        <w:trPr/>
        <w:tc>
          <w:tcPr>
            <w:tcW w:w="23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One year through two years</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33,015</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99,607</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515" w:type="dxa"/>
        <w:jc w:val="left"/>
        <w:tblInd w:w="0" w:type="dxa"/>
        <w:tblLayout w:type="fixed"/>
        <w:tblCellMar>
          <w:top w:w="28" w:type="dxa"/>
          <w:left w:w="28" w:type="dxa"/>
          <w:bottom w:w="28" w:type="dxa"/>
          <w:right w:w="28" w:type="dxa"/>
        </w:tblCellMar>
      </w:tblPr>
      <w:tblGrid>
        <w:gridCol w:w="2341"/>
        <w:gridCol w:w="146"/>
        <w:gridCol w:w="301"/>
        <w:gridCol w:w="1124"/>
        <w:gridCol w:w="146"/>
        <w:gridCol w:w="146"/>
        <w:gridCol w:w="217"/>
        <w:gridCol w:w="803"/>
        <w:gridCol w:w="2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to mature:</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3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than one year</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69,367</w:t>
            </w:r>
          </w:p>
        </w:tc>
        <w:tc>
          <w:tcPr>
            <w:tcW w:w="291" w:type="dxa"/>
            <w:tcBorders/>
            <w:vAlign w:val="center"/>
          </w:tcPr>
          <w:p>
            <w:pPr>
              <w:pStyle w:val="TableContents"/>
              <w:bidi w:val="0"/>
              <w:spacing w:before="0" w:after="0"/>
              <w:ind w:left="0" w:right="0" w:firstLine="100"/>
              <w:jc w:val="left"/>
              <w:rPr/>
            </w:pPr>
            <w:r>
              <w:rPr/>
              <w:t> </w:t>
            </w:r>
          </w:p>
        </w:tc>
      </w:tr>
      <w:tr>
        <w:trPr/>
        <w:tc>
          <w:tcPr>
            <w:tcW w:w="23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One year through two years</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38,554</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107,921</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there were no</w:t>
      </w:r>
      <w:r>
        <w:rPr>
          <w:rFonts w:ascii="Times New Roman" w:hAnsi="Times New Roman"/>
          <w:sz w:val="20"/>
        </w:rPr>
        <w:t xml:space="preserve"> </w:t>
      </w:r>
      <w:r>
        <w:rPr>
          <w:rFonts w:ascii="Times New Roman;serif" w:hAnsi="Times New Roman;serif"/>
          <w:b w:val="false"/>
          <w:sz w:val="20"/>
        </w:rPr>
        <w:t>realized gains or losses on available-for-sale marketable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no</w:t>
      </w:r>
      <w:r>
        <w:rPr>
          <w:rFonts w:ascii="Times New Roman" w:hAnsi="Times New Roman"/>
          <w:sz w:val="20"/>
        </w:rPr>
        <w:t xml:space="preserve"> </w:t>
      </w:r>
      <w:r>
        <w:rPr>
          <w:rFonts w:ascii="Times New Roman;serif" w:hAnsi="Times New Roman;serif"/>
          <w:b w:val="false"/>
          <w:sz w:val="20"/>
        </w:rPr>
        <w:t>marketable securities had been in a continuous unrealized loss position for more than 12 months and the Company did not recognize any other-than-temporary impairment losses on marketable securities.</w:t>
      </w:r>
    </w:p>
    <w:p>
      <w:pPr>
        <w:pStyle w:val="TextBody"/>
        <w:bidi w:val="0"/>
        <w:spacing w:before="120" w:after="0"/>
        <w:jc w:val="left"/>
        <w:rPr>
          <w:rFonts w:ascii="Times New Roman" w:hAnsi="Times New Roman"/>
          <w:b/>
          <w:sz w:val="20"/>
        </w:rPr>
      </w:pPr>
      <w:r>
        <w:rPr>
          <w:rFonts w:ascii="Times New Roman" w:hAnsi="Times New Roman"/>
          <w:b/>
          <w:sz w:val="20"/>
        </w:rPr>
        <w:t>4.</w:t>
      </w:r>
    </w:p>
    <w:p>
      <w:pPr>
        <w:pStyle w:val="TextBody"/>
        <w:bidi w:val="0"/>
        <w:spacing w:before="120" w:after="283"/>
        <w:jc w:val="left"/>
        <w:rPr>
          <w:rFonts w:ascii="Times New Roman;serif" w:hAnsi="Times New Roman;serif"/>
          <w:b/>
          <w:sz w:val="20"/>
        </w:rPr>
      </w:pPr>
      <w:r>
        <w:rPr>
          <w:rFonts w:ascii="Times New Roman;serif" w:hAnsi="Times New Roman;serif"/>
          <w:b/>
          <w:sz w:val="20"/>
        </w:rPr>
        <w:t>Fair Value Measurements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financial assets and financial liabilities measured at fair value on a recurring basis as of March 31, 2023 and December 31, 2022, and the basis for that measurement, by level within the fair value hierarchy:</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45"/>
        <w:gridCol w:w="146"/>
        <w:gridCol w:w="2807"/>
        <w:gridCol w:w="146"/>
        <w:gridCol w:w="211"/>
        <w:gridCol w:w="676"/>
        <w:gridCol w:w="146"/>
        <w:gridCol w:w="146"/>
        <w:gridCol w:w="211"/>
        <w:gridCol w:w="676"/>
        <w:gridCol w:w="146"/>
        <w:gridCol w:w="146"/>
        <w:gridCol w:w="274"/>
        <w:gridCol w:w="453"/>
        <w:gridCol w:w="146"/>
        <w:gridCol w:w="146"/>
        <w:gridCol w:w="211"/>
        <w:gridCol w:w="781"/>
        <w:gridCol w:w="292"/>
      </w:tblGrid>
      <w:tr>
        <w:trPr/>
        <w:tc>
          <w:tcPr>
            <w:tcW w:w="2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 Measurement Using:</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Balance Sheet 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Type of Instrument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2" w:type="dxa"/>
            <w:tcBorders/>
            <w:vAlign w:val="center"/>
          </w:tcPr>
          <w:p>
            <w:pPr>
              <w:pStyle w:val="TableContents"/>
              <w:bidi w:val="0"/>
              <w:spacing w:before="0" w:after="0"/>
              <w:ind w:left="0" w:right="0" w:hanging="0"/>
              <w:jc w:val="right"/>
              <w:rPr/>
            </w:pPr>
            <w:r>
              <w:rPr/>
              <w:t> </w:t>
            </w:r>
          </w:p>
        </w:tc>
      </w:tr>
      <w:tr>
        <w:trPr/>
        <w:tc>
          <w:tcPr>
            <w:tcW w:w="2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2" w:type="dxa"/>
            <w:tcBorders/>
            <w:vAlign w:val="center"/>
          </w:tcPr>
          <w:p>
            <w:pPr>
              <w:pStyle w:val="TableContents"/>
              <w:bidi w:val="0"/>
              <w:spacing w:before="0" w:after="0"/>
              <w:ind w:left="0" w:right="0" w:firstLine="100"/>
              <w:jc w:val="righ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10,651</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65,766</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19,001</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7,952</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4,955</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1,933</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110,258</w:t>
            </w:r>
          </w:p>
        </w:tc>
        <w:tc>
          <w:tcPr>
            <w:tcW w:w="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45"/>
        <w:gridCol w:w="146"/>
        <w:gridCol w:w="2807"/>
        <w:gridCol w:w="146"/>
        <w:gridCol w:w="211"/>
        <w:gridCol w:w="676"/>
        <w:gridCol w:w="146"/>
        <w:gridCol w:w="146"/>
        <w:gridCol w:w="211"/>
        <w:gridCol w:w="676"/>
        <w:gridCol w:w="146"/>
        <w:gridCol w:w="146"/>
        <w:gridCol w:w="274"/>
        <w:gridCol w:w="453"/>
        <w:gridCol w:w="146"/>
        <w:gridCol w:w="146"/>
        <w:gridCol w:w="211"/>
        <w:gridCol w:w="781"/>
        <w:gridCol w:w="292"/>
      </w:tblGrid>
      <w:tr>
        <w:trPr/>
        <w:tc>
          <w:tcPr>
            <w:tcW w:w="2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 Measurement Using:</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Balance Sheet 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Type of Instrument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2" w:type="dxa"/>
            <w:tcBorders/>
            <w:vAlign w:val="center"/>
          </w:tcPr>
          <w:p>
            <w:pPr>
              <w:pStyle w:val="TableContents"/>
              <w:bidi w:val="0"/>
              <w:spacing w:before="0" w:after="0"/>
              <w:ind w:left="0" w:right="0" w:hanging="0"/>
              <w:jc w:val="right"/>
              <w:rPr/>
            </w:pPr>
            <w:r>
              <w:rPr/>
              <w:t> </w:t>
            </w:r>
          </w:p>
        </w:tc>
      </w:tr>
      <w:tr>
        <w:trPr/>
        <w:tc>
          <w:tcPr>
            <w:tcW w:w="2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2" w:type="dxa"/>
            <w:tcBorders/>
            <w:vAlign w:val="center"/>
          </w:tcPr>
          <w:p>
            <w:pPr>
              <w:pStyle w:val="TableContents"/>
              <w:bidi w:val="0"/>
              <w:spacing w:before="0" w:after="0"/>
              <w:ind w:left="0" w:right="0" w:firstLine="100"/>
              <w:jc w:val="righ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11,589</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62,513</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30,739</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9,852</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119,510</w:t>
            </w:r>
          </w:p>
        </w:tc>
        <w:tc>
          <w:tcPr>
            <w:tcW w:w="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5.</w:t>
      </w:r>
    </w:p>
    <w:p>
      <w:pPr>
        <w:pStyle w:val="TextBody"/>
        <w:bidi w:val="0"/>
        <w:spacing w:before="120" w:after="283"/>
        <w:jc w:val="left"/>
        <w:rPr>
          <w:rFonts w:ascii="Times New Roman;serif" w:hAnsi="Times New Roman;serif"/>
          <w:b/>
          <w:sz w:val="20"/>
        </w:rPr>
      </w:pPr>
      <w:r>
        <w:rPr>
          <w:rFonts w:ascii="Times New Roman;serif" w:hAnsi="Times New Roman;serif"/>
          <w:b/>
          <w:sz w:val="20"/>
        </w:rPr>
        <w:t>Leases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entered into a lease for office space in New Haven, CT, effective March 1, 2013, and entered into a First Amendment to such lease on December 5, 2017 and a Second Amendment (the “Second Amendment”) to such lease on November 21, 2022 (collectively, the “Office Space Lease”). The leased space approximated 5,600</w:t>
      </w:r>
      <w:r>
        <w:rPr>
          <w:rFonts w:ascii="Times New Roman" w:hAnsi="Times New Roman"/>
          <w:sz w:val="20"/>
        </w:rPr>
        <w:t xml:space="preserve"> </w:t>
      </w:r>
      <w:r>
        <w:rPr>
          <w:rFonts w:ascii="Times New Roman;serif" w:hAnsi="Times New Roman;serif"/>
          <w:b w:val="false"/>
          <w:sz w:val="20"/>
        </w:rPr>
        <w:t>square feet and, prior to the Second Amendment, the Office Space Lease had a term of 60</w:t>
      </w:r>
      <w:r>
        <w:rPr>
          <w:rFonts w:ascii="Times New Roman" w:hAnsi="Times New Roman"/>
          <w:sz w:val="20"/>
        </w:rPr>
        <w:t xml:space="preserve"> </w:t>
      </w:r>
      <w:r>
        <w:rPr>
          <w:rFonts w:ascii="Times New Roman;serif" w:hAnsi="Times New Roman;serif"/>
          <w:b w:val="false"/>
          <w:sz w:val="20"/>
        </w:rPr>
        <w:t>months expiring on February 28, 2023. Under the First Amendment, the Company was required to make monthly payments ranging from approximately $10</w:t>
      </w:r>
      <w:r>
        <w:rPr>
          <w:rFonts w:ascii="Times New Roman" w:hAnsi="Times New Roman"/>
          <w:sz w:val="20"/>
        </w:rPr>
        <w:t xml:space="preserve"> </w:t>
      </w:r>
      <w:r>
        <w:rPr>
          <w:rFonts w:ascii="Times New Roman;serif" w:hAnsi="Times New Roman;serif"/>
          <w:b w:val="false"/>
          <w:sz w:val="20"/>
        </w:rPr>
        <w:t>to $12</w:t>
      </w:r>
      <w:r>
        <w:rPr>
          <w:rFonts w:ascii="Times New Roman" w:hAnsi="Times New Roman"/>
          <w:sz w:val="20"/>
        </w:rPr>
        <w:t xml:space="preserve"> </w:t>
      </w:r>
      <w:r>
        <w:rPr>
          <w:rFonts w:ascii="Times New Roman;serif" w:hAnsi="Times New Roman;serif"/>
          <w:b w:val="false"/>
          <w:sz w:val="20"/>
        </w:rPr>
        <w:t>through February 1, 2023 and received two designated months of free rent. As a result of the Company entering into the Second Amendment, the leased space increased to 12,500</w:t>
      </w:r>
      <w:r>
        <w:rPr>
          <w:rFonts w:ascii="Times New Roman" w:hAnsi="Times New Roman"/>
          <w:sz w:val="20"/>
        </w:rPr>
        <w:t xml:space="preserve"> </w:t>
      </w:r>
      <w:r>
        <w:rPr>
          <w:rFonts w:ascii="Times New Roman;serif" w:hAnsi="Times New Roman;serif"/>
          <w:b w:val="false"/>
          <w:sz w:val="20"/>
        </w:rPr>
        <w:t>square feet effective in March 2023 and the term for the Office Space Lease was extended for an additional 60</w:t>
      </w:r>
      <w:r>
        <w:rPr>
          <w:rFonts w:ascii="Times New Roman" w:hAnsi="Times New Roman"/>
          <w:sz w:val="20"/>
        </w:rPr>
        <w:t xml:space="preserve"> </w:t>
      </w:r>
      <w:r>
        <w:rPr>
          <w:rFonts w:ascii="Times New Roman;serif" w:hAnsi="Times New Roman;serif"/>
          <w:b w:val="false"/>
          <w:sz w:val="20"/>
        </w:rPr>
        <w:t>months from its prior termination date, until February 28, 2028. The Second Amendment requires monthly payments ranging from approximately $23</w:t>
      </w:r>
      <w:r>
        <w:rPr>
          <w:rFonts w:ascii="Times New Roman" w:hAnsi="Times New Roman"/>
          <w:sz w:val="20"/>
        </w:rPr>
        <w:t xml:space="preserve"> </w:t>
      </w:r>
      <w:r>
        <w:rPr>
          <w:rFonts w:ascii="Times New Roman;serif" w:hAnsi="Times New Roman;serif"/>
          <w:b w:val="false"/>
          <w:sz w:val="20"/>
        </w:rPr>
        <w:t>to $32</w:t>
      </w:r>
      <w:r>
        <w:rPr>
          <w:rFonts w:ascii="Times New Roman" w:hAnsi="Times New Roman"/>
          <w:sz w:val="20"/>
        </w:rPr>
        <w:t xml:space="preserve"> </w:t>
      </w:r>
      <w:r>
        <w:rPr>
          <w:rFonts w:ascii="Times New Roman;serif" w:hAnsi="Times New Roman;serif"/>
          <w:b w:val="false"/>
          <w:sz w:val="20"/>
        </w:rPr>
        <w:t>effective in March 2023 through February 2028. The first year of payments are based on 10,500</w:t>
      </w:r>
      <w:r>
        <w:rPr>
          <w:rFonts w:ascii="Times New Roman" w:hAnsi="Times New Roman"/>
          <w:sz w:val="20"/>
        </w:rPr>
        <w:t xml:space="preserve"> </w:t>
      </w:r>
      <w:r>
        <w:rPr>
          <w:rFonts w:ascii="Times New Roman;serif" w:hAnsi="Times New Roman;serif"/>
          <w:b w:val="false"/>
          <w:sz w:val="20"/>
        </w:rPr>
        <w:t>square feet of occupied space, the second year of payments are based on 11,500</w:t>
      </w:r>
      <w:r>
        <w:rPr>
          <w:rFonts w:ascii="Times New Roman" w:hAnsi="Times New Roman"/>
          <w:sz w:val="20"/>
        </w:rPr>
        <w:t xml:space="preserve"> </w:t>
      </w:r>
      <w:r>
        <w:rPr>
          <w:rFonts w:ascii="Times New Roman;serif" w:hAnsi="Times New Roman;serif"/>
          <w:b w:val="false"/>
          <w:sz w:val="20"/>
        </w:rPr>
        <w:t>square feet of occupied space and the remaining lease payments are based on 12,500</w:t>
      </w:r>
      <w:r>
        <w:rPr>
          <w:rFonts w:ascii="Times New Roman" w:hAnsi="Times New Roman"/>
          <w:sz w:val="20"/>
        </w:rPr>
        <w:t xml:space="preserve"> </w:t>
      </w:r>
      <w:r>
        <w:rPr>
          <w:rFonts w:ascii="Times New Roman;serif" w:hAnsi="Times New Roman;serif"/>
          <w:b w:val="false"/>
          <w:sz w:val="20"/>
        </w:rPr>
        <w:t>square feet of occupied space.</w:t>
      </w:r>
    </w:p>
    <w:p>
      <w:pPr>
        <w:pStyle w:val="TextBody"/>
        <w:bidi w:val="0"/>
        <w:spacing w:before="120" w:after="0"/>
        <w:jc w:val="left"/>
        <w:rPr>
          <w:rFonts w:ascii="Times New Roman" w:hAnsi="Times New Roman"/>
          <w:sz w:val="20"/>
        </w:rPr>
      </w:pPr>
      <w:r>
        <w:rPr>
          <w:rFonts w:ascii="Times New Roman;serif" w:hAnsi="Times New Roman;serif"/>
          <w:b w:val="false"/>
          <w:sz w:val="20"/>
        </w:rPr>
        <w:t>In December 2022, the Company entered into a 24</w:t>
      </w:r>
      <w:r>
        <w:rPr>
          <w:rFonts w:ascii="Times New Roman" w:hAnsi="Times New Roman"/>
          <w:sz w:val="20"/>
        </w:rPr>
        <w:t xml:space="preserve"> </w:t>
      </w:r>
      <w:r>
        <w:rPr>
          <w:rFonts w:ascii="Times New Roman;serif" w:hAnsi="Times New Roman;serif"/>
          <w:b w:val="false"/>
          <w:sz w:val="20"/>
        </w:rPr>
        <w:t>month lease for the financing of the furniture installed in the Company’s new office space. The furniture lease requires monthly payments of approximately $11</w:t>
      </w:r>
      <w:r>
        <w:rPr>
          <w:rFonts w:ascii="Times New Roman" w:hAnsi="Times New Roman"/>
          <w:sz w:val="20"/>
        </w:rPr>
        <w:t xml:space="preserve"> </w:t>
      </w:r>
      <w:r>
        <w:rPr>
          <w:rFonts w:ascii="Times New Roman;serif" w:hAnsi="Times New Roman;serif"/>
          <w:b w:val="false"/>
          <w:sz w:val="20"/>
        </w:rPr>
        <w:t>starting in March 2023. The Company also entered into an immaterial office equipment lease during 2022 that has a term of 36</w:t>
      </w:r>
      <w:r>
        <w:rPr>
          <w:rFonts w:ascii="Times New Roman" w:hAnsi="Times New Roman"/>
          <w:sz w:val="20"/>
        </w:rPr>
        <w:t xml:space="preserve"> </w:t>
      </w:r>
      <w:r>
        <w:rPr>
          <w:rFonts w:ascii="Times New Roman;serif" w:hAnsi="Times New Roman;serif"/>
          <w:b w:val="false"/>
          <w:sz w:val="20"/>
        </w:rPr>
        <w:t>months.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our lease-related assets and liabilities as of March 31, 2023 and December 31, 2022:</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71"/>
        <w:gridCol w:w="146"/>
        <w:gridCol w:w="4335"/>
        <w:gridCol w:w="146"/>
        <w:gridCol w:w="335"/>
        <w:gridCol w:w="909"/>
        <w:gridCol w:w="146"/>
        <w:gridCol w:w="146"/>
        <w:gridCol w:w="558"/>
        <w:gridCol w:w="920"/>
        <w:gridCol w:w="393"/>
      </w:tblGrid>
      <w:tr>
        <w:trPr/>
        <w:tc>
          <w:tcPr>
            <w:tcW w:w="2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1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Classification on the Condensed Consolidated Balance Sheet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78"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21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assets</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3" w:type="dxa"/>
            <w:tcBorders/>
            <w:vAlign w:val="center"/>
          </w:tcPr>
          <w:p>
            <w:pPr>
              <w:pStyle w:val="TableContents"/>
              <w:bidi w:val="0"/>
              <w:spacing w:before="0" w:after="0"/>
              <w:ind w:left="0" w:right="0" w:firstLine="100"/>
              <w:jc w:val="left"/>
              <w:rPr/>
            </w:pPr>
            <w:r>
              <w:rPr/>
              <w:t> </w:t>
            </w:r>
          </w:p>
        </w:tc>
      </w:tr>
      <w:tr>
        <w:trPr/>
        <w:tc>
          <w:tcPr>
            <w:tcW w:w="21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 assets</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right-of-use assets</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1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assets</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78"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2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78"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21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current portion</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93" w:type="dxa"/>
            <w:tcBorders/>
            <w:vAlign w:val="center"/>
          </w:tcPr>
          <w:p>
            <w:pPr>
              <w:pStyle w:val="TableContents"/>
              <w:bidi w:val="0"/>
              <w:spacing w:before="0" w:after="0"/>
              <w:ind w:left="0" w:right="0" w:firstLine="100"/>
              <w:jc w:val="left"/>
              <w:rPr/>
            </w:pPr>
            <w:r>
              <w:rPr/>
              <w:t> </w:t>
            </w:r>
          </w:p>
        </w:tc>
      </w:tr>
      <w:tr>
        <w:trPr/>
        <w:tc>
          <w:tcPr>
            <w:tcW w:w="21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 liabilities</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current portion</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r>
      <w:tr>
        <w:trPr/>
        <w:tc>
          <w:tcPr>
            <w:tcW w:w="2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78"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21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 portion</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3" w:type="dxa"/>
            <w:tcBorders/>
            <w:vAlign w:val="center"/>
          </w:tcPr>
          <w:p>
            <w:pPr>
              <w:pStyle w:val="TableContents"/>
              <w:bidi w:val="0"/>
              <w:spacing w:before="0" w:after="0"/>
              <w:ind w:left="0" w:right="0" w:firstLine="100"/>
              <w:jc w:val="left"/>
              <w:rPr/>
            </w:pPr>
            <w:r>
              <w:rPr/>
              <w:t> </w:t>
            </w:r>
          </w:p>
        </w:tc>
      </w:tr>
      <w:tr>
        <w:trPr/>
        <w:tc>
          <w:tcPr>
            <w:tcW w:w="21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 liabilities</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non-current portion</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1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43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presents information related to our lease expense for the three months ended March 31, 2023 and 2022:</w:t>
      </w:r>
    </w:p>
    <w:p>
      <w:pPr>
        <w:pStyle w:val="TextBody"/>
        <w:bidi w:val="0"/>
        <w:spacing w:before="0" w:after="0"/>
        <w:jc w:val="left"/>
        <w:rPr/>
      </w:pPr>
      <w:r>
        <w:rPr/>
        <w:t> </w:t>
      </w:r>
    </w:p>
    <w:tbl>
      <w:tblPr>
        <w:tblW w:w="4027" w:type="dxa"/>
        <w:jc w:val="left"/>
        <w:tblInd w:w="0" w:type="dxa"/>
        <w:tblLayout w:type="fixed"/>
        <w:tblCellMar>
          <w:top w:w="28" w:type="dxa"/>
          <w:left w:w="28" w:type="dxa"/>
          <w:bottom w:w="28" w:type="dxa"/>
          <w:right w:w="28" w:type="dxa"/>
        </w:tblCellMar>
      </w:tblPr>
      <w:tblGrid>
        <w:gridCol w:w="2086"/>
        <w:gridCol w:w="146"/>
        <w:gridCol w:w="251"/>
        <w:gridCol w:w="377"/>
        <w:gridCol w:w="174"/>
        <w:gridCol w:w="174"/>
        <w:gridCol w:w="251"/>
        <w:gridCol w:w="377"/>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center"/>
              <w:rPr/>
            </w:pPr>
            <w:r>
              <w:rPr/>
              <w:t> </w:t>
            </w:r>
          </w:p>
        </w:tc>
        <w:tc>
          <w:tcPr>
            <w:tcW w:w="6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expense</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expense</w:t>
            </w:r>
          </w:p>
        </w:tc>
        <w:tc>
          <w:tcPr>
            <w:tcW w:w="146" w:type="dxa"/>
            <w:tcBorders/>
            <w:vAlign w:val="center"/>
          </w:tcPr>
          <w:p>
            <w:pPr>
              <w:pStyle w:val="TableContents"/>
              <w:bidi w:val="0"/>
              <w:spacing w:before="0" w:after="0"/>
              <w:ind w:left="0" w:right="0" w:hanging="0"/>
              <w:jc w:val="left"/>
              <w:rPr/>
            </w:pPr>
            <w:r>
              <w:rPr/>
              <w:t> </w:t>
            </w:r>
          </w:p>
        </w:tc>
        <w:tc>
          <w:tcPr>
            <w:tcW w:w="25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7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Future minimum lease payments from March 31, 2023 until the expiration of the leases are as follows:</w:t>
      </w:r>
    </w:p>
    <w:p>
      <w:pPr>
        <w:pStyle w:val="TextBody"/>
        <w:bidi w:val="0"/>
        <w:spacing w:before="0" w:after="0"/>
        <w:jc w:val="left"/>
        <w:rPr/>
      </w:pPr>
      <w:r>
        <w:rPr/>
        <w:t> </w:t>
      </w:r>
    </w:p>
    <w:tbl>
      <w:tblPr>
        <w:tblW w:w="7645" w:type="dxa"/>
        <w:jc w:val="left"/>
        <w:tblInd w:w="0" w:type="dxa"/>
        <w:tblLayout w:type="fixed"/>
        <w:tblCellMar>
          <w:top w:w="28" w:type="dxa"/>
          <w:left w:w="28" w:type="dxa"/>
          <w:bottom w:w="28" w:type="dxa"/>
          <w:right w:w="28" w:type="dxa"/>
        </w:tblCellMar>
      </w:tblPr>
      <w:tblGrid>
        <w:gridCol w:w="4426"/>
        <w:gridCol w:w="146"/>
        <w:gridCol w:w="367"/>
        <w:gridCol w:w="998"/>
        <w:gridCol w:w="166"/>
        <w:gridCol w:w="146"/>
        <w:gridCol w:w="394"/>
        <w:gridCol w:w="79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Finance Leases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 of lease payments representing interest</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future minimum lease payments</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presents certain information related to the lease terms and discount rates for our leases as of March 31, 2023 and December 31, 2022:</w:t>
      </w:r>
    </w:p>
    <w:p>
      <w:pPr>
        <w:pStyle w:val="TextBody"/>
        <w:bidi w:val="0"/>
        <w:spacing w:before="0" w:after="0"/>
        <w:jc w:val="left"/>
        <w:rPr/>
      </w:pPr>
      <w:r>
        <w:rPr/>
        <w:t> </w:t>
      </w:r>
    </w:p>
    <w:tbl>
      <w:tblPr>
        <w:tblW w:w="7115" w:type="dxa"/>
        <w:jc w:val="left"/>
        <w:tblInd w:w="0" w:type="dxa"/>
        <w:tblLayout w:type="fixed"/>
        <w:tblCellMar>
          <w:top w:w="28" w:type="dxa"/>
          <w:left w:w="28" w:type="dxa"/>
          <w:bottom w:w="28" w:type="dxa"/>
          <w:right w:w="28" w:type="dxa"/>
        </w:tblCellMar>
      </w:tblPr>
      <w:tblGrid>
        <w:gridCol w:w="3376"/>
        <w:gridCol w:w="146"/>
        <w:gridCol w:w="256"/>
        <w:gridCol w:w="1004"/>
        <w:gridCol w:w="271"/>
        <w:gridCol w:w="146"/>
        <w:gridCol w:w="305"/>
        <w:gridCol w:w="1195"/>
        <w:gridCol w:w="4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firstLine="100"/>
              <w:jc w:val="right"/>
              <w:rPr/>
            </w:pPr>
            <w:r>
              <w:rPr/>
              <w:t> </w:t>
            </w:r>
          </w:p>
        </w:tc>
      </w:tr>
      <w:tr>
        <w:trPr/>
        <w:tc>
          <w:tcPr>
            <w:tcW w:w="33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5.0</w:t>
            </w:r>
            <w:r>
              <w:rPr>
                <w:rFonts w:ascii="Times New Roman" w:hAnsi="Times New Roman"/>
                <w:sz w:val="20"/>
              </w:rPr>
              <w:t> </w:t>
            </w:r>
            <w:r>
              <w:rPr>
                <w:rFonts w:ascii="Times New Roman;serif" w:hAnsi="Times New Roman;serif"/>
                <w:b w:val="false"/>
                <w:sz w:val="20"/>
              </w:rPr>
              <w:t>years</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0.3</w:t>
            </w:r>
            <w:r>
              <w:rPr>
                <w:rFonts w:ascii="Times New Roman" w:hAnsi="Times New Roman"/>
                <w:sz w:val="20"/>
              </w:rPr>
              <w:t> </w:t>
            </w:r>
            <w:r>
              <w:rPr>
                <w:rFonts w:ascii="Times New Roman;serif" w:hAnsi="Times New Roman;serif"/>
                <w:b w:val="false"/>
                <w:sz w:val="20"/>
              </w:rPr>
              <w:t>years</w:t>
            </w:r>
          </w:p>
        </w:tc>
        <w:tc>
          <w:tcPr>
            <w:tcW w:w="416" w:type="dxa"/>
            <w:tcBorders/>
            <w:vAlign w:val="center"/>
          </w:tcPr>
          <w:p>
            <w:pPr>
              <w:pStyle w:val="TableContents"/>
              <w:bidi w:val="0"/>
              <w:spacing w:before="0" w:after="0"/>
              <w:ind w:left="0" w:right="0" w:firstLine="100"/>
              <w:jc w:val="right"/>
              <w:rPr/>
            </w:pPr>
            <w:r>
              <w:rPr/>
              <w:t> </w:t>
            </w:r>
          </w:p>
        </w:tc>
      </w:tr>
      <w:tr>
        <w:trPr/>
        <w:tc>
          <w:tcPr>
            <w:tcW w:w="33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2.0</w:t>
            </w:r>
            <w:r>
              <w:rPr>
                <w:rFonts w:ascii="Times New Roman" w:hAnsi="Times New Roman"/>
                <w:sz w:val="20"/>
              </w:rPr>
              <w:t> </w:t>
            </w:r>
            <w:r>
              <w:rPr>
                <w:rFonts w:ascii="Times New Roman;serif" w:hAnsi="Times New Roman;serif"/>
                <w:b w:val="false"/>
                <w:sz w:val="20"/>
              </w:rPr>
              <w:t>years</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firstLine="200"/>
              <w:jc w:val="left"/>
              <w:rPr/>
            </w:pPr>
            <w:r>
              <w:rPr/>
              <w:t> </w:t>
            </w:r>
          </w:p>
        </w:tc>
      </w:tr>
      <w:tr>
        <w:trPr/>
        <w:tc>
          <w:tcPr>
            <w:tcW w:w="337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hanging="0"/>
              <w:jc w:val="righ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firstLine="100"/>
              <w:jc w:val="right"/>
              <w:rPr/>
            </w:pPr>
            <w:r>
              <w:rPr/>
              <w:t> </w:t>
            </w:r>
          </w:p>
        </w:tc>
      </w:tr>
      <w:tr>
        <w:trPr/>
        <w:tc>
          <w:tcPr>
            <w:tcW w:w="33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13.00</w:t>
            </w:r>
          </w:p>
        </w:tc>
        <w:tc>
          <w:tcPr>
            <w:tcW w:w="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3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presents supplemental cash flow information related to our leases for the three months ended March 31, 2023 and 2022:</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364" w:type="dxa"/>
        <w:jc w:val="left"/>
        <w:tblInd w:w="0" w:type="dxa"/>
        <w:tblLayout w:type="fixed"/>
        <w:tblCellMar>
          <w:top w:w="28" w:type="dxa"/>
          <w:left w:w="28" w:type="dxa"/>
          <w:bottom w:w="28" w:type="dxa"/>
          <w:right w:w="28" w:type="dxa"/>
        </w:tblCellMar>
      </w:tblPr>
      <w:tblGrid>
        <w:gridCol w:w="6196"/>
        <w:gridCol w:w="146"/>
        <w:gridCol w:w="211"/>
        <w:gridCol w:w="571"/>
        <w:gridCol w:w="146"/>
        <w:gridCol w:w="146"/>
        <w:gridCol w:w="211"/>
        <w:gridCol w:w="346"/>
        <w:gridCol w:w="3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firstLine="200"/>
              <w:jc w:val="center"/>
              <w:rPr/>
            </w:pPr>
            <w:r>
              <w:rPr/>
              <w:t> </w:t>
            </w:r>
          </w:p>
        </w:tc>
      </w:tr>
      <w:tr>
        <w:trPr/>
        <w:tc>
          <w:tcPr>
            <w:tcW w:w="6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outflows relating to 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non-cash information:</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 obtained in exchange for new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6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 obtained in exchange for new finance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6.</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Accrued Expenses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Accrued expenses consisted of the following:</w:t>
      </w:r>
    </w:p>
    <w:tbl>
      <w:tblPr>
        <w:tblW w:w="6940" w:type="dxa"/>
        <w:jc w:val="left"/>
        <w:tblInd w:w="0" w:type="dxa"/>
        <w:tblLayout w:type="fixed"/>
        <w:tblCellMar>
          <w:top w:w="28" w:type="dxa"/>
          <w:left w:w="28" w:type="dxa"/>
          <w:bottom w:w="28" w:type="dxa"/>
          <w:right w:w="28" w:type="dxa"/>
        </w:tblCellMar>
      </w:tblPr>
      <w:tblGrid>
        <w:gridCol w:w="3451"/>
        <w:gridCol w:w="146"/>
        <w:gridCol w:w="340"/>
        <w:gridCol w:w="920"/>
        <w:gridCol w:w="146"/>
        <w:gridCol w:w="146"/>
        <w:gridCol w:w="403"/>
        <w:gridCol w:w="1097"/>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R&amp;D projects</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 and benefits</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consulting and professional fees</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other</w:t>
            </w:r>
          </w:p>
        </w:tc>
        <w:tc>
          <w:tcPr>
            <w:tcW w:w="146" w:type="dxa"/>
            <w:tcBorders/>
            <w:vAlign w:val="center"/>
          </w:tcPr>
          <w:p>
            <w:pPr>
              <w:pStyle w:val="TableContents"/>
              <w:bidi w:val="0"/>
              <w:spacing w:before="0" w:after="0"/>
              <w:ind w:left="0" w:right="0" w:hanging="0"/>
              <w:jc w:val="left"/>
              <w:rPr/>
            </w:pPr>
            <w:r>
              <w:rPr/>
              <w:t> </w:t>
            </w:r>
          </w:p>
        </w:tc>
        <w:tc>
          <w:tcPr>
            <w:tcW w:w="3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4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accrued expenses</w:t>
            </w:r>
          </w:p>
        </w:tc>
        <w:tc>
          <w:tcPr>
            <w:tcW w:w="146" w:type="dxa"/>
            <w:tcBorders/>
            <w:vAlign w:val="center"/>
          </w:tcPr>
          <w:p>
            <w:pPr>
              <w:pStyle w:val="TableContents"/>
              <w:bidi w:val="0"/>
              <w:spacing w:before="0" w:after="0"/>
              <w:ind w:left="0" w:right="0" w:hanging="0"/>
              <w:jc w:val="left"/>
              <w:rPr/>
            </w:pPr>
            <w:r>
              <w:rPr/>
              <w:t> </w:t>
            </w:r>
          </w:p>
        </w:tc>
        <w:tc>
          <w:tcPr>
            <w:tcW w:w="3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3,518</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7.</w:t>
      </w:r>
    </w:p>
    <w:p>
      <w:pPr>
        <w:pStyle w:val="TextBody"/>
        <w:bidi w:val="0"/>
        <w:jc w:val="left"/>
        <w:rPr>
          <w:rFonts w:ascii="Times New Roman;serif" w:hAnsi="Times New Roman;serif"/>
          <w:b/>
          <w:sz w:val="20"/>
        </w:rPr>
      </w:pPr>
      <w:r>
        <w:rPr>
          <w:rFonts w:ascii="Times New Roman;serif" w:hAnsi="Times New Roman;serif"/>
          <w:b/>
          <w:sz w:val="20"/>
        </w:rPr>
        <w:t>Debt</w:t>
      </w:r>
    </w:p>
    <w:p>
      <w:pPr>
        <w:pStyle w:val="TextBody"/>
        <w:bidi w:val="0"/>
        <w:spacing w:before="120" w:after="0"/>
        <w:jc w:val="left"/>
        <w:rPr>
          <w:rFonts w:ascii="Times New Roman" w:hAnsi="Times New Roman"/>
          <w:sz w:val="20"/>
        </w:rPr>
      </w:pPr>
      <w:r>
        <w:rPr>
          <w:rFonts w:ascii="Times New Roman;serif" w:hAnsi="Times New Roman;serif"/>
          <w:b/>
          <w:i/>
          <w:sz w:val="20"/>
        </w:rPr>
        <w:t>Silicon Valley Bank Term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March 10, 2023, Silicon Valley Bank ("SVB") was closed by the California Department of Financial Protection and Innovation and the Federal Deposit Insurance Corporation (“FDIC”) was appointed as receiver. While SVB was the Company’s primary bank at the time of its closure, the vast majority of the Company’s total cash, cash equivalents and marketable securities resided in custodial accounts held by U.S. Bank for which SVB Asset Management was the advisor. The FDIC subsequently transferred all of SVB’s deposits and loans to a newly created bridge bank, named Silicon Valley Bridge Bank, N.A., under a systemic risk exception approved by the United States Department of the Treasury, the Board of Governors of the Federal Reserve, and the FDIC. On March 27, 2023, First Citizens Bank &amp; Trust Company (“First Citizens Bank”) assumed all of SVB’s deposits and certain other liabilities and acquired substantially all of SVB’s loans and certain other assets from the FDIC. As a result, all of the Company’s deposits that were at SVB and the Company’s SVB Term Loan (as described below) were then moved to First Citizens Bank. The Company currently has access to all cash, cash equivalents and marketable securities that had been in its SVB accounts, and does not expect losses or material disruptions to the Company’s ongoing operations due to SVB’s closure. On May 9, 2023, the Company paid the remaining amount due under the SVB Loan Agreement (as described below), resulting in the full extinguishment of the SVB Term Loan (see Note 13 for additional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13, 2020 (the “Effective Date”), the Company entered into a loan and security agreement (the “SVB Loan Agreement”) with SVB, as lender, pursuant to which SVB provided a term loan to the Company in the original principal amount of $14.0</w:t>
      </w:r>
      <w:r>
        <w:rPr>
          <w:rFonts w:ascii="Times New Roman" w:hAnsi="Times New Roman"/>
          <w:sz w:val="20"/>
        </w:rPr>
        <w:t xml:space="preserve"> </w:t>
      </w:r>
      <w:r>
        <w:rPr>
          <w:rFonts w:ascii="Times New Roman;serif" w:hAnsi="Times New Roman;serif"/>
          <w:b w:val="false"/>
          <w:sz w:val="20"/>
        </w:rPr>
        <w:t>million (the “SVB Term Loan”). The SVB Term Loan bears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 (A) the prime rate plus 3.00% and (B) 6.25% (see term loan derivative liability discussion below). Commencing on March 1, 2022 and on the first business day of each month thereafter, the Company was required to make monthly interest payments and to repay the SVB Term Loan in 24</w:t>
      </w:r>
      <w:r>
        <w:rPr>
          <w:rFonts w:ascii="Times New Roman" w:hAnsi="Times New Roman"/>
          <w:sz w:val="20"/>
        </w:rPr>
        <w:t xml:space="preserve"> </w:t>
      </w:r>
      <w:r>
        <w:rPr>
          <w:rFonts w:ascii="Times New Roman;serif" w:hAnsi="Times New Roman;serif"/>
          <w:b w:val="false"/>
          <w:sz w:val="20"/>
        </w:rPr>
        <w:t>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permitted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w:t>
      </w:r>
      <w:r>
        <w:rPr>
          <w:rFonts w:ascii="Times New Roman" w:hAnsi="Times New Roman"/>
          <w:sz w:val="20"/>
        </w:rPr>
        <w:t xml:space="preserve"> </w:t>
      </w:r>
      <w:r>
        <w:rPr>
          <w:rFonts w:ascii="Times New Roman;serif" w:hAnsi="Times New Roman;serif"/>
          <w:b w:val="false"/>
          <w:sz w:val="20"/>
        </w:rPr>
        <w:t>million. The SVB Term Loan and related obligations under the SVB Loan Agreement were secured by substantially all of the Company’s properties, rights and assets, except for its intellectual property (which is subject to a negative pledge under the SVB Loan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On July 6, 2021, the Company and SVB entered into a First Amendment (the “Loan Amendment”) to the SVB Loan Agreement. The Loan Amendment modified the conditions under which the Company was required to cash collateralize all outstanding amounts owed to SVB under the SVB Loan Agreement. Under the Loan Amendment, if the Company failed to receive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would be required to deposit unrestricted and unencumbered cash equal to 100% of all outstanding amounts owed to SVB in a cash collateral account with SVB, which could be used by SVB to prepay the SVB Term Loan at any time.</w:t>
      </w:r>
      <w:r>
        <w:rPr>
          <w:rFonts w:ascii="Times New Roman" w:hAnsi="Times New Roman"/>
          <w:sz w:val="20"/>
        </w:rPr>
        <w:t xml:space="preserve"> </w:t>
      </w:r>
      <w:r>
        <w:rPr>
          <w:rFonts w:ascii="Times New Roman;serif" w:hAnsi="Times New Roman;serif"/>
          <w:b w:val="false"/>
          <w:sz w:val="20"/>
        </w:rPr>
        <w:t>In addition, the Loan Amendment provided that if the Company failed to maintain at least $20.0</w:t>
      </w:r>
      <w:r>
        <w:rPr>
          <w:rFonts w:ascii="Times New Roman" w:hAnsi="Times New Roman"/>
          <w:sz w:val="20"/>
        </w:rPr>
        <w:t xml:space="preserve"> </w:t>
      </w:r>
      <w:r>
        <w:rPr>
          <w:rFonts w:ascii="Times New Roman;serif" w:hAnsi="Times New Roman;serif"/>
          <w:b w:val="false"/>
          <w:sz w:val="20"/>
        </w:rPr>
        <w:t>million in unrestricted and unencumbered cash in its accounts with SVB at any time prior to the satisfaction of all the Milestone Conditions (the “Minimum Required Cash”), the Company would be required to cash collateralize all outstanding amounts owed to SVB under the SVB Loan Agreement. The Company would also have been required to cash collateralize all outstanding amounts owed to SVB under the SVB Loan Agreement if it did not raise at least $15.0</w:t>
      </w:r>
      <w:r>
        <w:rPr>
          <w:rFonts w:ascii="Times New Roman" w:hAnsi="Times New Roman"/>
          <w:sz w:val="20"/>
        </w:rPr>
        <w:t xml:space="preserve"> </w:t>
      </w:r>
      <w:r>
        <w:rPr>
          <w:rFonts w:ascii="Times New Roman;serif" w:hAnsi="Times New Roman;serif"/>
          <w:b w:val="false"/>
          <w:sz w:val="20"/>
        </w:rPr>
        <w:t>million in net proceeds from the sale of equity securities during the period from June 1, 2021 through October 31, 2021. The Company satisfied this equity funding condition through a combination of equity issuances under the Company’s at-the-market Sales Agreement (“ATM Sales Agreement”) with SVB Securities LLC (formerly SVB Leerink LLC) (“SVB Securities”) and two</w:t>
      </w:r>
      <w:r>
        <w:rPr>
          <w:rFonts w:ascii="Times New Roman" w:hAnsi="Times New Roman"/>
          <w:sz w:val="20"/>
        </w:rPr>
        <w:t xml:space="preserve"> </w:t>
      </w:r>
      <w:r>
        <w:rPr>
          <w:rFonts w:ascii="Times New Roman;serif" w:hAnsi="Times New Roman;serif"/>
          <w:b w:val="false"/>
          <w:sz w:val="20"/>
        </w:rPr>
        <w:t>private placements, which took place in October 2021 (see Note 8).</w:t>
      </w:r>
    </w:p>
    <w:p>
      <w:pPr>
        <w:pStyle w:val="TextBody"/>
        <w:bidi w:val="0"/>
        <w:spacing w:before="120" w:after="0"/>
        <w:jc w:val="left"/>
        <w:rPr>
          <w:rFonts w:ascii="Times New Roman" w:hAnsi="Times New Roman"/>
          <w:sz w:val="20"/>
        </w:rPr>
      </w:pPr>
      <w:r>
        <w:rPr>
          <w:rFonts w:ascii="Times New Roman;serif" w:hAnsi="Times New Roman;serif"/>
          <w:b w:val="false"/>
          <w:sz w:val="20"/>
        </w:rPr>
        <w:t>On April 6, 2022, the Company and SVB entered into a Third Amendment (the “Third Amendment”) to the SVB Loan Agreement. The Third Amendment principally modified the conditions under which the Company would be required to cash collateralize all outstanding amounts owed to SVB under the SVB Loan Agreement. Under the terms of the Third Amendment, if the Company raised $45.0</w:t>
      </w:r>
      <w:r>
        <w:rPr>
          <w:rFonts w:ascii="Times New Roman" w:hAnsi="Times New Roman"/>
          <w:sz w:val="20"/>
        </w:rPr>
        <w:t xml:space="preserve"> </w:t>
      </w:r>
      <w:r>
        <w:rPr>
          <w:rFonts w:ascii="Times New Roman;serif" w:hAnsi="Times New Roman;serif"/>
          <w:b w:val="false"/>
          <w:sz w:val="20"/>
        </w:rPr>
        <w:t>million in net proceeds from the sale of equity securities (the “2022 Equity Event”), the Company’s obligations to achieve the Milestone Conditions and maintain the Minimum Required Cash would terminate and the sole remaining trigger for cash collateralization would be if the Company did not receive positive final data by December 31, 2022 from either its Phase 2b/3 PRISM trial of Haduvio for prurigo nodularis or its Phase 2 CANAL trial of Haduvio for the treatment of chronic cough in IPF. In addition, the Third Amendment modified the interest rate on the principal amount outstanding under the Loan Agreement. As a result of the Third Amendment, amounts outstanding under the Loan Agreement accrued interest at a floating per annum rate equal to (i) prior to the occurrence of the 2022 Equity Event, the greater of (A) the prime rate plus 1.00% and (B) 4.25%, and (ii) upon and after the occurrence of the 2022 Equity Event, the greater of (A) the prime rate plus 3.00% and (B) 6.25%. The closing of the April 2022 Private Placement, as discussed in Note 8 below, constituted the 2022 Equity Event and thereby terminated the Company’s obligations to achieve the Milestone Conditions and maintain the Minimum Required Cash. On August 3, 2022, SVB confirmed that the reported data from the Phase 2b/3 PRISM trial satisfied the requirement for positive final data and that the cash collateralization requirements of the SVB Loan Agreement were no longer in effect.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SVB Loan Agreement contained customary representations, warranties, events of default and covenants. The occurrence and continuation of an event of default could cause interest to be charged at the rate that was otherwise applicable plus 5.00% (unless SVB elected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restricted the payment of dividends on the Company’s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2020, in connection with the SVB Term Loan, the Company paid $57</w:t>
      </w:r>
      <w:r>
        <w:rPr>
          <w:rFonts w:ascii="Times New Roman" w:hAnsi="Times New Roman"/>
          <w:sz w:val="20"/>
        </w:rPr>
        <w:t xml:space="preserve"> </w:t>
      </w:r>
      <w:r>
        <w:rPr>
          <w:rFonts w:ascii="Times New Roman;serif" w:hAnsi="Times New Roman;serif"/>
          <w:b w:val="false"/>
          <w:sz w:val="20"/>
        </w:rPr>
        <w:t>in financing costs to a third-party, which were recorded as deferred charges and will be amortized over the life of the SVB Term Loan using the effective interest method. In connection with the Loan Amendment, the Company paid $68</w:t>
      </w:r>
      <w:r>
        <w:rPr>
          <w:rFonts w:ascii="Times New Roman" w:hAnsi="Times New Roman"/>
          <w:sz w:val="20"/>
        </w:rPr>
        <w:t xml:space="preserve"> </w:t>
      </w:r>
      <w:r>
        <w:rPr>
          <w:rFonts w:ascii="Times New Roman;serif" w:hAnsi="Times New Roman;serif"/>
          <w:b w:val="false"/>
          <w:sz w:val="20"/>
        </w:rPr>
        <w:t>in financing costs to a third-party, which were recorded as deferred charges and will be amortized over the remaining life of the SVB Term Loan using the effective interest method. In connection with the Third Amendment, the Company paid $21</w:t>
      </w:r>
      <w:r>
        <w:rPr>
          <w:rFonts w:ascii="Times New Roman" w:hAnsi="Times New Roman"/>
          <w:sz w:val="20"/>
        </w:rPr>
        <w:t xml:space="preserve"> </w:t>
      </w:r>
      <w:r>
        <w:rPr>
          <w:rFonts w:ascii="Times New Roman;serif" w:hAnsi="Times New Roman;serif"/>
          <w:b w:val="false"/>
          <w:sz w:val="20"/>
        </w:rPr>
        <w:t>in financing costs to a third party, which were recorded as deferred charges and will be amortized over the remaining life of the SVB Term Loan using the effective interest method. Amortization of these deferred financing charges totaled $11</w:t>
      </w:r>
      <w:r>
        <w:rPr>
          <w:rFonts w:ascii="Times New Roman" w:hAnsi="Times New Roman"/>
          <w:sz w:val="20"/>
        </w:rPr>
        <w:t xml:space="preserve"> </w:t>
      </w:r>
      <w:r>
        <w:rPr>
          <w:rFonts w:ascii="Times New Roman;serif" w:hAnsi="Times New Roman;serif"/>
          <w:b w:val="false"/>
          <w:sz w:val="20"/>
        </w:rPr>
        <w:t>and $17</w:t>
      </w:r>
      <w:r>
        <w:rPr>
          <w:rFonts w:ascii="Times New Roman" w:hAnsi="Times New Roman"/>
          <w:sz w:val="20"/>
        </w:rPr>
        <w:t xml:space="preserve"> </w:t>
      </w:r>
      <w:r>
        <w:rPr>
          <w:rFonts w:ascii="Times New Roman;serif" w:hAnsi="Times New Roman;serif"/>
          <w:b w:val="false"/>
          <w:sz w:val="20"/>
        </w:rPr>
        <w:t>for the three months ended March 31, 2023 and 2022, respectively, and is included in interest expense in the Company’s Condensed Consolidated Statements of Comprehensive Loss. The unamortized deferred charges totaled $17</w:t>
      </w:r>
      <w:r>
        <w:rPr>
          <w:rFonts w:ascii="Times New Roman" w:hAnsi="Times New Roman"/>
          <w:sz w:val="20"/>
        </w:rPr>
        <w:t xml:space="preserve"> </w:t>
      </w:r>
      <w:r>
        <w:rPr>
          <w:rFonts w:ascii="Times New Roman;serif" w:hAnsi="Times New Roman;serif"/>
          <w:b w:val="false"/>
          <w:sz w:val="20"/>
        </w:rPr>
        <w:t>and $29</w:t>
      </w:r>
      <w:r>
        <w:rPr>
          <w:rFonts w:ascii="Times New Roman" w:hAnsi="Times New Roman"/>
          <w:sz w:val="20"/>
        </w:rPr>
        <w:t xml:space="preserve"> </w:t>
      </w:r>
      <w:r>
        <w:rPr>
          <w:rFonts w:ascii="Times New Roman;serif" w:hAnsi="Times New Roman;serif"/>
          <w:b w:val="false"/>
          <w:sz w:val="20"/>
        </w:rPr>
        <w:t>at March 31, 2023 and December 31, 2022, respectively, and are included as a direct reduction of the carrying value of the term loan payable on the Company’s Condensed Consolidated Balance Sheets.</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2020, in connection with the execution of the SVB Loan Agreement, the Company paid $27</w:t>
      </w:r>
      <w:r>
        <w:rPr>
          <w:rFonts w:ascii="Times New Roman" w:hAnsi="Times New Roman"/>
          <w:sz w:val="20"/>
        </w:rPr>
        <w:t xml:space="preserve"> </w:t>
      </w:r>
      <w:r>
        <w:rPr>
          <w:rFonts w:ascii="Times New Roman;serif" w:hAnsi="Times New Roman;serif"/>
          <w:b w:val="false"/>
          <w:sz w:val="20"/>
        </w:rPr>
        <w:t>in financing costs to SVB, which were recorded as loan discounts. These loan discounts are included as a reduction in the balance of the term loan payable on the Company’s Condensed Consolidated Balance Sheets and will be accreted over the life of the SVB Term Loan using the effective interest method. Accretion of these loan discounts totaled $1</w:t>
      </w:r>
      <w:r>
        <w:rPr>
          <w:rFonts w:ascii="Times New Roman" w:hAnsi="Times New Roman"/>
          <w:sz w:val="20"/>
        </w:rPr>
        <w:t xml:space="preserve"> </w:t>
      </w:r>
      <w:r>
        <w:rPr>
          <w:rFonts w:ascii="Times New Roman;serif" w:hAnsi="Times New Roman;serif"/>
          <w:b w:val="false"/>
          <w:sz w:val="20"/>
        </w:rPr>
        <w:t>and $2</w:t>
      </w:r>
      <w:r>
        <w:rPr>
          <w:rFonts w:ascii="Times New Roman" w:hAnsi="Times New Roman"/>
          <w:sz w:val="20"/>
        </w:rPr>
        <w:t xml:space="preserve"> </w:t>
      </w:r>
      <w:r>
        <w:rPr>
          <w:rFonts w:ascii="Times New Roman;serif" w:hAnsi="Times New Roman;serif"/>
          <w:b w:val="false"/>
          <w:sz w:val="20"/>
        </w:rPr>
        <w:t>for the three months ended March 31, 2023 and 2022, respectively, and is included in interest expense in the Company’s Condensed Consolidated Statements of Comprehensive Loss. At March 31, 2023 and December 31, 2022, the loan discount-financing costs balance was $2</w:t>
      </w:r>
      <w:r>
        <w:rPr>
          <w:rFonts w:ascii="Times New Roman" w:hAnsi="Times New Roman"/>
          <w:sz w:val="20"/>
        </w:rPr>
        <w:t xml:space="preserve"> </w:t>
      </w:r>
      <w:r>
        <w:rPr>
          <w:rFonts w:ascii="Times New Roman;serif" w:hAnsi="Times New Roman;serif"/>
          <w:b w:val="false"/>
          <w:sz w:val="20"/>
        </w:rPr>
        <w:t>and $3, respectively.</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SVB Loan Agreement, the Company was obligated to pay a final payment fee of $1.2</w:t>
      </w:r>
      <w:r>
        <w:rPr>
          <w:rFonts w:ascii="Times New Roman" w:hAnsi="Times New Roman"/>
          <w:sz w:val="20"/>
        </w:rPr>
        <w:t xml:space="preserve"> </w:t>
      </w:r>
      <w:r>
        <w:rPr>
          <w:rFonts w:ascii="Times New Roman;serif" w:hAnsi="Times New Roman;serif"/>
          <w:b w:val="false"/>
          <w:sz w:val="20"/>
        </w:rPr>
        <w:t>million upon repayment in full of the SVB Term Loan. The final payment fee was accrued over the life of the SVB Term Loan using the effective interest method and was included as an increase in the balance of the term loan payable on the Company’s Condensed Consolidated Balance Sheets. Accrual of this final payment fee totaled $59</w:t>
      </w:r>
      <w:r>
        <w:rPr>
          <w:rFonts w:ascii="Times New Roman" w:hAnsi="Times New Roman"/>
          <w:sz w:val="20"/>
        </w:rPr>
        <w:t xml:space="preserve"> </w:t>
      </w:r>
      <w:r>
        <w:rPr>
          <w:rFonts w:ascii="Times New Roman;serif" w:hAnsi="Times New Roman;serif"/>
          <w:b w:val="false"/>
          <w:sz w:val="20"/>
        </w:rPr>
        <w:t>and $117</w:t>
      </w:r>
      <w:r>
        <w:rPr>
          <w:rFonts w:ascii="Times New Roman" w:hAnsi="Times New Roman"/>
          <w:sz w:val="20"/>
        </w:rPr>
        <w:t xml:space="preserve"> </w:t>
      </w:r>
      <w:r>
        <w:rPr>
          <w:rFonts w:ascii="Times New Roman;serif" w:hAnsi="Times New Roman;serif"/>
          <w:b w:val="false"/>
          <w:sz w:val="20"/>
        </w:rPr>
        <w:t>for the three months ended March 31, 2023 and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respectively, and was included in interest expense in the Company’s Condensed Consolidated Statements of Comprehensive Loss. At March 31, 2023 and December 31, 2022, $1,098</w:t>
      </w:r>
      <w:r>
        <w:rPr>
          <w:rFonts w:ascii="Times New Roman" w:hAnsi="Times New Roman"/>
          <w:sz w:val="20"/>
        </w:rPr>
        <w:t xml:space="preserve"> </w:t>
      </w:r>
      <w:r>
        <w:rPr>
          <w:rFonts w:ascii="Times New Roman;serif" w:hAnsi="Times New Roman;serif"/>
          <w:b w:val="false"/>
          <w:sz w:val="20"/>
        </w:rPr>
        <w:t>and $1,040</w:t>
      </w:r>
      <w:r>
        <w:rPr>
          <w:rFonts w:ascii="Times New Roman" w:hAnsi="Times New Roman"/>
          <w:sz w:val="20"/>
        </w:rPr>
        <w:t xml:space="preserve"> </w:t>
      </w:r>
      <w:r>
        <w:rPr>
          <w:rFonts w:ascii="Times New Roman;serif" w:hAnsi="Times New Roman;serif"/>
          <w:b w:val="false"/>
          <w:sz w:val="20"/>
        </w:rPr>
        <w:t>was accrued for the final payment fee, respectively.</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Prior to the Third Amendment, the SVB Loan Agreement provided that upon SVB receiving evidence satisfactory to it that the Company had (i) received positive data for the Phase 2b/3 PRISM trial sufficient to advance Haduvio into a second Phase 3 clinical trial for prurigo nodularis and (ii) raised sufficient financing to fund such Phase 3 clinical trial and the Company’s operations, the interest rate on the SVB Term Loan would increase by 2.00% (the “Contingent Interest Rate Increase”) as described above. The Contingent Interest Rate Increase represented a free-standing financial instrument. Accordingly, the Company accounted for the Contingent Interest Rate Increase as a derivative under ASC 815, </w:t>
      </w:r>
      <w:r>
        <w:rPr>
          <w:rFonts w:ascii="Times New Roman;serif" w:hAnsi="Times New Roman;serif"/>
          <w:b w:val="false"/>
          <w:i/>
          <w:sz w:val="20"/>
        </w:rPr>
        <w:t>Derivatives and Hedging</w:t>
      </w:r>
      <w:r>
        <w:rPr>
          <w:rFonts w:ascii="Times New Roman" w:hAnsi="Times New Roman"/>
          <w:sz w:val="20"/>
        </w:rPr>
        <w:t xml:space="preserve"> </w:t>
      </w:r>
      <w:r>
        <w:rPr>
          <w:rFonts w:ascii="Times New Roman;serif" w:hAnsi="Times New Roman;serif"/>
          <w:b w:val="false"/>
          <w:sz w:val="20"/>
        </w:rPr>
        <w:t>and therefore, recorded a term loan derivative liability for the Contingent Interest Rate Increase at its fair value of $187</w:t>
      </w:r>
      <w:r>
        <w:rPr>
          <w:rFonts w:ascii="Times New Roman" w:hAnsi="Times New Roman"/>
          <w:sz w:val="20"/>
        </w:rPr>
        <w:t xml:space="preserve"> </w:t>
      </w:r>
      <w:r>
        <w:rPr>
          <w:rFonts w:ascii="Times New Roman;serif" w:hAnsi="Times New Roman;serif"/>
          <w:b w:val="false"/>
          <w:sz w:val="20"/>
        </w:rPr>
        <w:t>on the Effective Date of the SVB Loan Agreement. The Company adjusted this liability to fair value at each reporting date it remained outstanding, with such adjustments recorded as non-cash charges in other income (expense), net in the Company’s Condensed Consolidated Statements of Comprehensive Loss. The term loan derivative liability was previously presented as a current liability on the Company’s Condensed Consolidated Balance Sheets. Upon recording such term loan derivative liability, the Company also recorded an offsetting term loan discount – interest, to be amortized to interest expense in the Company’s Condensed Consolidated Statements of Comprehensive Loss through the SVB Term Loan’s maturity date using the effective interest method. Such amortization was $9</w:t>
      </w:r>
      <w:r>
        <w:rPr>
          <w:rFonts w:ascii="Times New Roman" w:hAnsi="Times New Roman"/>
          <w:sz w:val="20"/>
        </w:rPr>
        <w:t xml:space="preserve"> </w:t>
      </w:r>
      <w:r>
        <w:rPr>
          <w:rFonts w:ascii="Times New Roman;serif" w:hAnsi="Times New Roman;serif"/>
          <w:b w:val="false"/>
          <w:sz w:val="20"/>
        </w:rPr>
        <w:t>and $18</w:t>
      </w:r>
      <w:r>
        <w:rPr>
          <w:rFonts w:ascii="Times New Roman" w:hAnsi="Times New Roman"/>
          <w:sz w:val="20"/>
        </w:rPr>
        <w:t xml:space="preserve"> </w:t>
      </w:r>
      <w:r>
        <w:rPr>
          <w:rFonts w:ascii="Times New Roman;serif" w:hAnsi="Times New Roman;serif"/>
          <w:b w:val="false"/>
          <w:sz w:val="20"/>
        </w:rPr>
        <w:t>for the three months ended March 31, 2023 and 2022, respectively. At March 31, 2023 and December 31, 2022, the balance of the term loan discount – interest was $14</w:t>
      </w:r>
      <w:r>
        <w:rPr>
          <w:rFonts w:ascii="Times New Roman" w:hAnsi="Times New Roman"/>
          <w:sz w:val="20"/>
        </w:rPr>
        <w:t xml:space="preserve"> </w:t>
      </w:r>
      <w:r>
        <w:rPr>
          <w:rFonts w:ascii="Times New Roman;serif" w:hAnsi="Times New Roman;serif"/>
          <w:b w:val="false"/>
          <w:sz w:val="20"/>
        </w:rPr>
        <w:t>and $24, respectively, and is included as a reduction in the balance of the term loan payable on the Company’s Condensed Consolidated Balance Sheets. Upon entering into the Third Amendment, the Contingent Interest Rate Increase became effective and the Company recorded an increase to the total fair value of the term loan derivative liability in 2022. The term loan derivative liability was then settled and reclassified to both current and non-current interest payable, which are presented as accrued liabilities and other non-current liabilities on the Company’s Condensed Consolidated Balance Sheet.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and December 31, 2022, the Company had outstanding borrowings of $6.4</w:t>
      </w:r>
      <w:r>
        <w:rPr>
          <w:rFonts w:ascii="Times New Roman;serif" w:hAnsi="Times New Roman;serif"/>
          <w:sz w:val="24"/>
        </w:rPr>
        <w:t xml:space="preserve"> </w:t>
      </w:r>
      <w:r>
        <w:rPr>
          <w:rFonts w:ascii="Times New Roman;serif" w:hAnsi="Times New Roman;serif"/>
          <w:b w:val="false"/>
          <w:sz w:val="20"/>
        </w:rPr>
        <w:t>million and $8.2</w:t>
      </w:r>
      <w:r>
        <w:rPr>
          <w:rFonts w:ascii="Times New Roman;serif" w:hAnsi="Times New Roman;serif"/>
          <w:sz w:val="24"/>
        </w:rPr>
        <w:t xml:space="preserve"> </w:t>
      </w:r>
      <w:r>
        <w:rPr>
          <w:rFonts w:ascii="Times New Roman;serif" w:hAnsi="Times New Roman;serif"/>
          <w:b w:val="false"/>
          <w:sz w:val="20"/>
        </w:rPr>
        <w:t>million, respectively, under the SVB Term Loan and the term loan payable balance as presented on the Company’s Condensed Consolidated Balance Sheets as of March 31, 2023 and December 31, 2022 was comprised as shown below.</w:t>
      </w:r>
      <w:r>
        <w:rPr>
          <w:rFonts w:ascii="Times New Roman;serif" w:hAnsi="Times New Roman;serif"/>
          <w:sz w:val="24"/>
        </w:rPr>
        <w:t xml:space="preserve"> </w:t>
      </w:r>
    </w:p>
    <w:p>
      <w:pPr>
        <w:pStyle w:val="TextBody"/>
        <w:bidi w:val="0"/>
        <w:spacing w:before="0" w:after="0"/>
        <w:jc w:val="left"/>
        <w:rPr/>
      </w:pPr>
      <w:r>
        <w:rPr/>
        <w:t> </w:t>
      </w:r>
    </w:p>
    <w:tbl>
      <w:tblPr>
        <w:tblW w:w="7765" w:type="dxa"/>
        <w:jc w:val="left"/>
        <w:tblInd w:w="0" w:type="dxa"/>
        <w:tblLayout w:type="fixed"/>
        <w:tblCellMar>
          <w:top w:w="28" w:type="dxa"/>
          <w:left w:w="28" w:type="dxa"/>
          <w:bottom w:w="28" w:type="dxa"/>
          <w:right w:w="28" w:type="dxa"/>
        </w:tblCellMar>
      </w:tblPr>
      <w:tblGrid>
        <w:gridCol w:w="4336"/>
        <w:gridCol w:w="146"/>
        <w:gridCol w:w="340"/>
        <w:gridCol w:w="920"/>
        <w:gridCol w:w="166"/>
        <w:gridCol w:w="146"/>
        <w:gridCol w:w="403"/>
        <w:gridCol w:w="1097"/>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outstanding under term loan</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8,167</w:t>
            </w:r>
          </w:p>
        </w:tc>
        <w:tc>
          <w:tcPr>
            <w:tcW w:w="2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discount-interest</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discount-unamortized deferred charges</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discount-financing costs, net of accretion</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loan-final payment fee</w:t>
            </w:r>
          </w:p>
        </w:tc>
        <w:tc>
          <w:tcPr>
            <w:tcW w:w="146" w:type="dxa"/>
            <w:tcBorders/>
            <w:vAlign w:val="center"/>
          </w:tcPr>
          <w:p>
            <w:pPr>
              <w:pStyle w:val="TableContents"/>
              <w:bidi w:val="0"/>
              <w:spacing w:before="0" w:after="0"/>
              <w:ind w:left="0" w:right="0" w:hanging="0"/>
              <w:jc w:val="left"/>
              <w:rPr/>
            </w:pPr>
            <w:r>
              <w:rPr/>
              <w:t> </w:t>
            </w:r>
          </w:p>
        </w:tc>
        <w:tc>
          <w:tcPr>
            <w:tcW w:w="3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9,151</w:t>
            </w:r>
          </w:p>
        </w:tc>
        <w:tc>
          <w:tcPr>
            <w:tcW w:w="2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w:t>
            </w:r>
          </w:p>
        </w:tc>
        <w:tc>
          <w:tcPr>
            <w:tcW w:w="146" w:type="dxa"/>
            <w:tcBorders/>
            <w:vAlign w:val="center"/>
          </w:tcPr>
          <w:p>
            <w:pPr>
              <w:pStyle w:val="TableContents"/>
              <w:bidi w:val="0"/>
              <w:spacing w:before="0" w:after="0"/>
              <w:ind w:left="0" w:right="0" w:hanging="0"/>
              <w:jc w:val="left"/>
              <w:rPr/>
            </w:pPr>
            <w:r>
              <w:rPr/>
              <w:t> </w:t>
            </w:r>
          </w:p>
        </w:tc>
        <w:tc>
          <w:tcPr>
            <w:tcW w:w="3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payable, non-current</w:t>
            </w:r>
          </w:p>
        </w:tc>
        <w:tc>
          <w:tcPr>
            <w:tcW w:w="146" w:type="dxa"/>
            <w:tcBorders/>
            <w:vAlign w:val="center"/>
          </w:tcPr>
          <w:p>
            <w:pPr>
              <w:pStyle w:val="TableContents"/>
              <w:bidi w:val="0"/>
              <w:spacing w:before="0" w:after="0"/>
              <w:ind w:left="0" w:right="0" w:hanging="0"/>
              <w:jc w:val="left"/>
              <w:rPr/>
            </w:pPr>
            <w:r>
              <w:rPr/>
              <w:t> </w:t>
            </w:r>
          </w:p>
        </w:tc>
        <w:tc>
          <w:tcPr>
            <w:tcW w:w="3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on the SVB Term Loan, which is comprised of interest payments, accretion and amortization of term loan discounts and the accrual of the final payment fee, is shown below for the three months ended March 31, 2023 and 2022, respectively. For the three months ended March 31, 2023 and 2022, the weighted average interest rate applicable to borrowings under the SVB Term Loan was 10.68% and 4.25%, respectively.</w:t>
      </w:r>
    </w:p>
    <w:p>
      <w:pPr>
        <w:pStyle w:val="TextBody"/>
        <w:bidi w:val="0"/>
        <w:spacing w:before="0" w:after="0"/>
        <w:jc w:val="left"/>
        <w:rPr/>
      </w:pPr>
      <w:r>
        <w:rPr/>
        <w:t> </w:t>
      </w:r>
    </w:p>
    <w:tbl>
      <w:tblPr>
        <w:tblW w:w="6125" w:type="dxa"/>
        <w:jc w:val="left"/>
        <w:tblInd w:w="0" w:type="dxa"/>
        <w:tblLayout w:type="fixed"/>
        <w:tblCellMar>
          <w:top w:w="28" w:type="dxa"/>
          <w:left w:w="28" w:type="dxa"/>
          <w:bottom w:w="28" w:type="dxa"/>
          <w:right w:w="28" w:type="dxa"/>
        </w:tblCellMar>
      </w:tblPr>
      <w:tblGrid>
        <w:gridCol w:w="4186"/>
        <w:gridCol w:w="146"/>
        <w:gridCol w:w="217"/>
        <w:gridCol w:w="434"/>
        <w:gridCol w:w="150"/>
        <w:gridCol w:w="150"/>
        <w:gridCol w:w="217"/>
        <w:gridCol w:w="434"/>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center"/>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payments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91" w:type="dxa"/>
            <w:tcBorders/>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Accrual of the final payment fee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91" w:type="dxa"/>
            <w:tcBorders/>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Accretion and amortization of term loan discounts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8.</w:t>
      </w:r>
    </w:p>
    <w:p>
      <w:pPr>
        <w:pStyle w:val="TextBody"/>
        <w:bidi w:val="0"/>
        <w:spacing w:before="120" w:after="283"/>
        <w:jc w:val="left"/>
        <w:rPr>
          <w:rFonts w:ascii="Times New Roman;serif" w:hAnsi="Times New Roman;serif"/>
          <w:b/>
          <w:sz w:val="20"/>
        </w:rPr>
      </w:pPr>
      <w:r>
        <w:rPr>
          <w:rFonts w:ascii="Times New Roman;serif" w:hAnsi="Times New Roman;serif"/>
          <w:b/>
          <w:sz w:val="20"/>
        </w:rPr>
        <w:t>Stockholders’ Equity</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and December 31, 2022, the Company had reserved</w:t>
      </w:r>
      <w:r>
        <w:rPr>
          <w:rFonts w:ascii="Times New Roman" w:hAnsi="Times New Roman"/>
          <w:sz w:val="20"/>
        </w:rPr>
        <w:t xml:space="preserve"> </w:t>
      </w:r>
      <w:r>
        <w:rPr>
          <w:rFonts w:ascii="Times New Roman;serif" w:hAnsi="Times New Roman;serif"/>
          <w:b w:val="false"/>
          <w:sz w:val="20"/>
        </w:rPr>
        <w:t>shares of common stock for future issuance as shown in the table below:</w:t>
      </w:r>
    </w:p>
    <w:tbl>
      <w:tblPr>
        <w:tblW w:w="10205" w:type="dxa"/>
        <w:jc w:val="left"/>
        <w:tblInd w:w="0" w:type="dxa"/>
        <w:tblLayout w:type="fixed"/>
        <w:tblCellMar>
          <w:top w:w="28" w:type="dxa"/>
          <w:left w:w="28" w:type="dxa"/>
          <w:bottom w:w="28" w:type="dxa"/>
          <w:right w:w="28" w:type="dxa"/>
        </w:tblCellMar>
      </w:tblPr>
      <w:tblGrid>
        <w:gridCol w:w="7212"/>
        <w:gridCol w:w="146"/>
        <w:gridCol w:w="146"/>
        <w:gridCol w:w="1036"/>
        <w:gridCol w:w="146"/>
        <w:gridCol w:w="146"/>
        <w:gridCol w:w="146"/>
        <w:gridCol w:w="1036"/>
        <w:gridCol w:w="191"/>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of common stock reserved for future issuance under the 2012 Stock Incentive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602,231</w:t>
            </w:r>
          </w:p>
        </w:tc>
        <w:tc>
          <w:tcPr>
            <w:tcW w:w="191" w:type="dxa"/>
            <w:tcBorders/>
            <w:vAlign w:val="center"/>
          </w:tcPr>
          <w:p>
            <w:pPr>
              <w:pStyle w:val="TableContents"/>
              <w:bidi w:val="0"/>
              <w:spacing w:before="0" w:after="0"/>
              <w:ind w:left="0" w:right="0" w:hanging="0"/>
              <w:jc w:val="left"/>
              <w:rPr/>
            </w:pPr>
            <w:r>
              <w:rPr/>
              <w:t> </w:t>
            </w:r>
          </w:p>
        </w:tc>
      </w:tr>
      <w:tr>
        <w:trPr/>
        <w:tc>
          <w:tcPr>
            <w:tcW w:w="7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of common stock reserved for future issuance under the 2019 Stock Incentive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6,541,058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4,553,202</w:t>
            </w:r>
          </w:p>
        </w:tc>
        <w:tc>
          <w:tcPr>
            <w:tcW w:w="191" w:type="dxa"/>
            <w:tcBorders/>
            <w:vAlign w:val="center"/>
          </w:tcPr>
          <w:p>
            <w:pPr>
              <w:pStyle w:val="TableContents"/>
              <w:bidi w:val="0"/>
              <w:spacing w:before="0" w:after="0"/>
              <w:ind w:left="0" w:right="0" w:hanging="0"/>
              <w:jc w:val="left"/>
              <w:rPr/>
            </w:pPr>
            <w:r>
              <w:rPr/>
              <w:t> </w:t>
            </w:r>
          </w:p>
        </w:tc>
      </w:tr>
      <w:tr>
        <w:trPr/>
        <w:tc>
          <w:tcPr>
            <w:tcW w:w="7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of common stock reserved for future issuance under the 2019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1,227,547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701,232</w:t>
            </w:r>
          </w:p>
        </w:tc>
        <w:tc>
          <w:tcPr>
            <w:tcW w:w="191" w:type="dxa"/>
            <w:tcBorders/>
            <w:vAlign w:val="center"/>
          </w:tcPr>
          <w:p>
            <w:pPr>
              <w:pStyle w:val="TableContents"/>
              <w:bidi w:val="0"/>
              <w:spacing w:before="0" w:after="0"/>
              <w:ind w:left="0" w:right="0" w:hanging="0"/>
              <w:jc w:val="left"/>
              <w:rPr/>
            </w:pPr>
            <w:r>
              <w:rPr/>
              <w:t> </w:t>
            </w:r>
          </w:p>
        </w:tc>
      </w:tr>
      <w:tr>
        <w:trPr/>
        <w:tc>
          <w:tcPr>
            <w:tcW w:w="7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to be issued upon exercise of common stock warrants and pre-funded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48,330,707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48,330,707</w:t>
            </w:r>
          </w:p>
        </w:tc>
        <w:tc>
          <w:tcPr>
            <w:tcW w:w="191" w:type="dxa"/>
            <w:tcBorders/>
            <w:vAlign w:val="center"/>
          </w:tcPr>
          <w:p>
            <w:pPr>
              <w:pStyle w:val="TableContents"/>
              <w:bidi w:val="0"/>
              <w:spacing w:before="0" w:after="0"/>
              <w:ind w:left="0" w:right="0" w:hanging="0"/>
              <w:jc w:val="left"/>
              <w:rPr/>
            </w:pPr>
            <w:r>
              <w:rPr/>
              <w:t> </w:t>
            </w:r>
          </w:p>
        </w:tc>
      </w:tr>
      <w:tr>
        <w:trPr/>
        <w:tc>
          <w:tcPr>
            <w:tcW w:w="7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to be issued upon sales under the LPC Purchase Agreement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86,697,332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84,187,372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At-the-Market Offering</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2020, the Company entered into the ATM Sales Agreement with SVB Securities under which the Company may issue and sell shares of its common stock, from time to time, having an aggregate offering price of up to $12.0</w:t>
      </w:r>
      <w:r>
        <w:rPr>
          <w:rFonts w:ascii="Times New Roman" w:hAnsi="Times New Roman"/>
          <w:sz w:val="20"/>
        </w:rPr>
        <w:t xml:space="preserve"> </w:t>
      </w:r>
      <w:r>
        <w:rPr>
          <w:rFonts w:ascii="Times New Roman;serif" w:hAnsi="Times New Roman;serif"/>
          <w:b w:val="false"/>
          <w:sz w:val="20"/>
        </w:rPr>
        <w:t>million. In May 2022, the Company amended the ATM Sales Agreement with SVB Securities to increase the maximum aggregate offering price of common stock that it may issue and sell from time to time under the ATM Sales Agreement by $50.0</w:t>
      </w:r>
      <w:r>
        <w:rPr>
          <w:rFonts w:ascii="Times New Roman" w:hAnsi="Times New Roman"/>
          <w:sz w:val="20"/>
        </w:rPr>
        <w:t xml:space="preserve"> </w:t>
      </w:r>
      <w:r>
        <w:rPr>
          <w:rFonts w:ascii="Times New Roman;serif" w:hAnsi="Times New Roman;serif"/>
          <w:b w:val="false"/>
          <w:sz w:val="20"/>
        </w:rPr>
        <w:t>million, from $12.0</w:t>
      </w:r>
      <w:r>
        <w:rPr>
          <w:rFonts w:ascii="Times New Roman" w:hAnsi="Times New Roman"/>
          <w:sz w:val="20"/>
        </w:rPr>
        <w:t xml:space="preserve"> </w:t>
      </w:r>
      <w:r>
        <w:rPr>
          <w:rFonts w:ascii="Times New Roman;serif" w:hAnsi="Times New Roman;serif"/>
          <w:b w:val="false"/>
          <w:sz w:val="20"/>
        </w:rPr>
        <w:t>million to up to $62.0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of common stock under the ATM Sales Agreement may be made by any method that is deemed an “at-the-market” offering as defined in Rule 415(a)(4) under the Securities Act of 1933, as amended. The Company is not obligated to make any sales of its common stock under the ATM Sales Agreement. The Company began making sales pursuant to the ATM Sales Agreement in July 2020. As of March 31, 2023, the Company had issued and sold an aggregate of 3,583,394</w:t>
      </w:r>
      <w:r>
        <w:rPr>
          <w:rFonts w:ascii="Times New Roman" w:hAnsi="Times New Roman"/>
          <w:sz w:val="20"/>
        </w:rPr>
        <w:t xml:space="preserve"> </w:t>
      </w:r>
      <w:r>
        <w:rPr>
          <w:rFonts w:ascii="Times New Roman;serif" w:hAnsi="Times New Roman;serif"/>
          <w:b w:val="false"/>
          <w:sz w:val="20"/>
        </w:rPr>
        <w:t>shares of common stock for gross proceeds of $11.0</w:t>
      </w:r>
      <w:r>
        <w:rPr>
          <w:rFonts w:ascii="Times New Roman" w:hAnsi="Times New Roman"/>
          <w:sz w:val="20"/>
        </w:rPr>
        <w:t xml:space="preserve"> </w:t>
      </w:r>
      <w:r>
        <w:rPr>
          <w:rFonts w:ascii="Times New Roman;serif" w:hAnsi="Times New Roman;serif"/>
          <w:b w:val="false"/>
          <w:sz w:val="20"/>
        </w:rPr>
        <w:t>million, before deducting estimated commissions and allocated fees of $0.8</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Equity Purchase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June 18, 2021, the Company entered into a common stock purchase agreement (“LPC Purchase Agreement”) with Lincoln Park Capital Fund, LLC (“Lincoln Park”). The LPC Purchase Agreement provides that, subject to the terms and conditions therein, the Company has the right, but not the obligation, to sell, at its discretion, to Lincoln Park up to $15.0</w:t>
      </w:r>
      <w:r>
        <w:rPr>
          <w:rFonts w:ascii="Times New Roman" w:hAnsi="Times New Roman"/>
          <w:sz w:val="20"/>
        </w:rPr>
        <w:t xml:space="preserve"> </w:t>
      </w:r>
      <w:r>
        <w:rPr>
          <w:rFonts w:ascii="Times New Roman;serif" w:hAnsi="Times New Roman;serif"/>
          <w:b w:val="false"/>
          <w:sz w:val="20"/>
        </w:rPr>
        <w:t>million of shares of common stock over a 24-month period commencing on July 23, 2021. In addition, under the LPC Purchase Agreement, the Company issued 170,088</w:t>
      </w:r>
      <w:r>
        <w:rPr>
          <w:rFonts w:ascii="Times New Roman" w:hAnsi="Times New Roman"/>
          <w:sz w:val="20"/>
        </w:rPr>
        <w:t xml:space="preserve"> </w:t>
      </w:r>
      <w:r>
        <w:rPr>
          <w:rFonts w:ascii="Times New Roman;serif" w:hAnsi="Times New Roman;serif"/>
          <w:b w:val="false"/>
          <w:sz w:val="20"/>
        </w:rPr>
        <w:t>shares of common stock to Lincoln Park as consideration for Lincoln Park’s commitment to purchase shares of the Company’s common stock under the LPC Purchase Agreement. The purchase price per share of the shares sold will be based on the market prices prevailing immediately preceding the time of sale as computed under the LPC Purchase Agreement. Lincoln Park has covenanted not to cause or engage in any manner whatsoever, any direct or indirect short selling or hedging of the Company’s common stock. The agreement may be terminated by the Company at any time, at its sole discretion, without any additional cost or penalty. Under the terms of the October 2021 private placements described below, the Company agreed to not issue or sell additional shares under the LPC Purchase Agreement on or prior to April 6, 2023.</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Private Placements</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5, 2021, the Company issued and sold to an initial investor, in a private placement priced at-the-market under Nasdaq rules, (i) 2,373,201</w:t>
      </w:r>
      <w:r>
        <w:rPr>
          <w:rFonts w:ascii="Times New Roman" w:hAnsi="Times New Roman"/>
          <w:sz w:val="20"/>
        </w:rPr>
        <w:t xml:space="preserve"> </w:t>
      </w:r>
      <w:r>
        <w:rPr>
          <w:rFonts w:ascii="Times New Roman;serif" w:hAnsi="Times New Roman;serif"/>
          <w:b w:val="false"/>
          <w:sz w:val="20"/>
        </w:rPr>
        <w:t>shares of the Company’s common stock and accompanying warrants to purchase an aggregate of 4,746,402</w:t>
      </w:r>
      <w:r>
        <w:rPr>
          <w:rFonts w:ascii="Times New Roman" w:hAnsi="Times New Roman"/>
          <w:sz w:val="20"/>
        </w:rPr>
        <w:t xml:space="preserve"> </w:t>
      </w:r>
      <w:r>
        <w:rPr>
          <w:rFonts w:ascii="Times New Roman;serif" w:hAnsi="Times New Roman;serif"/>
          <w:b w:val="false"/>
          <w:sz w:val="20"/>
        </w:rPr>
        <w:t>shares of the Company’s common stock, and (ii) pre-funded warrants to purchase up to an aggregate of 4,926,069</w:t>
      </w:r>
      <w:r>
        <w:rPr>
          <w:rFonts w:ascii="Times New Roman" w:hAnsi="Times New Roman"/>
          <w:sz w:val="20"/>
        </w:rPr>
        <w:t xml:space="preserve"> </w:t>
      </w:r>
      <w:r>
        <w:rPr>
          <w:rFonts w:ascii="Times New Roman;serif" w:hAnsi="Times New Roman;serif"/>
          <w:b w:val="false"/>
          <w:sz w:val="20"/>
        </w:rPr>
        <w:t>shares of the Company’s common stock and accompanying warrants to purchase an aggregate of 9,852,138</w:t>
      </w:r>
      <w:r>
        <w:rPr>
          <w:rFonts w:ascii="Times New Roman" w:hAnsi="Times New Roman"/>
          <w:sz w:val="20"/>
        </w:rPr>
        <w:t xml:space="preserve"> </w:t>
      </w:r>
      <w:r>
        <w:rPr>
          <w:rFonts w:ascii="Times New Roman;serif" w:hAnsi="Times New Roman;serif"/>
          <w:b w:val="false"/>
          <w:sz w:val="20"/>
        </w:rPr>
        <w:t>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w:t>
      </w:r>
      <w:r>
        <w:rPr>
          <w:rFonts w:ascii="Times New Roman" w:hAnsi="Times New Roman"/>
          <w:sz w:val="20"/>
        </w:rPr>
        <w:t xml:space="preserve"> </w:t>
      </w:r>
      <w:r>
        <w:rPr>
          <w:rFonts w:ascii="Times New Roman;serif" w:hAnsi="Times New Roman;serif"/>
          <w:b w:val="false"/>
          <w:sz w:val="20"/>
        </w:rPr>
        <w:t>million. Each pre-funded warrant had an exercise price of $0.001</w:t>
      </w:r>
      <w:r>
        <w:rPr>
          <w:rFonts w:ascii="Times New Roman" w:hAnsi="Times New Roman"/>
          <w:sz w:val="20"/>
        </w:rPr>
        <w:t xml:space="preserve"> </w:t>
      </w:r>
      <w:r>
        <w:rPr>
          <w:rFonts w:ascii="Times New Roman;serif" w:hAnsi="Times New Roman;serif"/>
          <w:b w:val="false"/>
          <w:sz w:val="20"/>
        </w:rPr>
        <w:t>per share, became exercisable immediately upon issuance and was exercisable until exercised in full. Of the accompanying common stock warrants, warrants to purchase an aggregate of 7,299,270</w:t>
      </w:r>
      <w:r>
        <w:rPr>
          <w:rFonts w:ascii="Times New Roman" w:hAnsi="Times New Roman"/>
          <w:sz w:val="20"/>
        </w:rPr>
        <w:t xml:space="preserve"> </w:t>
      </w:r>
      <w:r>
        <w:rPr>
          <w:rFonts w:ascii="Times New Roman;serif" w:hAnsi="Times New Roman;serif"/>
          <w:b w:val="false"/>
          <w:sz w:val="20"/>
        </w:rPr>
        <w:t>shares will expire on April 5, 2025, and warrants to purchase an aggregate of 7,299,270</w:t>
      </w:r>
      <w:r>
        <w:rPr>
          <w:rFonts w:ascii="Times New Roman" w:hAnsi="Times New Roman"/>
          <w:sz w:val="20"/>
        </w:rPr>
        <w:t xml:space="preserve"> </w:t>
      </w:r>
      <w:r>
        <w:rPr>
          <w:rFonts w:ascii="Times New Roman;serif" w:hAnsi="Times New Roman;serif"/>
          <w:b w:val="false"/>
          <w:sz w:val="20"/>
        </w:rPr>
        <w:t>shares will expire on October 5, 2028. The accompanying common stock warrants have an exercise price of $1.37</w:t>
      </w:r>
      <w:r>
        <w:rPr>
          <w:rFonts w:ascii="Times New Roman" w:hAnsi="Times New Roman"/>
          <w:sz w:val="20"/>
        </w:rPr>
        <w:t xml:space="preserve"> </w:t>
      </w:r>
      <w:r>
        <w:rPr>
          <w:rFonts w:ascii="Times New Roman;serif" w:hAnsi="Times New Roman;serif"/>
          <w:b w:val="false"/>
          <w:sz w:val="20"/>
        </w:rPr>
        <w:t>per share and became exercisable immediately upon issuance.</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18, 2021, the Company issued and sold to New Enterprise Associates 16, L.P., an existing stockholder of the Company (“NEA”) and related party, in a private placement, 1,851,852</w:t>
      </w:r>
      <w:r>
        <w:rPr>
          <w:rFonts w:ascii="Times New Roman" w:hAnsi="Times New Roman"/>
          <w:sz w:val="20"/>
        </w:rPr>
        <w:t xml:space="preserve"> </w:t>
      </w:r>
      <w:r>
        <w:rPr>
          <w:rFonts w:ascii="Times New Roman;serif" w:hAnsi="Times New Roman;serif"/>
          <w:b w:val="false"/>
          <w:sz w:val="20"/>
        </w:rPr>
        <w:t>shares of the Company’s common stock and accompanying warrants to purchase an aggregate of 3,703,704</w:t>
      </w:r>
      <w:r>
        <w:rPr>
          <w:rFonts w:ascii="Times New Roman" w:hAnsi="Times New Roman"/>
          <w:sz w:val="20"/>
        </w:rPr>
        <w:t xml:space="preserve"> </w:t>
      </w:r>
      <w:r>
        <w:rPr>
          <w:rFonts w:ascii="Times New Roman;serif" w:hAnsi="Times New Roman;serif"/>
          <w:b w:val="false"/>
          <w:sz w:val="20"/>
        </w:rPr>
        <w:t>shares of the Company’s common stock. Each share of the Company’s common stock and accompanying common stock warrants were sold together at a combined price of $1.62</w:t>
      </w:r>
      <w:r>
        <w:rPr>
          <w:rFonts w:ascii="Times New Roman" w:hAnsi="Times New Roman"/>
          <w:sz w:val="20"/>
        </w:rPr>
        <w:t xml:space="preserve"> </w:t>
      </w:r>
      <w:r>
        <w:rPr>
          <w:rFonts w:ascii="Times New Roman;serif" w:hAnsi="Times New Roman;serif"/>
          <w:b w:val="false"/>
          <w:sz w:val="20"/>
        </w:rPr>
        <w:t>for gross proceeds of approximately $3.0</w:t>
      </w:r>
      <w:r>
        <w:rPr>
          <w:rFonts w:ascii="Times New Roman" w:hAnsi="Times New Roman"/>
          <w:sz w:val="20"/>
        </w:rPr>
        <w:t xml:space="preserve"> </w:t>
      </w:r>
      <w:r>
        <w:rPr>
          <w:rFonts w:ascii="Times New Roman;serif" w:hAnsi="Times New Roman;serif"/>
          <w:b w:val="false"/>
          <w:sz w:val="20"/>
        </w:rPr>
        <w:t>million. Of the accompanying common stock warrants, warrants to purchase an aggregate of 1,851,852</w:t>
      </w:r>
      <w:r>
        <w:rPr>
          <w:rFonts w:ascii="Times New Roman" w:hAnsi="Times New Roman"/>
          <w:sz w:val="20"/>
        </w:rPr>
        <w:t xml:space="preserve"> </w:t>
      </w:r>
      <w:r>
        <w:rPr>
          <w:rFonts w:ascii="Times New Roman;serif" w:hAnsi="Times New Roman;serif"/>
          <w:b w:val="false"/>
          <w:sz w:val="20"/>
        </w:rPr>
        <w:t>shares of the Company’s common stock will expire on April 18, 2025, and warrants to purchase an aggregate of 1,851,852</w:t>
      </w:r>
      <w:r>
        <w:rPr>
          <w:rFonts w:ascii="Times New Roman" w:hAnsi="Times New Roman"/>
          <w:sz w:val="20"/>
        </w:rPr>
        <w:t xml:space="preserve"> </w:t>
      </w:r>
      <w:r>
        <w:rPr>
          <w:rFonts w:ascii="Times New Roman;serif" w:hAnsi="Times New Roman;serif"/>
          <w:b w:val="false"/>
          <w:sz w:val="20"/>
        </w:rPr>
        <w:t>shares of the Company’s common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stock will expire on October 18, 2028. The accompanying common stock warrants have an exercise price of $1.37</w:t>
      </w:r>
      <w:r>
        <w:rPr>
          <w:rFonts w:ascii="Times New Roman" w:hAnsi="Times New Roman"/>
          <w:sz w:val="20"/>
        </w:rPr>
        <w:t xml:space="preserve"> </w:t>
      </w:r>
      <w:r>
        <w:rPr>
          <w:rFonts w:ascii="Times New Roman;serif" w:hAnsi="Times New Roman;serif"/>
          <w:b w:val="false"/>
          <w:sz w:val="20"/>
        </w:rPr>
        <w:t>per share and became exercisable immediately upon issuance.</w:t>
      </w:r>
    </w:p>
    <w:p>
      <w:pPr>
        <w:pStyle w:val="TextBody"/>
        <w:bidi w:val="0"/>
        <w:spacing w:before="120" w:after="0"/>
        <w:jc w:val="left"/>
        <w:rPr>
          <w:rFonts w:ascii="Times New Roman" w:hAnsi="Times New Roman"/>
          <w:sz w:val="20"/>
        </w:rPr>
      </w:pPr>
      <w:r>
        <w:rPr>
          <w:rFonts w:ascii="Times New Roman;serif" w:hAnsi="Times New Roman;serif"/>
          <w:b w:val="false"/>
          <w:sz w:val="20"/>
        </w:rPr>
        <w:t>Total net proceeds from the two</w:t>
      </w:r>
      <w:r>
        <w:rPr>
          <w:rFonts w:ascii="Times New Roman" w:hAnsi="Times New Roman"/>
          <w:sz w:val="20"/>
        </w:rPr>
        <w:t xml:space="preserve"> </w:t>
      </w:r>
      <w:r>
        <w:rPr>
          <w:rFonts w:ascii="Times New Roman;serif" w:hAnsi="Times New Roman;serif"/>
          <w:b w:val="false"/>
          <w:sz w:val="20"/>
        </w:rPr>
        <w:t>October 2021 private placements were $13.7</w:t>
      </w:r>
      <w:r>
        <w:rPr>
          <w:rFonts w:ascii="Times New Roman" w:hAnsi="Times New Roman"/>
          <w:sz w:val="20"/>
        </w:rPr>
        <w:t xml:space="preserve"> </w:t>
      </w:r>
      <w:r>
        <w:rPr>
          <w:rFonts w:ascii="Times New Roman;serif" w:hAnsi="Times New Roman;serif"/>
          <w:b w:val="false"/>
          <w:sz w:val="20"/>
        </w:rPr>
        <w:t>million, after deducting issuance costs of $1.1</w:t>
      </w:r>
      <w:r>
        <w:rPr>
          <w:rFonts w:ascii="Times New Roman" w:hAnsi="Times New Roman"/>
          <w:sz w:val="20"/>
        </w:rPr>
        <w:t xml:space="preserve"> </w:t>
      </w:r>
      <w:r>
        <w:rPr>
          <w:rFonts w:ascii="Times New Roman;serif" w:hAnsi="Times New Roman;serif"/>
          <w:b w:val="false"/>
          <w:sz w:val="20"/>
        </w:rPr>
        <w:t>million</w:t>
      </w:r>
      <w:r>
        <w:rPr>
          <w:rFonts w:ascii="Arial;sans-serif" w:hAnsi="Arial;sans-serif"/>
          <w:b w:val="false"/>
          <w:sz w:val="18"/>
        </w:rPr>
        <w:t>.</w:t>
      </w:r>
    </w:p>
    <w:p>
      <w:pPr>
        <w:pStyle w:val="TextBody"/>
        <w:bidi w:val="0"/>
        <w:spacing w:before="120" w:after="0"/>
        <w:jc w:val="left"/>
        <w:rPr>
          <w:rFonts w:ascii="Times New Roman" w:hAnsi="Times New Roman"/>
          <w:sz w:val="20"/>
        </w:rPr>
      </w:pPr>
      <w:r>
        <w:rPr>
          <w:rFonts w:ascii="Times New Roman;serif" w:hAnsi="Times New Roman;serif"/>
          <w:b w:val="false"/>
          <w:sz w:val="20"/>
        </w:rPr>
        <w:t>On April 6, 2022, the Company entered into a securities purchase agreement (the “Securities Purchase Agreement”) with certain purchasers, pursuant to which the Company agreed to issue and sell to the purchasers, in a private placement priced at-the-market under Nasdaq rules, (i) 4,580,526</w:t>
      </w:r>
      <w:r>
        <w:rPr>
          <w:rFonts w:ascii="Times New Roman" w:hAnsi="Times New Roman"/>
          <w:sz w:val="20"/>
        </w:rPr>
        <w:t xml:space="preserve"> </w:t>
      </w:r>
      <w:r>
        <w:rPr>
          <w:rFonts w:ascii="Times New Roman;serif" w:hAnsi="Times New Roman;serif"/>
          <w:b w:val="false"/>
          <w:sz w:val="20"/>
        </w:rPr>
        <w:t>shares of the Company’s common stock at a purchase price of $1.90</w:t>
      </w:r>
      <w:r>
        <w:rPr>
          <w:rFonts w:ascii="Times New Roman" w:hAnsi="Times New Roman"/>
          <w:sz w:val="20"/>
        </w:rPr>
        <w:t xml:space="preserve"> </w:t>
      </w:r>
      <w:r>
        <w:rPr>
          <w:rFonts w:ascii="Times New Roman;serif" w:hAnsi="Times New Roman;serif"/>
          <w:b w:val="false"/>
          <w:sz w:val="20"/>
        </w:rPr>
        <w:t>per share, and (ii) pre-funded warrants to purchase up to an aggregate of 24,379,673</w:t>
      </w:r>
      <w:r>
        <w:rPr>
          <w:rFonts w:ascii="Times New Roman" w:hAnsi="Times New Roman"/>
          <w:sz w:val="20"/>
        </w:rPr>
        <w:t xml:space="preserve"> </w:t>
      </w:r>
      <w:r>
        <w:rPr>
          <w:rFonts w:ascii="Times New Roman;serif" w:hAnsi="Times New Roman;serif"/>
          <w:b w:val="false"/>
          <w:sz w:val="20"/>
        </w:rPr>
        <w:t>shares of common stock at a purchase price of $1.899</w:t>
      </w:r>
      <w:r>
        <w:rPr>
          <w:rFonts w:ascii="Times New Roman" w:hAnsi="Times New Roman"/>
          <w:sz w:val="20"/>
        </w:rPr>
        <w:t xml:space="preserve"> </w:t>
      </w:r>
      <w:r>
        <w:rPr>
          <w:rFonts w:ascii="Times New Roman;serif" w:hAnsi="Times New Roman;serif"/>
          <w:b w:val="false"/>
          <w:sz w:val="20"/>
        </w:rPr>
        <w:t>per warrant (the “April 2022 Private Placement”). Each pre-funded warrant has an exercise price of $0.001</w:t>
      </w:r>
      <w:r>
        <w:rPr>
          <w:rFonts w:ascii="Times New Roman" w:hAnsi="Times New Roman"/>
          <w:sz w:val="20"/>
        </w:rPr>
        <w:t xml:space="preserve"> </w:t>
      </w:r>
      <w:r>
        <w:rPr>
          <w:rFonts w:ascii="Times New Roman;serif" w:hAnsi="Times New Roman;serif"/>
          <w:b w:val="false"/>
          <w:sz w:val="20"/>
        </w:rPr>
        <w:t>per share, is exercisable immediately and will be exercisable until the pre-funded warrant is exercised in full. The April 2022 Private Placement, which closed on April 11, 2022, resulted in gross proceeds to the Company of approximately $55.0</w:t>
      </w:r>
      <w:r>
        <w:rPr>
          <w:rFonts w:ascii="Times New Roman" w:hAnsi="Times New Roman"/>
          <w:sz w:val="20"/>
        </w:rPr>
        <w:t xml:space="preserve"> </w:t>
      </w:r>
      <w:r>
        <w:rPr>
          <w:rFonts w:ascii="Times New Roman;serif" w:hAnsi="Times New Roman;serif"/>
          <w:b w:val="false"/>
          <w:sz w:val="20"/>
        </w:rPr>
        <w:t>million. NEA, an existing stockholder of the Company and a related party, as well as an affiliate of NEA, participated in the offering.</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Public Offering</w:t>
      </w:r>
    </w:p>
    <w:p>
      <w:pPr>
        <w:pStyle w:val="TextBody"/>
        <w:bidi w:val="0"/>
        <w:spacing w:before="120" w:after="0"/>
        <w:jc w:val="left"/>
        <w:rPr>
          <w:rFonts w:ascii="Times New Roman" w:hAnsi="Times New Roman"/>
          <w:sz w:val="20"/>
        </w:rPr>
      </w:pPr>
      <w:r>
        <w:rPr>
          <w:rFonts w:ascii="Times New Roman;serif" w:hAnsi="Times New Roman;serif"/>
          <w:b w:val="false"/>
          <w:sz w:val="20"/>
        </w:rPr>
        <w:t>On September 27, 2022, the Company issued and sold 14,252,670</w:t>
      </w:r>
      <w:r>
        <w:rPr>
          <w:rFonts w:ascii="Times New Roman" w:hAnsi="Times New Roman"/>
          <w:sz w:val="20"/>
        </w:rPr>
        <w:t xml:space="preserve"> </w:t>
      </w:r>
      <w:r>
        <w:rPr>
          <w:rFonts w:ascii="Times New Roman;serif" w:hAnsi="Times New Roman;serif"/>
          <w:b w:val="false"/>
          <w:sz w:val="20"/>
        </w:rPr>
        <w:t>shares of the Company’s common stock and, in lieu of common stock to certain investors, pre-funded warrants to purchase 14,247,330</w:t>
      </w:r>
      <w:r>
        <w:rPr>
          <w:rFonts w:ascii="Times New Roman" w:hAnsi="Times New Roman"/>
          <w:sz w:val="20"/>
        </w:rPr>
        <w:t xml:space="preserve"> </w:t>
      </w:r>
      <w:r>
        <w:rPr>
          <w:rFonts w:ascii="Times New Roman;serif" w:hAnsi="Times New Roman;serif"/>
          <w:b w:val="false"/>
          <w:sz w:val="20"/>
        </w:rPr>
        <w:t>shares of common stock in a public offering (the “September 2022 Offering”), at a public offering price of $1.93</w:t>
      </w:r>
      <w:r>
        <w:rPr>
          <w:rFonts w:ascii="Times New Roman" w:hAnsi="Times New Roman"/>
          <w:sz w:val="20"/>
        </w:rPr>
        <w:t xml:space="preserve"> </w:t>
      </w:r>
      <w:r>
        <w:rPr>
          <w:rFonts w:ascii="Times New Roman;serif" w:hAnsi="Times New Roman;serif"/>
          <w:b w:val="false"/>
          <w:sz w:val="20"/>
        </w:rPr>
        <w:t>per share of common stock and $1.929</w:t>
      </w:r>
      <w:r>
        <w:rPr>
          <w:rFonts w:ascii="Times New Roman" w:hAnsi="Times New Roman"/>
          <w:sz w:val="20"/>
        </w:rPr>
        <w:t xml:space="preserve"> </w:t>
      </w:r>
      <w:r>
        <w:rPr>
          <w:rFonts w:ascii="Times New Roman;serif" w:hAnsi="Times New Roman;serif"/>
          <w:b w:val="false"/>
          <w:sz w:val="20"/>
        </w:rPr>
        <w:t>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w:t>
      </w:r>
      <w:r>
        <w:rPr>
          <w:rFonts w:ascii="Times New Roman" w:hAnsi="Times New Roman"/>
          <w:sz w:val="20"/>
        </w:rPr>
        <w:t xml:space="preserve"> </w:t>
      </w:r>
      <w:r>
        <w:rPr>
          <w:rFonts w:ascii="Times New Roman;serif" w:hAnsi="Times New Roman;serif"/>
          <w:b w:val="false"/>
          <w:sz w:val="20"/>
        </w:rPr>
        <w:t>per share, is exercisable immediately and will be exercisable until the pre-funded warrant is exercised in full. Under the terms of the Underwriting Agreement, the Company agreed not to issue and sell additional shares until after November 21, 2022 except in certain circumstances, including the issuance and sale of additional shares pursuant to the Underwriting Agreement. Under the terms of the Underwriting Agreement, the Company granted the Underwriters an option (the “Option”), exercisable for 30 days, to purchase up to an additional 4,275,000</w:t>
      </w:r>
      <w:r>
        <w:rPr>
          <w:rFonts w:ascii="Times New Roman" w:hAnsi="Times New Roman"/>
          <w:sz w:val="20"/>
        </w:rPr>
        <w:t xml:space="preserve"> </w:t>
      </w:r>
      <w:r>
        <w:rPr>
          <w:rFonts w:ascii="Times New Roman;serif" w:hAnsi="Times New Roman;serif"/>
          <w:b w:val="false"/>
          <w:sz w:val="20"/>
        </w:rPr>
        <w:t>shares of common stock (the “Additional Shares”), at the public offering price of $1.93</w:t>
      </w:r>
      <w:r>
        <w:rPr>
          <w:rFonts w:ascii="Times New Roman" w:hAnsi="Times New Roman"/>
          <w:sz w:val="20"/>
        </w:rPr>
        <w:t xml:space="preserve"> </w:t>
      </w:r>
      <w:r>
        <w:rPr>
          <w:rFonts w:ascii="Times New Roman;serif" w:hAnsi="Times New Roman;serif"/>
          <w:b w:val="false"/>
          <w:sz w:val="20"/>
        </w:rPr>
        <w:t>per share. The Underwriters partially exercised the Option to purchase 1,600,428</w:t>
      </w:r>
      <w:r>
        <w:rPr>
          <w:rFonts w:ascii="Times New Roman" w:hAnsi="Times New Roman"/>
          <w:sz w:val="20"/>
        </w:rPr>
        <w:t xml:space="preserve"> </w:t>
      </w:r>
      <w:r>
        <w:rPr>
          <w:rFonts w:ascii="Times New Roman;serif" w:hAnsi="Times New Roman;serif"/>
          <w:b w:val="false"/>
          <w:sz w:val="20"/>
        </w:rPr>
        <w:t>Additional Shares, which shares were issued and sold on October 25, 2022. The September 2022 Offering, including the initial closing on September 27, 2022</w:t>
      </w:r>
      <w:r>
        <w:rPr>
          <w:rFonts w:ascii="Times New Roman" w:hAnsi="Times New Roman"/>
          <w:sz w:val="20"/>
        </w:rPr>
        <w:t xml:space="preserve"> </w:t>
      </w:r>
      <w:r>
        <w:rPr>
          <w:rFonts w:ascii="Times New Roman;serif" w:hAnsi="Times New Roman;serif"/>
          <w:b w:val="false"/>
          <w:sz w:val="20"/>
        </w:rPr>
        <w:t>and the Option closing on October 25, 2022, resulted in aggregate gross proceeds to the Company of approximately $58.1</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Warrants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Warrant activity, including activity related to pre-funded warrants, for the three months ended March 31, 2023, is shown in the table below:</w:t>
      </w:r>
    </w:p>
    <w:tbl>
      <w:tblPr>
        <w:tblW w:w="10205" w:type="dxa"/>
        <w:jc w:val="left"/>
        <w:tblInd w:w="0" w:type="dxa"/>
        <w:tblLayout w:type="fixed"/>
        <w:tblCellMar>
          <w:top w:w="28" w:type="dxa"/>
          <w:left w:w="28" w:type="dxa"/>
          <w:bottom w:w="28" w:type="dxa"/>
          <w:right w:w="28" w:type="dxa"/>
        </w:tblCellMar>
      </w:tblPr>
      <w:tblGrid>
        <w:gridCol w:w="3047"/>
        <w:gridCol w:w="146"/>
        <w:gridCol w:w="194"/>
        <w:gridCol w:w="1385"/>
        <w:gridCol w:w="146"/>
        <w:gridCol w:w="146"/>
        <w:gridCol w:w="251"/>
        <w:gridCol w:w="1605"/>
        <w:gridCol w:w="146"/>
        <w:gridCol w:w="146"/>
        <w:gridCol w:w="162"/>
        <w:gridCol w:w="1149"/>
        <w:gridCol w:w="146"/>
        <w:gridCol w:w="146"/>
        <w:gridCol w:w="248"/>
        <w:gridCol w:w="548"/>
        <w:gridCol w:w="594"/>
      </w:tblGrid>
      <w:tr>
        <w:trPr/>
        <w:tc>
          <w:tcPr>
            <w:tcW w:w="3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04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Pre-funded Warrant</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Common Stock Warrant</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w:t>
              <w:br/>
              <w:t>Warrant</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13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38,627,003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16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9,703,704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48,330,707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594" w:type="dxa"/>
            <w:tcBorders/>
            <w:vAlign w:val="center"/>
          </w:tcPr>
          <w:p>
            <w:pPr>
              <w:pStyle w:val="TableContents"/>
              <w:bidi w:val="0"/>
              <w:spacing w:before="0" w:after="0"/>
              <w:ind w:left="0" w:right="0" w:firstLine="400"/>
              <w:jc w:val="left"/>
              <w:rPr/>
            </w:pPr>
            <w:r>
              <w:rPr/>
              <w:t> </w:t>
            </w:r>
          </w:p>
        </w:tc>
      </w:tr>
      <w:tr>
        <w:trPr/>
        <w:tc>
          <w:tcPr>
            <w:tcW w:w="304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hanging="0"/>
              <w:jc w:val="left"/>
              <w:rPr/>
            </w:pPr>
            <w:r>
              <w:rPr/>
              <w:t> </w:t>
            </w:r>
          </w:p>
        </w:tc>
      </w:tr>
      <w:tr>
        <w:trPr/>
        <w:tc>
          <w:tcPr>
            <w:tcW w:w="30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March 31, 2023</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38,627,003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9,703,704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48,330,707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59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pStyle w:val="TextBody"/>
        <w:bidi w:val="0"/>
        <w:spacing w:before="120" w:after="0"/>
        <w:jc w:val="left"/>
        <w:rPr>
          <w:rFonts w:ascii="Times New Roman" w:hAnsi="Times New Roman"/>
          <w:sz w:val="20"/>
        </w:rPr>
      </w:pPr>
      <w:r>
        <w:rPr>
          <w:rFonts w:ascii="Times New Roman;serif" w:hAnsi="Times New Roman;serif"/>
          <w:b/>
          <w:i/>
          <w:sz w:val="20"/>
        </w:rPr>
        <w:t>Stock-Based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w:t>
      </w:r>
      <w:r>
        <w:rPr>
          <w:rFonts w:ascii="Times New Roman" w:hAnsi="Times New Roman"/>
          <w:sz w:val="20"/>
        </w:rPr>
        <w:t xml:space="preserve"> </w:t>
      </w:r>
      <w:r>
        <w:rPr>
          <w:rFonts w:ascii="Times New Roman;serif" w:hAnsi="Times New Roman;serif"/>
          <w:b w:val="false"/>
          <w:sz w:val="20"/>
        </w:rPr>
        <w:t>further equity-based awards may be granted under the 2012 Plan.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bidi w:val="0"/>
        <w:spacing w:before="120" w:after="0"/>
        <w:jc w:val="left"/>
        <w:rPr>
          <w:rFonts w:ascii="Times New Roman;serif" w:hAnsi="Times New Roman;serif"/>
          <w:sz w:val="20"/>
        </w:rPr>
      </w:pPr>
      <w:r>
        <w:rPr>
          <w:rFonts w:ascii="Times New Roman;serif" w:hAnsi="Times New Roman;serif"/>
          <w:b w:val="false"/>
          <w:sz w:val="20"/>
        </w:rPr>
        <w:t>The total number of shares of common stock that may be issued under the 2019 Plan and the 2012 Plan was 7,139,078</w:t>
      </w:r>
      <w:r>
        <w:rPr>
          <w:rFonts w:ascii="Times New Roman;serif" w:hAnsi="Times New Roman;serif"/>
          <w:sz w:val="20"/>
        </w:rPr>
        <w:t xml:space="preserve"> </w:t>
      </w:r>
      <w:r>
        <w:rPr>
          <w:rFonts w:ascii="Times New Roman;serif" w:hAnsi="Times New Roman;serif"/>
          <w:b w:val="false"/>
          <w:sz w:val="20"/>
        </w:rPr>
        <w:t>as of March 31, 2023, of which 1,778,059</w:t>
      </w:r>
      <w:r>
        <w:rPr>
          <w:rFonts w:ascii="Times New Roman;serif" w:hAnsi="Times New Roman;serif"/>
          <w:sz w:val="20"/>
        </w:rPr>
        <w:t xml:space="preserve"> </w:t>
      </w:r>
      <w:r>
        <w:rPr>
          <w:rFonts w:ascii="Times New Roman;serif" w:hAnsi="Times New Roman;serif"/>
          <w:b w:val="false"/>
          <w:sz w:val="20"/>
        </w:rPr>
        <w:t>shares remained available for grant under the 2019 Plan. Awards may be made under the 2019 Plan for up to such number of shares of the Company’s common stock as is equal to the sum of: i) 1,578,947</w:t>
      </w:r>
      <w:r>
        <w:rPr>
          <w:rFonts w:ascii="Times New Roman;serif" w:hAnsi="Times New Roman;serif"/>
          <w:sz w:val="20"/>
        </w:rPr>
        <w:t xml:space="preserve"> </w:t>
      </w:r>
      <w:r>
        <w:rPr>
          <w:rFonts w:ascii="Times New Roman;serif" w:hAnsi="Times New Roman;serif"/>
          <w:b w:val="false"/>
          <w:sz w:val="20"/>
        </w:rPr>
        <w:t xml:space="preserve">shares; plus ii) the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number of shares (up to 1,157,894</w:t>
      </w:r>
      <w:r>
        <w:rPr>
          <w:rFonts w:ascii="Times New Roman;serif" w:hAnsi="Times New Roman;serif"/>
          <w:sz w:val="20"/>
        </w:rPr>
        <w:t xml:space="preserve"> </w:t>
      </w:r>
      <w:r>
        <w:rPr>
          <w:rFonts w:ascii="Times New Roman;serif" w:hAnsi="Times New Roman;serif"/>
          <w:b w:val="false"/>
          <w:sz w:val="20"/>
        </w:rPr>
        <w:t>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w:t>
      </w:r>
      <w:r>
        <w:rPr>
          <w:rFonts w:ascii="Times New Roman;serif" w:hAnsi="Times New Roman;serif"/>
          <w:sz w:val="20"/>
        </w:rPr>
        <w:t xml:space="preserve"> </w:t>
      </w:r>
      <w:r>
        <w:rPr>
          <w:rFonts w:ascii="Times New Roman;serif" w:hAnsi="Times New Roman;serif"/>
          <w:b w:val="false"/>
          <w:sz w:val="20"/>
        </w:rPr>
        <w:t>shares of common stock, (b) 4% of the number of outstanding shares of the Company’s common stock on such date, and (c) an amount determined by the Company’s board of directors.</w:t>
      </w:r>
      <w:r>
        <w:rPr>
          <w:rFonts w:ascii="Times New Roman" w:hAnsi="Times New Roman"/>
          <w:sz w:val="20"/>
        </w:rPr>
        <w:t xml:space="preserve"> </w:t>
      </w:r>
      <w:r>
        <w:rPr>
          <w:rFonts w:ascii="Times New Roman;serif" w:hAnsi="Times New Roman;serif"/>
          <w:b w:val="false"/>
          <w:sz w:val="20"/>
        </w:rPr>
        <w:t>Effective January 1, 2023 and January 1, 2022, respectively, the number of shares reserved for issuance under the 2019 Plan increased, pursuant to the terms of the 2019 Plan, by an additional 2,105,623</w:t>
      </w:r>
      <w:r>
        <w:rPr>
          <w:rFonts w:ascii="Times New Roman" w:hAnsi="Times New Roman"/>
          <w:sz w:val="20"/>
        </w:rPr>
        <w:t xml:space="preserve"> </w:t>
      </w:r>
      <w:r>
        <w:rPr>
          <w:rFonts w:ascii="Times New Roman;serif" w:hAnsi="Times New Roman;serif"/>
          <w:b w:val="false"/>
          <w:sz w:val="20"/>
        </w:rPr>
        <w:t>shares and 1,140,232</w:t>
      </w:r>
      <w:r>
        <w:rPr>
          <w:rFonts w:ascii="Times New Roman" w:hAnsi="Times New Roman"/>
          <w:sz w:val="20"/>
        </w:rPr>
        <w:t xml:space="preserve"> </w:t>
      </w:r>
      <w:r>
        <w:rPr>
          <w:rFonts w:ascii="Times New Roman;serif" w:hAnsi="Times New Roman;serif"/>
          <w:b w:val="false"/>
          <w:sz w:val="20"/>
        </w:rPr>
        <w:t>shares, equal to the 2019 Plan determined maximum and 4% of the Company’s then-outstanding common stock, respectively.</w:t>
      </w:r>
    </w:p>
    <w:p>
      <w:pPr>
        <w:pStyle w:val="TextBody"/>
        <w:bidi w:val="0"/>
        <w:spacing w:before="120" w:after="0"/>
        <w:jc w:val="left"/>
        <w:rPr>
          <w:rFonts w:ascii="Times New Roman" w:hAnsi="Times New Roman"/>
          <w:sz w:val="20"/>
        </w:rPr>
      </w:pPr>
      <w:r>
        <w:rPr>
          <w:rFonts w:ascii="Times New Roman;serif" w:hAnsi="Times New Roman;serif"/>
          <w:b w:val="false"/>
          <w:sz w:val="20"/>
        </w:rPr>
        <w:t>Options granted under the 2019 Plan and the 2012 Plan have a maximum term of ten years. Options granted to employees, officers and non-employees generally vest over four years</w:t>
      </w:r>
      <w:r>
        <w:rPr>
          <w:rFonts w:ascii="Times New Roman;serif" w:hAnsi="Times New Roman;serif"/>
          <w:sz w:val="20"/>
        </w:rPr>
        <w:t xml:space="preserve"> </w:t>
      </w:r>
      <w:r>
        <w:rPr>
          <w:rFonts w:ascii="Times New Roman;serif" w:hAnsi="Times New Roman;serif"/>
          <w:b w:val="false"/>
          <w:sz w:val="20"/>
        </w:rPr>
        <w:t>based on varying vesting schedules that primarily include: 25% vesting on the first anniversary date of grant and the balance ratably over the next 36 months or vesting in equal monthly or quarterly installments over four years.</w:t>
      </w:r>
      <w:r>
        <w:rPr>
          <w:rFonts w:ascii="Times New Roman" w:hAnsi="Times New Roman"/>
          <w:sz w:val="20"/>
        </w:rPr>
        <w:t xml:space="preserve"> </w:t>
      </w:r>
      <w:r>
        <w:rPr>
          <w:rFonts w:ascii="Times New Roman;serif" w:hAnsi="Times New Roman;serif"/>
          <w:b w:val="false"/>
          <w:sz w:val="20"/>
        </w:rPr>
        <w:t>Options granted to directors generally vest over one</w:t>
      </w:r>
      <w:r>
        <w:rPr>
          <w:rFonts w:ascii="Times New Roman" w:hAnsi="Times New Roman"/>
          <w:sz w:val="20"/>
        </w:rPr>
        <w:t xml:space="preserve"> </w:t>
      </w:r>
      <w:r>
        <w:rPr>
          <w:rFonts w:ascii="Times New Roman;serif" w:hAnsi="Times New Roman;serif"/>
          <w:b w:val="false"/>
          <w:sz w:val="20"/>
        </w:rPr>
        <w:t>to two years. As of March 31, 2023 and December 31, 2022, respectively, options to purchase 4,762,999</w:t>
      </w:r>
      <w:r>
        <w:rPr>
          <w:rFonts w:ascii="Times New Roman" w:hAnsi="Times New Roman"/>
          <w:sz w:val="20"/>
        </w:rPr>
        <w:t xml:space="preserve"> </w:t>
      </w:r>
      <w:r>
        <w:rPr>
          <w:rFonts w:ascii="Times New Roman;serif" w:hAnsi="Times New Roman;serif"/>
          <w:b w:val="false"/>
          <w:sz w:val="20"/>
        </w:rPr>
        <w:t>shares and 3,848,052</w:t>
      </w:r>
      <w:r>
        <w:rPr>
          <w:rFonts w:ascii="Times New Roman" w:hAnsi="Times New Roman"/>
          <w:sz w:val="20"/>
        </w:rPr>
        <w:t xml:space="preserve"> </w:t>
      </w:r>
      <w:r>
        <w:rPr>
          <w:rFonts w:ascii="Times New Roman;serif" w:hAnsi="Times New Roman;serif"/>
          <w:b w:val="false"/>
          <w:sz w:val="20"/>
        </w:rPr>
        <w:t>shares of common stock were granted and outstanding, net of cancellations, under the 2019 Plan. As of March 31, 2023 and December 31, 2022, respectively, options to purchase 598,020</w:t>
      </w:r>
      <w:r>
        <w:rPr>
          <w:rFonts w:ascii="Times New Roman" w:hAnsi="Times New Roman"/>
          <w:sz w:val="20"/>
        </w:rPr>
        <w:t xml:space="preserve"> </w:t>
      </w:r>
      <w:r>
        <w:rPr>
          <w:rFonts w:ascii="Times New Roman;serif" w:hAnsi="Times New Roman;serif"/>
          <w:b w:val="false"/>
          <w:sz w:val="20"/>
        </w:rPr>
        <w:t>and 602,231</w:t>
      </w:r>
      <w:r>
        <w:rPr>
          <w:rFonts w:ascii="Times New Roman" w:hAnsi="Times New Roman"/>
          <w:sz w:val="20"/>
        </w:rPr>
        <w:t xml:space="preserve"> </w:t>
      </w:r>
      <w:r>
        <w:rPr>
          <w:rFonts w:ascii="Times New Roman;serif" w:hAnsi="Times New Roman;serif"/>
          <w:b w:val="false"/>
          <w:sz w:val="20"/>
        </w:rPr>
        <w:t>shares of common stock were granted and outstanding, net of cancellations, under the 2012 Plan.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summary of the Company’s combined stock option activity for the 2019 Plan and the 2012 Plan for the three months ended March 31, 2023 is as follows:</w:t>
      </w:r>
    </w:p>
    <w:tbl>
      <w:tblPr>
        <w:tblW w:w="6403" w:type="dxa"/>
        <w:jc w:val="left"/>
        <w:tblInd w:w="0" w:type="dxa"/>
        <w:tblLayout w:type="fixed"/>
        <w:tblCellMar>
          <w:top w:w="28" w:type="dxa"/>
          <w:left w:w="28" w:type="dxa"/>
          <w:bottom w:w="28" w:type="dxa"/>
          <w:right w:w="28" w:type="dxa"/>
        </w:tblCellMar>
      </w:tblPr>
      <w:tblGrid>
        <w:gridCol w:w="3481"/>
        <w:gridCol w:w="146"/>
        <w:gridCol w:w="146"/>
        <w:gridCol w:w="931"/>
        <w:gridCol w:w="166"/>
        <w:gridCol w:w="146"/>
        <w:gridCol w:w="248"/>
        <w:gridCol w:w="548"/>
        <w:gridCol w:w="5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Option</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4,450,283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591" w:type="dxa"/>
            <w:tcBorders/>
            <w:vAlign w:val="center"/>
          </w:tcPr>
          <w:p>
            <w:pPr>
              <w:pStyle w:val="TableContents"/>
              <w:bidi w:val="0"/>
              <w:spacing w:before="0" w:after="0"/>
              <w:ind w:left="0" w:right="0" w:firstLine="400"/>
              <w:jc w:val="left"/>
              <w:rPr/>
            </w:pPr>
            <w:r>
              <w:rPr/>
              <w:t> </w:t>
            </w:r>
          </w:p>
        </w:tc>
      </w:tr>
      <w:tr>
        <w:trPr/>
        <w:tc>
          <w:tcPr>
            <w:tcW w:w="34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591" w:type="dxa"/>
            <w:tcBorders/>
            <w:vAlign w:val="center"/>
          </w:tcPr>
          <w:p>
            <w:pPr>
              <w:pStyle w:val="TableContents"/>
              <w:bidi w:val="0"/>
              <w:spacing w:before="0" w:after="0"/>
              <w:ind w:left="0" w:right="0" w:firstLine="400"/>
              <w:jc w:val="left"/>
              <w:rPr/>
            </w:pPr>
            <w:r>
              <w:rPr/>
              <w:t> </w:t>
            </w:r>
          </w:p>
        </w:tc>
      </w:tr>
      <w:tr>
        <w:trPr/>
        <w:tc>
          <w:tcPr>
            <w:tcW w:w="34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(283,075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591" w:type="dxa"/>
            <w:tcBorders/>
            <w:vAlign w:val="center"/>
          </w:tcPr>
          <w:p>
            <w:pPr>
              <w:pStyle w:val="TableContents"/>
              <w:bidi w:val="0"/>
              <w:spacing w:before="0" w:after="0"/>
              <w:ind w:left="0" w:right="0" w:firstLine="400"/>
              <w:jc w:val="left"/>
              <w:rPr/>
            </w:pPr>
            <w:r>
              <w:rPr/>
              <w:t> </w:t>
            </w:r>
          </w:p>
        </w:tc>
      </w:tr>
      <w:tr>
        <w:trPr/>
        <w:tc>
          <w:tcPr>
            <w:tcW w:w="34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w:t>
            </w:r>
          </w:p>
        </w:tc>
        <w:tc>
          <w:tcPr>
            <w:tcW w:w="591" w:type="dxa"/>
            <w:tcBorders/>
            <w:vAlign w:val="center"/>
          </w:tcPr>
          <w:p>
            <w:pPr>
              <w:pStyle w:val="TableContents"/>
              <w:bidi w:val="0"/>
              <w:spacing w:before="0" w:after="0"/>
              <w:ind w:left="0" w:right="0" w:firstLine="400"/>
              <w:jc w:val="left"/>
              <w:rPr/>
            </w:pPr>
            <w:r>
              <w:rPr/>
              <w:t> </w:t>
            </w:r>
          </w:p>
        </w:tc>
      </w:tr>
      <w:tr>
        <w:trPr/>
        <w:tc>
          <w:tcPr>
            <w:tcW w:w="34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(121,978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0.51</w:t>
            </w:r>
          </w:p>
        </w:tc>
        <w:tc>
          <w:tcPr>
            <w:tcW w:w="591" w:type="dxa"/>
            <w:tcBorders/>
            <w:vAlign w:val="center"/>
          </w:tcPr>
          <w:p>
            <w:pPr>
              <w:pStyle w:val="TableContents"/>
              <w:bidi w:val="0"/>
              <w:spacing w:before="0" w:after="0"/>
              <w:ind w:left="0" w:right="0" w:hanging="0"/>
              <w:jc w:val="lef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5,361,019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591" w:type="dxa"/>
            <w:tcBorders/>
            <w:vAlign w:val="center"/>
          </w:tcPr>
          <w:p>
            <w:pPr>
              <w:pStyle w:val="TableContents"/>
              <w:bidi w:val="0"/>
              <w:spacing w:before="0" w:after="0"/>
              <w:ind w:left="0" w:right="0" w:hanging="0"/>
              <w:jc w:val="lef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2,464,377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591" w:type="dxa"/>
            <w:tcBorders/>
            <w:vAlign w:val="center"/>
          </w:tcPr>
          <w:p>
            <w:pPr>
              <w:pStyle w:val="TableContents"/>
              <w:bidi w:val="0"/>
              <w:spacing w:before="0" w:after="0"/>
              <w:ind w:left="0" w:right="0" w:hanging="0"/>
              <w:jc w:val="lef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unvested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2,896,642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April 2019, the Company’s board of directors adopted the 2019 Employee Stock Purchase Plan (the “2019 ESPP”), which became effective on May 7, 2019. The 2019 ESPP is administered by the Company’s board of directors.</w:t>
      </w:r>
    </w:p>
    <w:p>
      <w:pPr>
        <w:pStyle w:val="TextBody"/>
        <w:bidi w:val="0"/>
        <w:spacing w:before="120" w:after="0"/>
        <w:jc w:val="left"/>
        <w:rPr>
          <w:rFonts w:ascii="Times New Roman" w:hAnsi="Times New Roman"/>
          <w:sz w:val="20"/>
        </w:rPr>
      </w:pPr>
      <w:r>
        <w:rPr>
          <w:rFonts w:ascii="Times New Roman;serif" w:hAnsi="Times New Roman;serif"/>
          <w:b w:val="false"/>
          <w:sz w:val="20"/>
        </w:rPr>
        <w:t>The total number of shares of common stock that may be issued under the 2019 ESPP was 1,330,291 as of March 31, 2023, of which 1,227,547</w:t>
      </w:r>
      <w:r>
        <w:rPr>
          <w:rFonts w:ascii="Times New Roman;serif" w:hAnsi="Times New Roman;serif"/>
          <w:sz w:val="20"/>
        </w:rPr>
        <w:t xml:space="preserve"> </w:t>
      </w:r>
      <w:r>
        <w:rPr>
          <w:rFonts w:ascii="Times New Roman;serif" w:hAnsi="Times New Roman;serif"/>
          <w:b w:val="false"/>
          <w:sz w:val="20"/>
        </w:rPr>
        <w:t>shares remain available for issuance. The number of shares of the Company’s common stock that have been approved to be issued under the 2019 ESPP is equal to the sum of i) 155,106</w:t>
      </w:r>
      <w:r>
        <w:rPr>
          <w:rFonts w:ascii="Times New Roman;serif" w:hAnsi="Times New Roman;serif"/>
          <w:sz w:val="20"/>
        </w:rPr>
        <w:t xml:space="preserve"> </w:t>
      </w:r>
      <w:r>
        <w:rPr>
          <w:rFonts w:ascii="Times New Roman;serif" w:hAnsi="Times New Roman;serif"/>
          <w:b w:val="false"/>
          <w:sz w:val="20"/>
        </w:rPr>
        <w:t>shares plus ii) an annual increase to be added on the first day of each fiscal year, beginning with the fiscal year ending December 31, 2020 and continuing for each fiscal year until and including, the fiscal year ending December 31, 2029, equal to the least of (a) 526,315</w:t>
      </w:r>
      <w:r>
        <w:rPr>
          <w:rFonts w:ascii="Times New Roman;serif" w:hAnsi="Times New Roman;serif"/>
          <w:sz w:val="20"/>
        </w:rPr>
        <w:t xml:space="preserve"> </w:t>
      </w:r>
      <w:r>
        <w:rPr>
          <w:rFonts w:ascii="Times New Roman;serif" w:hAnsi="Times New Roman;serif"/>
          <w:b w:val="false"/>
          <w:sz w:val="20"/>
        </w:rPr>
        <w:t>shares of common stock, (b) 1% of the number of outstanding shares of the Company’s common stock on such date and (c) an amount determined by the Company’s board of directors. Effective January 1, 2023 and January 1, 2022, respectively, the aggregate number of shares of the Company’s common stock that may be issued under the 2019 ESPP increased, pursuant to the terms of the 2019 ESPP, by an additional 526,315</w:t>
      </w:r>
      <w:r>
        <w:rPr>
          <w:rFonts w:ascii="Times New Roman;serif" w:hAnsi="Times New Roman;serif"/>
          <w:sz w:val="20"/>
        </w:rPr>
        <w:t xml:space="preserve"> </w:t>
      </w:r>
      <w:r>
        <w:rPr>
          <w:rFonts w:ascii="Times New Roman;serif" w:hAnsi="Times New Roman;serif"/>
          <w:b w:val="false"/>
          <w:sz w:val="20"/>
        </w:rPr>
        <w:t>shares and 285,058</w:t>
      </w:r>
      <w:r>
        <w:rPr>
          <w:rFonts w:ascii="Times New Roman;serif" w:hAnsi="Times New Roman;serif"/>
          <w:sz w:val="20"/>
        </w:rPr>
        <w:t xml:space="preserve"> </w:t>
      </w:r>
      <w:r>
        <w:rPr>
          <w:rFonts w:ascii="Times New Roman;serif" w:hAnsi="Times New Roman;serif"/>
          <w:b w:val="false"/>
          <w:sz w:val="20"/>
        </w:rPr>
        <w:t>shares, equal to the 2019 ESPP determined maximum and 1% of the Company’s then-outstanding common stock,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classifications of stock-based compensation expenses for the 2012 Plan, the 2019 Plan and the 2019 ESPP recognized in the Condensed Consolidated Statements of Comprehensive Loss:</w:t>
      </w:r>
    </w:p>
    <w:p>
      <w:pPr>
        <w:pStyle w:val="TextBody"/>
        <w:bidi w:val="0"/>
        <w:spacing w:before="0" w:after="0"/>
        <w:jc w:val="left"/>
        <w:rPr/>
      </w:pPr>
      <w:r>
        <w:rPr/>
        <w:t> </w:t>
      </w:r>
    </w:p>
    <w:tbl>
      <w:tblPr>
        <w:tblW w:w="4955" w:type="dxa"/>
        <w:jc w:val="left"/>
        <w:tblInd w:w="0" w:type="dxa"/>
        <w:tblLayout w:type="fixed"/>
        <w:tblCellMar>
          <w:top w:w="28" w:type="dxa"/>
          <w:left w:w="28" w:type="dxa"/>
          <w:bottom w:w="28" w:type="dxa"/>
          <w:right w:w="28" w:type="dxa"/>
        </w:tblCellMar>
      </w:tblPr>
      <w:tblGrid>
        <w:gridCol w:w="3016"/>
        <w:gridCol w:w="146"/>
        <w:gridCol w:w="217"/>
        <w:gridCol w:w="434"/>
        <w:gridCol w:w="150"/>
        <w:gridCol w:w="150"/>
        <w:gridCol w:w="217"/>
        <w:gridCol w:w="434"/>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center"/>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9.</w:t>
      </w:r>
    </w:p>
    <w:p>
      <w:pPr>
        <w:pStyle w:val="TextBody"/>
        <w:bidi w:val="0"/>
        <w:jc w:val="left"/>
        <w:rPr>
          <w:rFonts w:ascii="Times New Roman;serif" w:hAnsi="Times New Roman;serif"/>
          <w:b/>
          <w:sz w:val="20"/>
        </w:rPr>
      </w:pPr>
      <w:r>
        <w:rPr>
          <w:rFonts w:ascii="Times New Roman;serif" w:hAnsi="Times New Roman;serif"/>
          <w:b/>
          <w:sz w:val="20"/>
        </w:rPr>
        <w:t xml:space="preserve">Income Taxes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March 31, 2023 and December 31, 2022, the Company maintained a full valuation allowance on deferred tax assets. The income tax benefit recorded during the three months ended March 31, 2023 and 2022 was for the Company</w:t>
      </w:r>
      <w:r>
        <w:rPr>
          <w:rFonts w:ascii="Times New Roman" w:hAnsi="Times New Roman"/>
          <w:sz w:val="20"/>
        </w:rPr>
        <w:t>’</w:t>
      </w:r>
      <w:r>
        <w:rPr>
          <w:rFonts w:ascii="Times New Roman;serif" w:hAnsi="Times New Roman;serif"/>
          <w:b w:val="false"/>
          <w:sz w:val="20"/>
        </w:rPr>
        <w:t>s estimates for its state research and development tax credits in each given year.</w:t>
      </w:r>
    </w:p>
    <w:p>
      <w:pPr>
        <w:pStyle w:val="TextBody"/>
        <w:bidi w:val="0"/>
        <w:spacing w:before="120" w:after="0"/>
        <w:jc w:val="left"/>
        <w:rPr>
          <w:rFonts w:ascii="Times New Roman" w:hAnsi="Times New Roman"/>
          <w:b/>
          <w:sz w:val="20"/>
        </w:rPr>
      </w:pPr>
      <w:r>
        <w:rPr>
          <w:rFonts w:ascii="Times New Roman" w:hAnsi="Times New Roman"/>
          <w:b/>
          <w:sz w:val="20"/>
        </w:rPr>
        <w:t>10.</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Net Loss per Share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7042"/>
        <w:gridCol w:w="146"/>
        <w:gridCol w:w="211"/>
        <w:gridCol w:w="1036"/>
        <w:gridCol w:w="166"/>
        <w:gridCol w:w="146"/>
        <w:gridCol w:w="211"/>
        <w:gridCol w:w="1036"/>
        <w:gridCol w:w="2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used in net loss per share attributable to common stockholders,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98,610,671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30,805,804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net loss per common share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Basic shares outstanding includes the weighted average effect of the Company’s pre-funded warrants from the date of issuance, the exercise of which requires little or no consideration for the delivery of shares of common stock. As of March 31, 2023, the Company had pre-funded warrants to purchase 38,627,003</w:t>
      </w:r>
      <w:r>
        <w:rPr>
          <w:rFonts w:ascii="Times New Roman" w:hAnsi="Times New Roman"/>
          <w:sz w:val="20"/>
        </w:rPr>
        <w:t xml:space="preserve"> </w:t>
      </w:r>
      <w:r>
        <w:rPr>
          <w:rFonts w:ascii="Times New Roman;serif" w:hAnsi="Times New Roman;serif"/>
          <w:b w:val="false"/>
          <w:sz w:val="20"/>
        </w:rPr>
        <w:t>shares of common stock outstanding, which were issued in the April 2022 Private Placement and the September 2022 Offering, which warrants are included in the weighted average common shares used in calculating the net loss per share attributable to common stockholders, basic and diluted for the three months ended March 31,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March 31, 2023 and 2022, respectively, were excluded from the calculation of diluted net loss per share attributable to common stockholders for the periods indicated because including them would have had an anti-dilutive effect:</w:t>
      </w:r>
    </w:p>
    <w:tbl>
      <w:tblPr>
        <w:tblW w:w="4269" w:type="dxa"/>
        <w:jc w:val="left"/>
        <w:tblInd w:w="0" w:type="dxa"/>
        <w:tblLayout w:type="fixed"/>
        <w:tblCellMar>
          <w:top w:w="28" w:type="dxa"/>
          <w:left w:w="28" w:type="dxa"/>
          <w:bottom w:w="28" w:type="dxa"/>
          <w:right w:w="28" w:type="dxa"/>
        </w:tblCellMar>
      </w:tblPr>
      <w:tblGrid>
        <w:gridCol w:w="1276"/>
        <w:gridCol w:w="146"/>
        <w:gridCol w:w="146"/>
        <w:gridCol w:w="1036"/>
        <w:gridCol w:w="146"/>
        <w:gridCol w:w="146"/>
        <w:gridCol w:w="146"/>
        <w:gridCol w:w="1036"/>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 as of 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5,361,019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4,064,591</w:t>
            </w:r>
          </w:p>
        </w:tc>
        <w:tc>
          <w:tcPr>
            <w:tcW w:w="19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9,703,704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18,302,244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15,064,723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22,366,835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11.</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Collaborative and Licensing Agreements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enters into collaborative and licensing agreements with pharmaceutical companies to in-license, develop, manufacture and/or market products that fit within its business strategy.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Endo Pharmaceuticals Inc.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license agreement, the Company paid Endo a non-creditable, non-refundable upfront license fee. The Company may also become obligated to make milestone payments to Endo of $0.3</w:t>
      </w:r>
      <w:r>
        <w:rPr>
          <w:rFonts w:ascii="Times New Roman" w:hAnsi="Times New Roman"/>
          <w:sz w:val="20"/>
        </w:rPr>
        <w:t xml:space="preserve"> </w:t>
      </w:r>
      <w:r>
        <w:rPr>
          <w:rFonts w:ascii="Times New Roman;serif" w:hAnsi="Times New Roman;serif"/>
          <w:b w:val="false"/>
          <w:sz w:val="20"/>
        </w:rPr>
        <w:t>million, which would become due upon the successful completion of the first Phase 3 clinical trial of a licensed product candidate, and $0.8</w:t>
      </w:r>
      <w:r>
        <w:rPr>
          <w:rFonts w:ascii="Times New Roman" w:hAnsi="Times New Roman"/>
          <w:sz w:val="20"/>
        </w:rPr>
        <w:t xml:space="preserve"> </w:t>
      </w:r>
      <w:r>
        <w:rPr>
          <w:rFonts w:ascii="Times New Roman;serif" w:hAnsi="Times New Roman;serif"/>
          <w:b w:val="false"/>
          <w:sz w:val="20"/>
        </w:rPr>
        <w:t>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enforceability of any licensed patent rights covering a licensed product and that challenge is not terminated within a specified period, the agreement will immediately terminate and all licenses granted under the agreement shall be revoked.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12.</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Commitments and Contingencies </w:t>
      </w:r>
    </w:p>
    <w:p>
      <w:pPr>
        <w:pStyle w:val="TextBody"/>
        <w:bidi w:val="0"/>
        <w:spacing w:before="120" w:after="0"/>
        <w:jc w:val="left"/>
        <w:rPr>
          <w:rFonts w:ascii="Times New Roman" w:hAnsi="Times New Roman"/>
          <w:sz w:val="20"/>
        </w:rPr>
      </w:pPr>
      <w:r>
        <w:rPr>
          <w:rFonts w:ascii="Times New Roman;serif" w:hAnsi="Times New Roman;serif"/>
          <w:b w:val="false"/>
          <w:sz w:val="20"/>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also has commitments under lease and licensing agreements (Note 5 and Note 11).</w:t>
      </w:r>
    </w:p>
    <w:p>
      <w:pPr>
        <w:pStyle w:val="TextBody"/>
        <w:bidi w:val="0"/>
        <w:spacing w:before="120" w:after="0"/>
        <w:jc w:val="left"/>
        <w:rPr>
          <w:rFonts w:ascii="Times New Roman" w:hAnsi="Times New Roman"/>
          <w:b/>
          <w:sz w:val="20"/>
        </w:rPr>
      </w:pPr>
      <w:r>
        <w:rPr>
          <w:rFonts w:ascii="Times New Roman" w:hAnsi="Times New Roman"/>
          <w:b/>
          <w:sz w:val="20"/>
        </w:rPr>
        <w:t>13.</w:t>
      </w:r>
    </w:p>
    <w:p>
      <w:pPr>
        <w:pStyle w:val="TextBody"/>
        <w:bidi w:val="0"/>
        <w:spacing w:before="120" w:after="283"/>
        <w:jc w:val="left"/>
        <w:rPr>
          <w:rFonts w:ascii="Times New Roman;serif" w:hAnsi="Times New Roman;serif"/>
          <w:b/>
          <w:sz w:val="20"/>
        </w:rPr>
      </w:pPr>
      <w:r>
        <w:rPr>
          <w:rFonts w:ascii="Times New Roman;serif" w:hAnsi="Times New Roman;serif"/>
          <w:b/>
          <w:sz w:val="20"/>
        </w:rPr>
        <w:t>Subsequent Events</w:t>
      </w:r>
    </w:p>
    <w:p>
      <w:pPr>
        <w:pStyle w:val="TextBody"/>
        <w:bidi w:val="0"/>
        <w:spacing w:before="120" w:after="0"/>
        <w:jc w:val="left"/>
        <w:rPr>
          <w:rFonts w:ascii="Times New Roman" w:hAnsi="Times New Roman"/>
          <w:sz w:val="20"/>
        </w:rPr>
      </w:pPr>
      <w:r>
        <w:rPr>
          <w:rFonts w:ascii="Times New Roman;serif" w:hAnsi="Times New Roman;serif"/>
          <w:b w:val="false"/>
          <w:sz w:val="20"/>
        </w:rPr>
        <w:t>On May 9, 2023, the Company paid the remaining amount due under the SVB Term Loan, resulting in the full extinguishment of the SVB Term Loan. The total payoff amount was $6.5</w:t>
      </w:r>
      <w:r>
        <w:rPr>
          <w:rFonts w:ascii="Times New Roman" w:hAnsi="Times New Roman"/>
          <w:sz w:val="20"/>
        </w:rPr>
        <w:t xml:space="preserve"> </w:t>
      </w:r>
      <w:r>
        <w:rPr>
          <w:rFonts w:ascii="Times New Roman;serif" w:hAnsi="Times New Roman;serif"/>
          <w:b w:val="false"/>
          <w:sz w:val="20"/>
        </w:rPr>
        <w:t>million, consisting of the remaining principal amount due of $5.2</w:t>
      </w:r>
      <w:r>
        <w:rPr>
          <w:rFonts w:ascii="Times New Roman" w:hAnsi="Times New Roman"/>
          <w:sz w:val="20"/>
        </w:rPr>
        <w:t xml:space="preserve"> </w:t>
      </w:r>
      <w:r>
        <w:rPr>
          <w:rFonts w:ascii="Times New Roman;serif" w:hAnsi="Times New Roman;serif"/>
          <w:b w:val="false"/>
          <w:sz w:val="20"/>
        </w:rPr>
        <w:t>million, the final payment fee of $1.2</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of accrued interest and prepayment premium.</w:t>
      </w:r>
    </w:p>
    <w:p>
      <w:pPr>
        <w:pStyle w:val="TextBody"/>
        <w:bidi w:val="0"/>
        <w:spacing w:before="240" w:after="0"/>
        <w:jc w:val="left"/>
        <w:rPr>
          <w:rFonts w:ascii="Times New Roman;serif" w:hAnsi="Times New Roman;serif"/>
          <w:b/>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2022 included in our Annual Report on Form 10-K, filed with the Securities and Exchange Commission, or SEC, on March 16, 2023.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pStyle w:val="TextBody"/>
        <w:bidi w:val="0"/>
        <w:spacing w:before="120" w:after="0"/>
        <w:jc w:val="left"/>
        <w:rPr>
          <w:rFonts w:ascii="Times New Roman" w:hAnsi="Times New Roman"/>
          <w:sz w:val="20"/>
        </w:rPr>
      </w:pPr>
      <w:r>
        <w:rPr>
          <w:rFonts w:ascii="Times New Roman;serif" w:hAnsi="Times New Roman;serif"/>
          <w:b w:val="false"/>
          <w:i/>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We caution readers not to place undue reliance on any forward-looking statements made by us, which speak only as of the date they are made.</w:t>
      </w:r>
    </w:p>
    <w:p>
      <w:pPr>
        <w:pStyle w:val="TextBody"/>
        <w:bidi w:val="0"/>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clinical-stage biopharmaceutical company focused on the development and commercialization of the investigational therapy Haduvio (oral nalbuphine ER) for the treatment of chronic cough in idiopathic pulmonary fibrosis, or IPF, and other chronic cough indications, and for the treatment of prurigo nodularis.</w:t>
      </w:r>
    </w:p>
    <w:p>
      <w:pPr>
        <w:pStyle w:val="TextBody"/>
        <w:bidi w:val="0"/>
        <w:spacing w:before="120" w:after="0"/>
        <w:jc w:val="left"/>
        <w:rPr>
          <w:rFonts w:ascii="Times New Roman" w:hAnsi="Times New Roman"/>
          <w:sz w:val="20"/>
        </w:rPr>
      </w:pPr>
      <w:r>
        <w:rPr>
          <w:rFonts w:ascii="Times New Roman;serif" w:hAnsi="Times New Roman;serif"/>
          <w:b w:val="false"/>
          <w:i/>
          <w:sz w:val="20"/>
        </w:rPr>
        <w:t>Chronic Cough.</w:t>
      </w:r>
      <w:r>
        <w:rPr>
          <w:rFonts w:ascii="Times New Roman" w:hAnsi="Times New Roman"/>
          <w:sz w:val="20"/>
        </w:rPr>
        <w:t xml:space="preserve"> </w:t>
      </w:r>
      <w:r>
        <w:rPr>
          <w:rFonts w:ascii="Times New Roman;serif" w:hAnsi="Times New Roman;serif"/>
          <w:b w:val="false"/>
          <w:sz w:val="20"/>
        </w:rPr>
        <w:t>In September 2022, we announced positive data from our Phase 2 clinical trial of Haduvio for the treatment of chronic cough in IPF, which we refer to as the Phase 2 CANAL trial. The Phase 2 CANAL trial was a randomized, double-blind, placebo controlled, two-treatment, two-period, crossover study that was designed to evaluate the efficacy, safety, tolerability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dosing of Haduvio for chronic cough in IPF that we conducted at multiple sites in the United Kingdom. In total, we enrolled 38 subjects in the study. In the full subject data set,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in discussions with the U.S. Food and Drug Administration, or FDA, and other international regulatory authorities, regarding the design of the next clinical trials of Haduvio for the treatment of chronic cough in IPF. We are preparing for a Phase 2b dose ranging trial of Haduvio for the treatment of chronic cough in IPF. The purpose of this trial would be to determine the dose response and select the dose for the next study as well as to further characterize the safety in this specific patient population. We expect this trial to use a parallel arm design, which would study three doses and placebo over a six-week period. The primary endpoint of this study is expected to be a reduction in 24-hour cough frequency using an objective cough monitor. We expect the study to enroll approximately 150-200 subjects. We are also preparing to conduct a Phase 1b trial to evaluate the effect of Haduvio on respiratory physiology in patients with chronic cough in IPF of varying disease severity. Subject to agreement with the FDA and other international regulatory authorities, we intend to initiate these trials in the second half of 2023. We will need to submit an IND for Haduvio before proceeding with our planned trials for chronic cough in IPF at sites in the United States.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also plan to develop Haduvio for additional chronic cough indications, which we expect will commence initially with a Phase 2a clinical trial of Haduvio for the treatment of refractory chronic cough, which we expect to initiate in the third quarter of 2023 at sites in the U.K. We expect this trial to use a randomized, double-blind, placebo-controlled, two treatment period crossover design, which would study escalating doses of Haduvio over three weeks as compared to placebo. We expect the primary endpoint to be a mean change in cough frequency using an objective cough monitor. We expect the study to enroll approximately 60 subjects.</w:t>
      </w:r>
    </w:p>
    <w:p>
      <w:pPr>
        <w:pStyle w:val="TextBody"/>
        <w:bidi w:val="0"/>
        <w:spacing w:before="120" w:after="0"/>
        <w:jc w:val="left"/>
        <w:rPr>
          <w:rFonts w:ascii="Times New Roman" w:hAnsi="Times New Roman"/>
          <w:sz w:val="20"/>
        </w:rPr>
      </w:pPr>
      <w:r>
        <w:rPr>
          <w:rFonts w:ascii="Times New Roman;serif" w:hAnsi="Times New Roman;serif"/>
          <w:b w:val="false"/>
          <w:i/>
          <w:sz w:val="20"/>
        </w:rPr>
        <w:t>Prurigo Nodularis</w:t>
      </w:r>
      <w:r>
        <w:rPr>
          <w:rFonts w:ascii="Times New Roman;serif" w:hAnsi="Times New Roman;serif"/>
          <w:b w:val="false"/>
          <w:sz w:val="20"/>
        </w:rPr>
        <w:t>. In June 2022, we reported positive results in our Phase 2b/3 clinical trial of Haduvio in prurigo nodularis, which we refer to as the Phase 2b/3 PRISM trial. The Phase 2b/3 PRISM trial was a randomized, double-blind, placebo controlled, two-arm treatment study that was designed to evaluate the safety and efficacy of Haduvio in patients in the United States and Europe. In the Phase 2b/3 PRISM trial, Haduvio demonstrated statistically significant results on the primary and all three key secondary endpoints. The safety results of the trial were generally consistent with the known safety profile of Haduvio from previous trials.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analyzing the open-label extension portion of the Phase 2b/3 PRISM trial, which we completed in the first quarter of 2023 and expect to present the full results of the Phase 2b/3 PRISM trial at a future medical meeting. We expect that we will need to conduct an additional Phase 3 clinical trial to support the submission of a new drug application, or NDA, to the FDA, a marketing authorization application, or MAA, to the European Medicines Agency, or EMA, and an MAA to the Medicines and Healthcare Products Regulatory Agency in the United Kingdom, or MHRA, for Haduvio for the treatment of prurigo nodularis, and plan to request an end of Phase 2 meeting with the FDA in 2023. Following discussions with the FDA and other regulatory authorities, we plan to determine next steps with respect to our prurigo nodularis program, including with respect to the conduct of any future Phase 3 clinical trial. We are exploring entering into a strategic collaboration for the continued development of this program.</w:t>
      </w:r>
    </w:p>
    <w:p>
      <w:pPr>
        <w:pStyle w:val="TextBody"/>
        <w:bidi w:val="0"/>
        <w:spacing w:before="120" w:after="0"/>
        <w:jc w:val="left"/>
        <w:rPr>
          <w:rFonts w:ascii="Times New Roman" w:hAnsi="Times New Roman"/>
          <w:sz w:val="20"/>
        </w:rPr>
      </w:pPr>
      <w:r>
        <w:rPr>
          <w:rFonts w:ascii="Times New Roman;serif" w:hAnsi="Times New Roman;serif"/>
          <w:b w:val="false"/>
          <w:i/>
          <w:sz w:val="20"/>
        </w:rPr>
        <w:t>Human Abuse Potential Study.</w:t>
      </w:r>
      <w:r>
        <w:rPr>
          <w:rFonts w:ascii="Times New Roman" w:hAnsi="Times New Roman"/>
          <w:sz w:val="20"/>
        </w:rPr>
        <w:t xml:space="preserve"> </w:t>
      </w:r>
      <w:r>
        <w:rPr>
          <w:rFonts w:ascii="Times New Roman;serif" w:hAnsi="Times New Roman;serif"/>
          <w:b w:val="false"/>
          <w:sz w:val="20"/>
        </w:rPr>
        <w:t>We initiated a human abuse potential study in the fourth quarter of 2022 to compare the abuse potential of oral nalbuphine to butorphanol. The injectable version of nalbuphine is currently unscheduled in the U.S. by the Drug Enforcement Agency. The study is a randomized, double-blind, active and placebo-controlled 5-way crossover design. The study is being conducted in two parts. The first part of the study characterized various butorphanol doses in order to select a dose to be studied. The second part of the study will utilize the selected dose and compare oral nalbuphine relative to butorphanol using the study metrics. We have completed part one of the study and are preparing to start part two of the study. The FDA has requested that we submit the data from part one in support of our butorphanol dose selection for their review and comment prior to commencing part two of the study. We expect to have top-line data from this study by the end of 2023, subject to regulatory input and supply of butorphanol.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March 31, 2023, we had an accumulated deficit of $216.5 million, primarily as a result of research and development and general and administrative expenses. We do not expect to generate product revenue unless and until we obtain marketing approval for and commercialize Haduvio for the treatment of chronic cough in IPF or other chronic cough indications or for the treatment of prurigo nodularis and we can provide no assurance that we will ever generate significant revenue or profits.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May 2019, we issued and sold 5,500,000 shares of common stock in our initial public offering, or the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2020, we entered into a sales agreement with SVB Securities LLC (formerly SVB Leerink LLC), or SVB Securities, which we refer to as the ATM Sales Agreement, under which we may issue and sell shares of common stock, from time to time, having an aggregate offering price of up to $12.0 million. In May 2022, we amended the ATM Sales Agreement with SVB Securities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to increase the maximum aggregate offering price of common stock that we may issue and sell from time to time under the ATM Sales Agreement by $50.0 million, from $12.0 million to up to $62.0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March 31, 2023, we had issued and sold an aggregate of 3,583,394 shares of common stock for gross proceeds of $11.0 million, before deducting estimated commissions and allocated fees of $0.8 million.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October 5, 2021 and October 18, 2021, we issued and sold in two private placements, or the October 2021 Private Placements, in the aggregate (i) 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Of the accompanying common stock warrants, we issued warrants to purchase an aggregate of 9,151,122 shares that are to expire in April 2025 and warrants to purchase an aggregate of 9,151,122 shares that are to expire in October 2028. The accompanying common stock warrants have an exercise price of $1.37 per share and became exercisable immediately upon issuance. As of May 11, 2023, 1,851,852 of the warrants to purchase shares of common stock that are to expire in April 2025 and 7,851,852 of the warrants to purchase shares of common stock that are to expire in October 2028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 As of May 11, 2023, all of the pre-funded warrants to purchase shares of common stock that we issued and sold in the April 2022 Private Placement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September 27, 2022, we issued and sold 14,252,670 shares of our common stock and, in lieu of common stock to certain investors, pre-funded warrants to purchase 14,247,330 shares of common stock in a public offering, or the September 2022 Offering, at a public offering price of $1.93 per share of common stock and $1.929 per pre-funded warrant pursuant to an underwriting agreement, or the Underwriting Agreement, with SVB Securities, Stifel, Nicolaus &amp; Company, Incorporated and Oppenheimer &amp; Co. Inc., as representatives of the several underwriters, or the Underwriters. Each pre-funded warrant has an exercise price of $0.001 per share, is exercisable immediately and will be exercisable until the pre-funded warrant is exercised in full. Under the terms of the Underwriting Agreement, we agreed not to issue and sell additional shares until after November 21, 2022 except in certain circumstances, including the issuance and sale of additional shares pursuant to the Underwriting Agreement. Under the terms of the Underwriting Agreement, we granted the Underwriters an option, or the Option, exercisable for 30 days, to purchase up to an additional 4,275,000 shares of common stock, or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us of approximately $58.1 million. As of May 11, 2023, all of the pre-funded warrants to purchase shares of common stock that we issued and sold in the September 2022 Offering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August 2020, we entered into a loan and security agreement, or the SVB Loan Agreement, with Silicon Valley Bank, or SVB, pursuant to which SVB provided a term loan, or the SVB Term Loan, to us in the original principal amount of $14.0 million. On the first business day of each month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In July 2021 and April 2022, we entered into amendments to the SVB Loan Agreement with SVB, which we refer to as the Loan Amendments, that modified the conditions under which we would be required to cash collateralize the outstanding amounts owed to them under the SVB Loan Agreement. 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 For further discussion of the SVB Term Loan and the Loan Amendments, see “—Liquidity and Capital Resources”.</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we had cash, cash equivalents and marketable securities of $111.3 million. We believe that our existing cash, cash equivalents and marketable securities will enable us to fund our operating expenses and capital expenditure requirements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for at least 12 months from the date of issuance of the Condensed Consolidated Financial Statements included in this Quarterly Report on Form 10-Q.</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next trials we plan to conduct for Haduvio for the treatment of chronic cough in IPF, our planned Phase 2a clinical trial of Haduvio for the treatment of refractory chronic cough, and the second part of our human abuse potential, or HAP, study to determine the abuse potential of oral nalbuphine ER relative to butorphanol.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Components of Operating Results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periods presented, all of our research and development expenses consist of expenses incurred in connection with the development of Haduvio. These expenses include personnel-related costs, including stock-based compensation, consulting costs, contract manufacturing costs and fees paid to contract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anticipate that our general and administrative expenses will increase as a result of increased personnel costs, including stock-based compensation and expanded infrastructure.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Change in Fair Value of Term Loan Derivative Liability</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Before it was amended by the Third Amendment (as defined below), the SVB Loan Agreement provided that upon the occurrence of the Phase 3 Event, as described below, the interest rate on the SVB Term Loan would increase by 2.00%. This contingent interest rate increase represented a free-standing financial instrument. Accordingly, we accounted for the contingent interest rate increase as a derivative under Accounting Standards Codification or ASC, 815, </w:t>
      </w:r>
      <w:r>
        <w:rPr>
          <w:rFonts w:ascii="Times New Roman;serif" w:hAnsi="Times New Roman;serif"/>
          <w:b w:val="false"/>
          <w:i/>
          <w:sz w:val="20"/>
        </w:rPr>
        <w:t>Derivatives and Hedging</w:t>
      </w:r>
      <w:r>
        <w:rPr>
          <w:rFonts w:ascii="Times New Roman" w:hAnsi="Times New Roman"/>
          <w:sz w:val="20"/>
        </w:rPr>
        <w:t xml:space="preserve"> </w:t>
      </w:r>
      <w:r>
        <w:rPr>
          <w:rFonts w:ascii="Times New Roman;serif" w:hAnsi="Times New Roman;serif"/>
          <w:b w:val="false"/>
          <w:sz w:val="20"/>
        </w:rPr>
        <w:t>and therefore, we recorded a term loan derivative liability for the contingent interest rate increase at its fair value. We adjusted this liability to fair value at each reporting date it remained outstanding. We recognized changes in the fair value of this term loan derivative in our statements of comprehensive loss as a component of other income (expense), net. See below as discussed under “—Results of Operations—Operating Expenses—Other Income (Expense), Net.”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For the three months ended March 31, 2023, other income, net consisted of income related to an employee retention tax credit under the Coronavirus Aid, Relief, and Economic Security Act, or CARES Act. </w:t>
      </w:r>
      <w:r>
        <w:rPr>
          <w:rFonts w:ascii="Times New Roman;serif" w:hAnsi="Times New Roman;serif"/>
          <w:b w:val="false"/>
          <w:i/>
          <w:sz w:val="20"/>
        </w:rPr>
        <w:br/>
      </w:r>
      <w:r>
        <w:rPr>
          <w:rFonts w:ascii="Times New Roman" w:hAnsi="Times New Roman"/>
          <w:sz w:val="20"/>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Interest Income, Net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income, net consists of interest earned primarily on our cash, cash equivalents and marketable securities as well as accretion of discounts/amortization of premiums on purchases of marketable securities.</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2020, we entered into the SVB Loan Agreement under which we borrowed $14.0 million under the SVB Term Loan. In connection with the SVB Term Loan, we recognize interest expense which includes amortization of deferred financing charges, accretion of loan discount-financing costs, accrual of the final payment fee, amortization of the term loan discount-interest and the stated interest on the SVB Term Loan. Prior to the Third Amendment to the SVB Loan Agreement that we entered into with SVB in April 2022, or the Third Amendment, the SVB Term Loan 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which we refer to together as the Phase 3 Event, the interest rate under the SVB Term Loan would be adjusted to a floating rate equal to the greater of (A) the prime rate plus 3.00% and (B) 6.25%.</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Third Amendment, SVB agreed that amounts outstanding under the SVB Loan Agreement would accrue interest at a floating per annum rate equal to (i) the greater of (A) the prime rate plus 1.00% and (B) 4.25%, prior to raising $45.0 million in net proceeds from the sale of equity securities, which we refer to as the 2022 Equity Event, and (ii) upon and after the occurrence of the 2022 Equity Event, the greater of (A) the prime rate plus 3.00% and (B) 6.25%. The closing of the April 2022 Private Placement constituted the 2022 Equity Event.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SVB Term Loan required interest-only payments until March 2022.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w:t>
      </w:r>
    </w:p>
    <w:p>
      <w:pPr>
        <w:pStyle w:val="TextBody"/>
        <w:bidi w:val="0"/>
        <w:spacing w:before="12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periods indicated (in thousands):</w:t>
      </w:r>
    </w:p>
    <w:p>
      <w:pPr>
        <w:pStyle w:val="TextBody"/>
        <w:bidi w:val="0"/>
        <w:spacing w:before="0" w:after="0"/>
        <w:jc w:val="left"/>
        <w:rPr/>
      </w:pPr>
      <w:r>
        <w:rPr/>
        <w:t> </w:t>
      </w:r>
    </w:p>
    <w:tbl>
      <w:tblPr>
        <w:tblW w:w="8193" w:type="dxa"/>
        <w:jc w:val="left"/>
        <w:tblInd w:w="0" w:type="dxa"/>
        <w:tblLayout w:type="fixed"/>
        <w:tblCellMar>
          <w:top w:w="28" w:type="dxa"/>
          <w:left w:w="28" w:type="dxa"/>
          <w:bottom w:w="28" w:type="dxa"/>
          <w:right w:w="28" w:type="dxa"/>
        </w:tblCellMar>
      </w:tblPr>
      <w:tblGrid>
        <w:gridCol w:w="4366"/>
        <w:gridCol w:w="146"/>
        <w:gridCol w:w="211"/>
        <w:gridCol w:w="631"/>
        <w:gridCol w:w="166"/>
        <w:gridCol w:w="146"/>
        <w:gridCol w:w="211"/>
        <w:gridCol w:w="631"/>
        <w:gridCol w:w="166"/>
        <w:gridCol w:w="146"/>
        <w:gridCol w:w="211"/>
        <w:gridCol w:w="571"/>
        <w:gridCol w:w="5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09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59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term loan derivative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9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59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1,217</w:t>
            </w:r>
          </w:p>
        </w:tc>
        <w:tc>
          <w:tcPr>
            <w:tcW w:w="59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w:t>
            </w:r>
          </w:p>
        </w:tc>
        <w:tc>
          <w:tcPr>
            <w:tcW w:w="59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for the periods indicated (in thousands):</w:t>
      </w:r>
    </w:p>
    <w:p>
      <w:pPr>
        <w:pStyle w:val="TextBody"/>
        <w:bidi w:val="0"/>
        <w:spacing w:before="0" w:after="0"/>
        <w:jc w:val="left"/>
        <w:rPr/>
      </w:pPr>
      <w:r>
        <w:rPr/>
        <w:t> </w:t>
      </w:r>
    </w:p>
    <w:tbl>
      <w:tblPr>
        <w:tblW w:w="6753" w:type="dxa"/>
        <w:jc w:val="left"/>
        <w:tblInd w:w="0" w:type="dxa"/>
        <w:tblLayout w:type="fixed"/>
        <w:tblCellMar>
          <w:top w:w="28" w:type="dxa"/>
          <w:left w:w="28" w:type="dxa"/>
          <w:bottom w:w="28" w:type="dxa"/>
          <w:right w:w="28" w:type="dxa"/>
        </w:tblCellMar>
      </w:tblPr>
      <w:tblGrid>
        <w:gridCol w:w="3556"/>
        <w:gridCol w:w="146"/>
        <w:gridCol w:w="211"/>
        <w:gridCol w:w="571"/>
        <w:gridCol w:w="146"/>
        <w:gridCol w:w="146"/>
        <w:gridCol w:w="211"/>
        <w:gridCol w:w="571"/>
        <w:gridCol w:w="146"/>
        <w:gridCol w:w="146"/>
        <w:gridCol w:w="211"/>
        <w:gridCol w:w="481"/>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4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related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Consulting expenses and 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for the three months ended March 31, 2023 increased to $5.0 million from $4.6 million for the corresponding period in 2022, primarily due to increased consulting and professional fees related to startup activities for our three planned chronic cough trials as well as an increase in personnel-related expenses. These increases were offset by a decline in clinical development expenses reflecting the completion prior to the first quarter of 2023 of both the blinded portion of our Phase 2b/3 PRISM trial and our Phase 2 CANAL trial.</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for the three months ended March 31, 2023 increased to $2.6 million from $2.4 million for the corresponding period in 2022, due to an increase in personnel-related expenses and higher tax professional fees.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net for the three months ended March 31, 2023 was $1.2 million compared to other expense, net of $0.3 million for the corresponding period in 2022. The change was primarily due to an increase in interest income of $1.2 million due to higher cash equivalent and marketable securities balances and higher interest rate yields. In addition, during the three months ended March 31, 2023, we recorded $0.2 million in other income, net, related to a tax credit against employment taxes for certain previous periods provided under the CARES Act. No income was recorded related to tax credits under the CARES Act in 2022.</w:t>
      </w:r>
    </w:p>
    <w:p>
      <w:pPr>
        <w:pStyle w:val="TextBody"/>
        <w:bidi w:val="0"/>
        <w:spacing w:before="12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our prior term loan. From inception to our IPO, we raised an aggregate of $102.2 million in gross proceeds from sales of our preferred stock and convertible notes and borrowed $15.0 million under our prior term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2020, we entered into the ATM Sales Agreement under which we may issue and sell shares of common stock, from time to time, having an aggregate offering price of up to $12.0 million. In May 2022, we amended the ATM Sales Agreement with SVB Securities to increase the maximum aggregate offering price of common stock that we may issue and sell from time to time under the ATM Sales Agreement by $50.0 million, from $12.0 million to up to $62.0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March 31, 2023 we had issued and sold an aggregate of 3,583,394 shares of common stock for gross proceeds of $11.0 million, before deducting estimated commissions and allocated fees of $0.8 million.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June 18, 2021, we entered into the LPC Purchase Agreement with Lincoln Park for an equity line financing. The LPC Purchase Agreement provides that, subject to the terms and conditions set forth therein, we have the right, but not the obligation, to sell to Lincoln Park and Lincoln Park is obligated to purchase up to $15.0 million of shares of common stock, at our sole discretion, over a 24-month period commencing on July 23, 2021. We filed a registration statement on Form S-1 covering the resale of shares of common stock that are issued to Lincoln Park under the LPC Purchase Agreement, which was declared effective on July 14, 2021. As part of the LPC Purchase Agreement, we issued 170,088 shares of our common stock to Lincoln Park as consideration for its commitment to purchase shares of our common stock under the LPC Purchase Agreement. Under the terms of the October 2021 Private Placements, we agreed to not issue or sell additional shares under the LPC Purchase Agreement on or prior to April 6,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10, 2023, SVB was closed by the California Department of Financial Protection and Innovation, and the FDIC was appointed as receiver. While SVB was our primary bank at the time of its closure, the vast majority of our total cash, cash equivalents and marketable securities resided in custodial accounts held by U.S. Bank for which SVB Asset Management was the advisor. The FDIC subsequently transferred SVB’s deposits and loans to a newly created bridge bank, named Silicon Valley Bridge Bank, N.A, under a systemic risk exception approved by the United States Department of the Treasury, the Board of Governors of the Federal Reserve, and the FDIC. On March 27, 2023, First Citizens Bank assumed all of SVB’s deposits and certain other liabilities and acquired substantially all of SVB’s loans and certain other assets from the FDIC. As a result, all of our deposits that were at SVB and our SVB Term Loan were then moved to First Citizens Bank. We currently have access to all cash, cash equivalents and marketable securities that had been in our SVB accounts, and do not expect losses or material disruptions to our ongoing operations due to SVB’s closure.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SVB Loan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August 2020, we entered into the SVB Loan Agreement with SVB, pursuant to which SVB provided the SVB Term Loan in the original principal amount of $14.0 million. Prior to the Third Amendment, the SVB Term Loan 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the interest rate under the SVB Term Loan would have been adjusted to a floating rate equal to the greater of (A) the prime rate plus 3.00% and (B) 6.25%. Commencing on March 1, 2022 and on the first business day of each month thereafter,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Such prepayment premium would be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would be required to pay a final payment fee equal to $1.2 million. 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 The SVB Term Loan and related obligations under the SVB Loan Agreement were secured by substantially all of our properties, rights and assets, except for our intellectual property (which is subject to a negative pledge under the SVB Loan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July 6, 2021, we and SVB entered into the First Amendment to the SVB Loan Agreement, or the First Amendment. The First Amendment modified the conditions under which we were required to cash collateralize outstanding amounts owed to SVB under the SVB Loan Agreement. Under the First Amendment, if we failed to receive positive data in our Phase 2b/3 PRISM trial or, prior to June 30, 2022, failed to raise sufficient net proceeds from the sale of equity securities to finance our planned second Phase 3 clinical trial of Haduvio for prurigo nodularis and our ongoing operations, each of which we refer to as a Milestone Condition, we would have been required to deposit unrestricted and unencumbered cash equal to 100% of all outstanding amounts owed to SVB in a cash collateral account with SVB, which could have been used by SVB to prepay the SVB Term Loan at any time. In addition, the First Amendment provided that if we failed to maintain at least $20.0 million in unrestricted and unencumbered cash in our accounts with SVB, or the Minimum Required Cash, at any time prior to the satisfaction of all the Milestone Conditions, we would have been required to cash collateralize all outstanding amounts owed to SVB under the SVB Loan Agreement. We would also have been required to cash collateralize all outstanding amounts owed to SVB under the SVB Loan Agreement if we did not raise at least $15.0 million in net proceeds from the sale of equity securities during the period from June 1, 2021 through October 31, 2021. We satisfied this equity funding condition through a combination of equity issuances under our ATM Sales Agreement and the proceeds from the October 2021 Private Placements.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April 6, 2022, we entered into the Third Amendment to the SVB Loan Agreement. The Third Amendment principally modified the conditions under which we are required to cash collateralize all outstanding amounts owed to SVB under the SVB Loan Agreement. Under the terms of the Third Amendment, upon the closing of the April 2022 Private Placement, our obligations to achieve the Milestone Conditions and maintain the Minimum Required Cash terminated and the sole remaining cash collateralization requirement under the SVB Loan Agreement was the requirement that we receive positive final data by December 31, 2022 from either our Phase 2b/3 PRISM trial of Haduvio for prurigo nodularis or our Phase 2 CANAL trial of Haduvio for the treatment of chronic cough in IPF. On August 3, 2022, SVB confirmed that the reported data from the Phase 2b/3 PRISM trial satisfied the requirement for positive data and that the cash collateralization requirements of the SVB Loan Agreement were no longer in effect. The remaining principal balance of the SVB Term Loan at March 31, 2023 was $6.4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Third Amendment modified the interest rate on the principal amount outstanding under the SVB Loan Agreement, as discussed above under “—Components of Operating Results—Operating Expenses—Interest Expense.”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cash flows for each of the periods presented below (in thousands):</w:t>
      </w:r>
    </w:p>
    <w:tbl>
      <w:tblPr>
        <w:tblW w:w="7203" w:type="dxa"/>
        <w:jc w:val="left"/>
        <w:tblInd w:w="0" w:type="dxa"/>
        <w:tblLayout w:type="fixed"/>
        <w:tblCellMar>
          <w:top w:w="28" w:type="dxa"/>
          <w:left w:w="28" w:type="dxa"/>
          <w:bottom w:w="28" w:type="dxa"/>
          <w:right w:w="28" w:type="dxa"/>
        </w:tblCellMar>
      </w:tblPr>
      <w:tblGrid>
        <w:gridCol w:w="3496"/>
        <w:gridCol w:w="146"/>
        <w:gridCol w:w="211"/>
        <w:gridCol w:w="631"/>
        <w:gridCol w:w="166"/>
        <w:gridCol w:w="146"/>
        <w:gridCol w:w="211"/>
        <w:gridCol w:w="631"/>
        <w:gridCol w:w="166"/>
        <w:gridCol w:w="146"/>
        <w:gridCol w:w="211"/>
        <w:gridCol w:w="631"/>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15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8,962</w:t>
            </w:r>
          </w:p>
        </w:tc>
        <w:tc>
          <w:tcPr>
            <w:tcW w:w="411" w:type="dxa"/>
            <w:tcBorders/>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operating activities used $8.2 million of net cash, resulting from our net loss of $6.4 million and net changes in our operating assets and liabilities of $1.8 million. The non-cash charges consisted primarily of stock-based compensation expense of $0.6 million and $0.1 million of accretion/accrual of term loan discounts and debt issuance costs, offset by $0.7 million of accretion of our available-for-sale marketable securities. Changes in our operating assets and liabilities consisted of a $0.9 million decrease in accounts payable, a $0.8 million increase in prepaid expenses and other current assets, and a $0.1 million decrease in accrued expenses and other liabilities. The decrease in accounts payable was primarily due to the timing of vendor invoices. The increase in prepaid expenses and other current assets was primarily due to an increase in prepayments related to our clinical trial work performed by our CROs as well as an increase in interest income receivable related to our marketable securities. The decrease in accrued expenses and other liabilities was primarily due to a decrease in accrued compensation and benefits.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2022, operating activities used $7.1 million of net cash, resulting from our net loss of $7.3 million and net changes in our operating assets and liabilities of $0.7 million, offset by non-cash charges of $0.9 million. The non-cash charges consisted primarily of stock-based compensation expense of $0.7 million and $0.2 million of accretion/accrual of term loan discounts and debt issuance costs. Changes in our operating assets and liabilities consisted of a $1.1 million decrease in accounts payable, a $0.4 million decrease in prepaid expenses and other current assets and an immaterial increase in accrued expenses and other liabilities. The decrease in accounts payable was primarily due to the timing of vendor invoices. The decrease in prepaid expenses and other current assets was primarily due to a decrease in prepayments of our corporate insurance policies. The immaterial increase in in accrued expenses and other liabilities was primarily due to increased accruals for research, development and clinical trial work performed by our CROs, partially offset by a decrease in accrued compensation and benefits.</w:t>
      </w:r>
    </w:p>
    <w:p>
      <w:pPr>
        <w:pStyle w:val="TextBody"/>
        <w:bidi w:val="0"/>
        <w:spacing w:before="120" w:after="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net cash provided by investing activities was $9.0 million, primarily related to $18.0 million of proceeds from maturities of available-for-sale marketable securities offset by $9.0 million of purchases of available-for-sale marketable securities and $0.1 million of purchases of property, equipment and leasehold improvements. During the three months ended March 31, 2022, no cash was provided by or used in investing activities.</w:t>
      </w:r>
    </w:p>
    <w:p>
      <w:pPr>
        <w:pStyle w:val="TextBody"/>
        <w:bidi w:val="0"/>
        <w:spacing w:before="12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net cash used in financing activities was $1.7 million, primarily consisting of repayments of $1.8 million on the SVB Term Loan, partially offset by cash proceeds from the exercise of stock options of $0.1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2022, net cash used in financing activities was $0.6 million, primarily consisting of repayments of $0.6 million on the SVB Term Loan and payments of offering costs of less than $0.1 million, slightly offset by proceeds received from the exercise of warrants.</w:t>
      </w:r>
    </w:p>
    <w:p>
      <w:pPr>
        <w:pStyle w:val="TextBody"/>
        <w:bidi w:val="0"/>
        <w:spacing w:before="120" w:after="0"/>
        <w:jc w:val="left"/>
        <w:rPr>
          <w:rFonts w:ascii="Times New Roman" w:hAnsi="Times New Roman"/>
          <w:sz w:val="20"/>
        </w:rPr>
      </w:pPr>
      <w:r>
        <w:rPr>
          <w:rFonts w:ascii="Times New Roman;serif" w:hAnsi="Times New Roman;serif"/>
          <w:b/>
          <w:i/>
          <w:sz w:val="20"/>
        </w:rPr>
        <w:t>Funding Requirements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next trials we plan to conduct for Haduvio for the treatment of chronic cough in IPF;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planned Phase 2a clinical trial of Haduvio for the treatment of refractory chronic cough;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second part of our HAP study.</w:t>
      </w:r>
    </w:p>
    <w:p>
      <w:pPr>
        <w:pStyle w:val="TextBody"/>
        <w:bidi w:val="0"/>
        <w:spacing w:before="120" w:after="0"/>
        <w:jc w:val="left"/>
        <w:rPr>
          <w:rFonts w:ascii="Times New Roman" w:hAnsi="Times New Roman"/>
          <w:sz w:val="20"/>
        </w:rPr>
      </w:pPr>
      <w:r>
        <w:rPr>
          <w:rFonts w:ascii="Times New Roman;serif" w:hAnsi="Times New Roman;serif"/>
          <w:b w:val="false"/>
          <w:sz w:val="20"/>
        </w:rPr>
        <w:t>Generally, regulatory authorities require two adequate and well-controlled studies for approval. Furthermore, we expect to continue to incur costs associated with operating as a public company, including significant legal, accounting, investor relations and other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objectives. Adequate additional financing may not be available to us on acceptable terms or at all. Our future funding requirements, both short-term and long-term,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timing, costs and results of clinical trials of Haduvio, including the next clinical trials for the treatment of chronic cough in IPF, our planned Phase 2a clinical trial in refractory chronic cough, and our HAP study, as well as trials for any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and characteristics of indications for which we seek to develop Haduvio or any future product candidates and their respective development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outcome, timing and costs of clinical and nonclinical trials and of seeking regulatory approvals, including the costs of supportive clinical studies such as our HAP study and a potential Thorough QT study;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associated with the manufacture of necessary quantities of Haduvio or any future product candidate for clinical development in connection with regulatory submissions;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commercialization activities for Haduvio for the treatment of chronic cough in IPF or for any other chronic cough indications or for the treatment of prurigo nodularis or for any future product candidates that receive marketing approval, if any, including the costs and timing of establishing product sales, marketing, distribution and manufacturing capabilities;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subject to receipt of marketing approvals, revenue, if any, received from commercial sales of Haduvio for the treatment of chronic cough in IPF or for any other chronic cough indications or for the treatment of prurigo nodularis or from any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identify potential collaborators for Haduvio for the treatment of prurigo nodularis or for the treatment of chronic cough in IPF or for any other chronic cough indications or for any future product candidates and the terms and timing of any collaboration agreement that we may establish for the development and any commercialization of such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we acquire or in-license rights to other potential product candidates or technologies and the terms and timing of any such acquisition or licensing arrangements;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potential obligation to make milestone payments to Endo Pharmaceuticals Inc., or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headcount growth and associated costs as we expand our research and development activities and establish a commercial infrastructure;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preparing, filing and prosecuting patent applications, maintaining, expanding and protecting our intellectual property rights and defending against intellectual property-related claims;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effect of competing technologies and market developments;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and maintain healthcare coverage and adequate reimbursement for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operating as a public company;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 of the COVID-19 pandemic and other outbreaks of infectious disease on the scope, progress, timing, costs and results of our ongoing and planned clinical trials of Haduvio.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have any committed external source of funds.</w:t>
      </w:r>
      <w:r>
        <w:rPr>
          <w:rFonts w:ascii="Times New Roman" w:hAnsi="Times New Roman"/>
          <w:sz w:val="20"/>
        </w:rPr>
        <w:t xml:space="preserve"> </w:t>
      </w:r>
      <w:r>
        <w:rPr>
          <w:rFonts w:ascii="Times New Roman;serif" w:hAnsi="Times New Roman;serif"/>
          <w:b w:val="false"/>
          <w:sz w:val="20"/>
        </w:rPr>
        <w:t>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IPF or refractory chronic cough or for the treatment of prurigo nodularis or any other indication. If we raise additional funds by issuing equity securities, our stockholders may experience dilution. Any debt financing into which we enter would result in fixed payment obligations and may involve agreements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120" w:after="0"/>
        <w:jc w:val="left"/>
        <w:rPr>
          <w:rFonts w:ascii="Times New Roman" w:hAnsi="Times New Roman"/>
          <w:sz w:val="20"/>
        </w:rPr>
      </w:pPr>
      <w:r>
        <w:rPr>
          <w:rFonts w:ascii="Times New Roman;serif" w:hAnsi="Times New Roman;serif"/>
          <w:b/>
          <w:sz w:val="20"/>
        </w:rPr>
        <w:t>Critical Accounting Policies and 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our significant accounting policies are described in the Notes to our financial statements, we believe that the critical accounting policies, which include those related to research and development expenses, stock-based compensation expense, income taxes, warrants and fair value measurements and which are described under the heading “Management’s Discussion and Analysis of Financial Condition and Results of Operations—Critical Accounting Policies and Use of Estimates” in our Annual Report on Form 10-K for the year ended December 31, 2022, are the most important to understanding and evaluating our reported financial results. During the three months ended March 31, 2023, there were no material changes to our critical accounting policies.</w:t>
      </w:r>
    </w:p>
    <w:p>
      <w:pPr>
        <w:pStyle w:val="TextBody"/>
        <w:bidi w:val="0"/>
        <w:spacing w:before="120" w:after="0"/>
        <w:jc w:val="left"/>
        <w:rPr>
          <w:rFonts w:ascii="Times New Roman" w:hAnsi="Times New Roman"/>
          <w:sz w:val="20"/>
        </w:rPr>
      </w:pPr>
      <w:r>
        <w:rPr>
          <w:rFonts w:ascii="Times New Roman;serif" w:hAnsi="Times New Roman;serif"/>
          <w:b/>
          <w:sz w:val="20"/>
        </w:rPr>
        <w:t>Recently Adopted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new pronouncements adopted during the three months ended March 31, 2023.</w:t>
      </w:r>
    </w:p>
    <w:p>
      <w:pPr>
        <w:pStyle w:val="TextBody"/>
        <w:bidi w:val="0"/>
        <w:spacing w:before="120" w:after="0"/>
        <w:jc w:val="left"/>
        <w:rPr>
          <w:rFonts w:ascii="Times New Roman" w:hAnsi="Times New Roman"/>
          <w:sz w:val="20"/>
        </w:rPr>
      </w:pPr>
      <w:r>
        <w:rPr>
          <w:rFonts w:ascii="Times New Roman;serif" w:hAnsi="Times New Roman;serif"/>
          <w:b/>
          <w:sz w:val="20"/>
        </w:rPr>
        <w:t>Recently Issued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new pronouncements issued during the three months ended March 31, 2023 which could be expected to materially impact our Condensed Consolidated Financial Statements.</w:t>
      </w:r>
    </w:p>
    <w:p>
      <w:pPr>
        <w:pStyle w:val="TextBody"/>
        <w:bidi w:val="0"/>
        <w:spacing w:before="120" w:after="0"/>
        <w:jc w:val="left"/>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120" w:after="0"/>
        <w:jc w:val="left"/>
        <w:rPr>
          <w:rFonts w:ascii="Times New Roman" w:hAnsi="Times New Roman"/>
          <w:sz w:val="20"/>
        </w:rPr>
      </w:pPr>
      <w:bookmarkStart w:id="11" w:name="item_4_controls_procedures"/>
      <w:bookmarkEnd w:id="11"/>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March 31, 2023.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March 31, 2023, our Chief Executive Officer and Chief Financial Officer concluded that, as of such date, our disclosure controls and procedures were effective at the reasonable assurance level.</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 change in our internal control over financial reporting (as defined in Rules 13a-15(f) and 15d-15(f) under the Exchange Act) occurred during the three months ended March 31, 2023 that has materially affected, or is reasonably likely to materially affect, our internal control over financial reporting.</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2" w:name="part_iior_information"/>
      <w:bookmarkEnd w:id="12"/>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subject to any material legal proceedings.</w:t>
      </w:r>
    </w:p>
    <w:p>
      <w:pPr>
        <w:pStyle w:val="TextBody"/>
        <w:bidi w:val="0"/>
        <w:spacing w:before="120" w:after="0"/>
        <w:jc w:val="left"/>
        <w:rPr>
          <w:rFonts w:ascii="Times New Roman" w:hAnsi="Times New Roman"/>
          <w:sz w:val="20"/>
        </w:rPr>
      </w:pPr>
      <w:bookmarkStart w:id="14" w:name="item_1a_risk_factors"/>
      <w:bookmarkEnd w:id="14"/>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bidi w:val="0"/>
        <w:spacing w:before="120" w:after="0"/>
        <w:jc w:val="left"/>
        <w:rPr>
          <w:rFonts w:ascii="Times New Roman" w:hAnsi="Times New Roman"/>
          <w:sz w:val="20"/>
        </w:rPr>
      </w:pPr>
      <w:r>
        <w:rPr>
          <w:rFonts w:ascii="Times New Roman;serif" w:hAnsi="Times New Roman;serif"/>
          <w:b/>
          <w:sz w:val="20"/>
        </w:rPr>
        <w:t>Risks Related to Our Financial Position and Need for Additional Capital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incurred significant losses since inception, expect to incur significant and increasing losses for the foreseeable future and may never achieve or maintain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incurred significant annual net losses every year since our inception. We expect to continue to incur significant and increasing net losses for at least the next several years. Our net losses were $6.4 million and $29.2 million for the three months ended March 31, 2023 and for the year ended December 31, 2022, respectively. As of March 31, 2023, we had an accumulated deficit of $216.5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borrowings under our prior term loan facility, proceeds from our IPO and concurrent private placement completed in May 2019, sales of our common stock pursuant to an ATM Sales Agreement, the term loan facility with Silicon Valley Bank that we entered into in August 2020, which we refer to as the SVB Term Loan, proceeds from the two private placements we completed in October 2021, or the October 2021 Private Placements, proceeds from the private placement we completed in April 2022, or the April 2022 Private Placement, proceeds from the exercise of common stock warrants that were issued in the October 2021 Private Placements and proceeds from the public offering we completed in September 2022, or the September 2022 Offering.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continue to incur significant expenses and increasing operating losses for the foreseeable future. We anticipate that our expenses will increase substantially if and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develop and conduct clinical trials of Haduvio, including the next trials we plan to conduct for Haduvio for the treatment of chronic cough in IPF, our planned Phase 2 clinical trial of Haduvio for the treatment of refractory chronic cough, and the second part of our human abuse potential, or HAP, study;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regulatory and marketing approvals for Haduvio for the treatment of chronic cough in IPF, other chronic cough indications, and/or for the treatment of prurigo nodularis or for any future product candidate that successfully completes clinical trials,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negotiate and execute pediatric development plans and complete any post-approval commitments;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sales, marketing, distribution and other commercial infrastructure to commercialize any products for which we may obtain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 the manufacture of larger quantities of Haduvio or any future product candidate for clinical development and, potentially, commercialization;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acquire or in-license rights to other potential product candidates or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initiate and conduct research, preclinical and clinical development efforts for any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maintain, expand and protect our intellectual property portfolio;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hire and retain additional personnel, such as clinical, regulatory and scientific personnel;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 operational, financial and management information systems and personnel, including personnel to support our product development and commercialization efforts and to help us comply with our obligations as a public company;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add equipment and physical infrastructure to support our development program for Haduvio and for any future product candidates.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prurigo nodularis, we are required, at a minimum, to successfully complete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a limited operating history and no products approved for commercial sale, which may make it difficult to evaluate the prospects for our future success and viability.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will need substantial additional funding and if we are unable to raise sufficient capital when needed on acceptable terms or at all, we could be forced to delay, reduce or abandon our product development programs or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three months ended March 31, 2023 and the year ended December 31, 2022, we used net cash of $8.2 million and $28.2 million, respectively, in our operating activities, substantially all of which related to development activities for Haduvio. As of March 31, 2023, our cash, cash equivalents and marketable securities were $111.3 million. We expect our expenses to increase substantially in connection with our ongoing activities, particularly as we continue to develop Haduvio, including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conduct the next trials we plan to conduct for Haduvio for the treatment of chronic cough in IPF;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conduct our planned Phase 2a clinical trial of Haduvio for the treatment of refractory chronic cough;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complete our HAP study to further characterize the abuse potential of oral nalbuphine ER.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may incur additional expenses: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determine to conduct an additional clinical trial for the treatment of prurigo nodularis;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if we acquire or in-license rights to other potential product candidates or technologies and seek regulatory and marketing approvals for Haduvio or any future product candidate that successfully completes clinical trials; and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as a result of the COVID-19 pandemic or other outbreaks of infectious disease and resulting clinical trial delays and interruptions.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IPF, for refractory chronic cough or for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0"/>
        <w:jc w:val="left"/>
        <w:rPr>
          <w:rFonts w:ascii="Times New Roman" w:hAnsi="Times New Roman"/>
          <w:sz w:val="20"/>
        </w:rPr>
      </w:pPr>
      <w:r>
        <w:rPr>
          <w:rFonts w:ascii="Times New Roman;serif" w:hAnsi="Times New Roman;serif"/>
          <w:b w:val="false"/>
          <w:sz w:val="20"/>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progress, timing, costs and results of clinical trials of Haduvio, including the next clinical trials for the treatment of chronic cough in IPF, our planned Phase 2a clinical trial in refractory chronic cough, and our HAP study, as well as trials for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and characteristics of indications for which we seek to develop Haduvio or any future product candidates and their respective development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timing and costs of clinical and nonclinical trials and of seeking regulatory approvals, including the costs of supportive clinical studies such as our HAP study and a potential Thorough QT, or TQT, study;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associated with the manufacture of necessary quantities of Haduvio or any future product candidate for clinical development in connection with regulatory submissions;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commercialization activities for Haduvio for the treatment of chronic cough in IPF or any other chronic cough indications or for any future product candidates that receive marketing approval, if any, including the costs and timing of establishing product sales, marketing, distribution and manufacturing capabilities;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 to receipt of marketing approvals, revenue, if any, received from commercial sales of Haduvio for the treatment of chronic cough in IPF or for any other chronic cough indications or for the treatment of prurigo nodularis, or from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identify potential collaborators for Haduvio for the treatment of prurigo nodularis or for the treatment of chronic cough in IPF or for any other chronic cough indications or for any future product candidates, and the terms and timing of any collaboration agreement that we may establish for the development and any commercialization of such product candidates;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extent to which we acquire or in-license rights to other potential product candidates or technologies and the terms and timing of any such acquisition or licensing arrangements;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potential obligation to make milestone payments to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headcount growth and associated costs as we expand our research and development activities and establish a commercial infrastructure;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 of competing technologies and market developments;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establish and maintain healthcare coverage and adequate reimbursement for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operating as a public company;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 of the COVID-19 pandemic and other outbreaks of infectious disease on the scope, progress, timing, costs and results of our ongoing and planned clinical trials of Haduvio.</w:t>
      </w:r>
    </w:p>
    <w:p>
      <w:pPr>
        <w:pStyle w:val="TextBody"/>
        <w:bidi w:val="0"/>
        <w:spacing w:before="160" w:after="0"/>
        <w:jc w:val="left"/>
        <w:rPr>
          <w:rFonts w:ascii="Times New Roman" w:hAnsi="Times New Roman"/>
          <w:sz w:val="20"/>
        </w:rPr>
      </w:pPr>
      <w:r>
        <w:rPr>
          <w:rFonts w:ascii="Times New Roman;serif" w:hAnsi="Times New Roman;serif"/>
          <w:b/>
          <w:i/>
          <w:sz w:val="20"/>
        </w:rPr>
        <w:t>Raising additional capital may cause dilution to our stockholders, restrict our operations or require us to relinquish rights to our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our expenses to increase substantially in connection with our planned operations, particularly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conduct the next clinical trials we plan to conduct for Haduvio for the treatment of chronic cough in IPF;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conduct our planned Phase 2a clinical trial of Haduvio for the treatment of refractory chronic cough;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complete our HAP study to further characterize the abusive potential of oral nalbuphine ER.</w:t>
      </w:r>
    </w:p>
    <w:p>
      <w:pPr>
        <w:pStyle w:val="TextBody"/>
        <w:bidi w:val="0"/>
        <w:spacing w:before="120" w:after="0"/>
        <w:jc w:val="left"/>
        <w:rPr>
          <w:rFonts w:ascii="Times New Roman" w:hAnsi="Times New Roman"/>
          <w:sz w:val="20"/>
        </w:rPr>
      </w:pPr>
      <w:r>
        <w:rPr>
          <w:rFonts w:ascii="Times New Roman;serif" w:hAnsi="Times New Roman;serif"/>
          <w:b w:val="false"/>
          <w:sz w:val="20"/>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the Development and Commercialization of Haduvio and Any Future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have no products approved for sale and are investing substantially all our efforts and financial resources to fund the development and commercialization of Haduvio for the treatment of chronic cough in IPF and other chronic cough indications, and for the treatment of prurigo nodularis.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most advanced programs are the development of Haduvio for the treatment of chronic cough in IPF and for the treatment of prurigo nodularis. As a result, if our efforts to develop and commercialize Haduvio for the treatment of chronic cough in IPF or other chronic cough indications or for the treatment of prurigo nodularis are unsuccessful or we experience significant delays in doing so, our business could also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success of Haduvio for the treatment of chronic cough in IPF and other chronic cough conditions and for the treatment of prurigo nodularis will depend on several factors, including the following: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initiating and successfully recruiting, enrolling and retaining subjects in and completing additional clinical and nonclinical trials of Haduvio, including the additional clinical trials we plan to conduct for the treatment of chronic cough in IPF, which are subject to the submission and clearance by the FDA of an IND, and in other chronic cough indications;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completing the analysis of the open-label extension portion of our Phase 2b/3 PRISM trial and determining the next steps for the program after discussions with the FDA;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completing other supportive clinical studies such as our HAP study, a potential physical dependence study and a potential Thorough QT study;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demonstrating safety, tolerability and efficacy profiles that are satisfactory to the FDA, EMA, MHRA and other comparable regulatory authorities for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receiving timely marketing approvals from applicable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managing the extent and cost of any required post-marketing approval commitments to applicable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and maintaining arrangements with our third-party supplier of drug substance for Haduvio;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and maintaining arrangements with third-party manufacturers of Haduvio, including developing, validating and maintaining a commercially viable manufacturing process that is compliant with current good manufacturing practices, or cGMPs;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maintaining and protecting our patents, trade secrets and regulatory exclusivity in the U.S. and other countries;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 focused, specialty sales organization in the U.S. and successfully launching commercial sales following any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commercial acceptance of our products, if approved, by patients, the medical community and third-party payors and obtaining and maintaining healthcare coverage and adequate reimbursement;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maintaining an acceptable safety profile following any marketing approval;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ability to compete with other therapies. </w:t>
      </w:r>
    </w:p>
    <w:p>
      <w:pPr>
        <w:pStyle w:val="TextBody"/>
        <w:bidi w:val="0"/>
        <w:spacing w:before="120" w:after="0"/>
        <w:jc w:val="left"/>
        <w:rPr>
          <w:rFonts w:ascii="Times New Roman" w:hAnsi="Times New Roman"/>
          <w:sz w:val="20"/>
        </w:rPr>
      </w:pPr>
      <w:r>
        <w:rPr>
          <w:rFonts w:ascii="Times New Roman;serif" w:hAnsi="Times New Roman;serif"/>
          <w:b w:val="false"/>
          <w:sz w:val="20"/>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approach to the development and commercialization of Haduvio to treat chronic cough is unproven.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currently focused on the development and commercialization of Haduvio for the treatment of chronic cough in IPF and other chronic cough indications.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Additionally, Haduvio has not been approved in any indication. No therapies have been approved in the U.S. or Europe for the treatment of chronic cough in IPF and we can provide no assurance that either Haduvio or any other future product candidate that we may seek to develop for this indication will be effective or safe, obtain regulatory approval or be commercially successful.</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Clinical drug development involves a lengthy and expensive process with an uncertain outcome.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clinical trials may produce unfavorable or inconclusive results;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decide, or regulators may require us, to restructure clinical trials, conduct additional clinical and nonclinical trials or abandon product development programs;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experience delays in obtaining authorization to commence a clinical trial from regulators, clinical sites and institutional review boards;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subjects required for clinical trials may be larger than we anticipate, as we experienced with the increase of the target number of enrolled subjects for our Phase 2b/3 PRISM trial from 240 to 360 subjects as a result of the sample size re-estimation, or SSRE, analysis;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 enrollment in clinical trials may be slower than we anticipate, whether as a result of the COVID-19 pandemic or other outbreaks of infectious disease or otherwise, or participants may discontinue their participation in these clinical trials at a higher rate than we anticipate, as we experienced in our Phase 2b/3 PRISM trial of Haduvio for the treatment of prurigo nodularis;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 of planned clinical trials may be greater than we anticipate, such as with our Phase 2b/3 PRISM trial where we added additional sites, increased the target number of enrolled subjects, experienced enrollment that took longer than expected and used additional incentive strategies to address site activation and enrollment;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clinical trials sites may not have adequate staff and resources to support our trials on a timely basis;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regulators or institutional review boards may not authorize us or our investigators to commence a clinical trial or conduct a clinical trial at a prospective trial site;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experience delays in reaching or fail to reach agreement on acceptable clinical trial contracts or clinical trial protocols with prospective trial sites;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subjects who enroll in a clinical trial may misrepresent their eligibility to do so or may otherwise not comply with applicable clinical trial protocols, resulting in the need to drop the subjects from the clinical trial, increase the needed enrollment size for the clinical trial or extend the clinical trial’s duration;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have to delay, suspend or terminate clinical trials for various reasons, including a finding that the participants are being exposed to unacceptable health risks, undesirable side effects or other unexpected characteristics of a product candidate;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or comparable foreign regulatory authorities may disagree with our clinical trial designs or our interpretation of data from preclinical studies and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or comparable foreign regulatory authorities may fail to approve or subsequently find fault with the manufacturing processes or facilities of third-party manufacturers with which we enter into agreements for clinical and commercial supplies;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to the above, the COVID-19 pandemic has adversely affected our clinical trial operations worldwide, and such pandemic or other outbreaks of infectious disease could in the future adversely affect our clinical trial operations worldwide, including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ability to recruit and retain principal investigators and site staff who, as healthcare providers, may have heightened exposure to COVID-19 or other infectious diseases. The COVID-19 pandemic has resulted and could in the future also result in further delays in our clinical trials due to prioritization of hospital and medical resources toward the pandemic, restrictions in travel, potential unwillingness of patients to enroll in trials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 While the current trajectory of the COVID-19 pandemic is uncertain, in the future we may continue to experience adverse impacts on our clinical trial activities, business operations, financial condition, and prospects as a result of the future evolution of the virus, among other factors.</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incur additional unplanned costs, which may exceed the resources that we have available or are able to obtain on reasonable terms;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 to obtain marketing approval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 marketing approval for indications or patient populations that are not as broad as we originally intended or desired;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 marketing approval with labeling that includes significant use or distribution restrictions or significant safety warnings, including boxed warnings;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be subject to additional post-marketing testing or other requirements;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be required to remove the product from the market after obtaining marketing approval.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aware of a shortage in supply of butorphanol. If we are unable to obtain sufficient supply of butorphanol on a timely basis, our HAP study may be delayed.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Similarly,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pStyle w:val="TextBody"/>
        <w:bidi w:val="0"/>
        <w:spacing w:before="120" w:after="0"/>
        <w:jc w:val="left"/>
        <w:rPr>
          <w:rFonts w:ascii="Times New Roman" w:hAnsi="Times New Roman"/>
          <w:sz w:val="20"/>
        </w:rPr>
      </w:pPr>
      <w:r>
        <w:rPr>
          <w:rFonts w:ascii="Times New Roman;serif" w:hAnsi="Times New Roman;serif"/>
          <w:b w:val="false"/>
          <w:sz w:val="20"/>
        </w:rPr>
        <w:t>Our failure to successfully and timely complete clinical trials of Haduvio for the treatment of chronic cough in IPF or other chronic cough conditions or for the treatment of prurigo nodularis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clinical trials may fail to demonstrate adequately the safety and efficacy of Haduvio or any future product candidates, which would likely prevent or delay regulatory approval and commercialization.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prurigo nodularis failed to meet its primary endpoint and the number of subjects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prurigo nodularis, the FDA raised the need to adequately isolate a patient population with pruritus associated with prurigo nodularis for our planned Phase 3 clinical trials. While the inclusion criteria in our Phase 2b/3 PRISM trial require that enrolled subjects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the FDA does not believe that the results of the Phase 2b/3 PRISM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prurigo nodularis.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Use of patient-reported outcome assessments, or PROs, in our clinical trials and high placebo response rates may delay or impair the development of Haduvio or adversely impact our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Due to the difficulty of objectively measuring pruritus, the assessment of pruritus in clinical trials typically involves the use of PROs. Our clinical trials evaluating the efficacy of Haduvio in pruritus indications, including our Phase 2b/3 PRISM trial, have used PROs as primary endpoints. For example, the primary endpoint of our Phase 2b/3 PRISM trial was the proportion of patients achieving at least a 4-point improvement from baseline with respect to their worst itch at week 14 as measured by the Worst Itch Numerical Rating Scale, or WI-NRS, scores, which is a patient-reported assessment on an 11-point scale from 0 to 10 of the severity of the worst itch experienced in the last 24 hours.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although the primary endpoint in our future clinical trials of Haduvio for the treatment of chronic cough in IPF and other chronic cough indications is likely to be measured using an objective cough monitor, we will need to validate a supportive PRO instrument of the primary endpoint. There is not a validated PRO instrument now that has been accepted for chronic cough indications.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experience delays or difficulties in the enrollment of subjects in clinical trials, our receipt of necessary regulatory approvals could be delayed or prevented.</w:t>
      </w:r>
    </w:p>
    <w:p>
      <w:pPr>
        <w:pStyle w:val="TextBody"/>
        <w:bidi w:val="0"/>
        <w:spacing w:before="120" w:after="0"/>
        <w:jc w:val="left"/>
        <w:rPr>
          <w:rFonts w:ascii="Times New Roman" w:hAnsi="Times New Roman"/>
          <w:sz w:val="20"/>
        </w:rPr>
      </w:pPr>
      <w:r>
        <w:rPr>
          <w:rFonts w:ascii="Times New Roman;serif" w:hAnsi="Times New Roman;serif"/>
          <w:b w:val="false"/>
          <w:sz w:val="20"/>
        </w:rPr>
        <w:t>We may not be able to initiate or continue clinical trials for Haduvio or any future product candidate if we are unable to locate and enroll a sufficient number of eligible subjects to participate in clinical trials as required by the FDA or comparable foreign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authorities. Patient enrollment is a significant factor in the timing of our clinical trials and is affected by many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size and nature of the eligible patient population;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severity of the disease under investigation;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proximity of eligible patients to clinical sites;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patient referral practices of physicians;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eligibility criteria for the clinical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design of the clinical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efforts to facilitate timely enrollment;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competing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clinicians’ and patients’ perceptions as to the potential advantages and risks of the product candidate being studied in relation to other available therapies, including any new drugs that may be approved for the indications under investigation;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 of the COVID-19 pandemic and other outbreaks of infectious disease, especially in our chronic cough patient population.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particular, the successful completion of our clinical development program for Haduvio for the treatment of chronic cough in IPF and for the treatment of prurigo nodularis is dependent upon our ability to enroll a sufficient number of subjects with these severe conditions. We experienced delays and difficulties in the enrollment of subjects in our clinical trials, including our Phase 2 CANAL trial and our Phase 2b/3 PRISM trial, which delayed the completion of our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companies are conducting clinical trials or have announced plans for future clinical trials that are seeking or are likely to seek to enroll patients with chronic cough associated with IPF, refractory chronic cough or prurigo nodularis, and patients are generally only able to enroll in a single trial at a time. In addition, although there are no drugs approved in the U.S. or Europe to treat chronic cough in IPF or refractory chronic cough, patients with these conditions, as well as their physicians, may be reluctant to forgo, discontinue or otherwise alter their use of the therapeutic approaches they currently use in order to participate in our clinical trials. For example, patients may use Dupixent (dupilumab), an injectable prescription medicine, that was approved by the FDA for the treatment of prurigo nodularis in September 2022 or various treatments off-label for the treatment of prurigo nodularis, such as antihistamines or gabapentin; these patients and their physicians may be reluctant to forgo, discontinue or otherwise alter their use of Dupixent or any off-label therapeutic approaches to participate in our clinical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response to the COVID-19 pandemic, the FDA issued numerous guidance documents and took other actions to facilitate research and development of new drug products. On January 30, 2023, the Biden Administration announced that it will end the public health emergency declarations related to COVID-19 on May 11, 2023. On January 31, 2023, the FDA indicated that it would soon issue a Federal Register notice describing how the termination of the public health emergency will impact the agency’s COVID-19 related guidance, including the clinical trial guidance and updates thereto. At this point, it is unclear how, if at all, these developments will impact our efforts to develop and commercialize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Any inability to enroll a sufficient number of subjects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To support our planned submission of an NDA to the FDA for Haduvio, due to the association of opioids with endocrine dysfunction, we may be required to conduct a clinical trial of Haduvio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subjects to complete a trial or result in potential product liability claims.</w:t>
      </w:r>
    </w:p>
    <w:p>
      <w:pPr>
        <w:pStyle w:val="TextBody"/>
        <w:bidi w:val="0"/>
        <w:spacing w:before="120" w:after="0"/>
        <w:jc w:val="left"/>
        <w:rPr>
          <w:rFonts w:ascii="Times New Roman" w:hAnsi="Times New Roman"/>
          <w:sz w:val="20"/>
        </w:rPr>
      </w:pPr>
      <w:r>
        <w:rPr>
          <w:rFonts w:ascii="Times New Roman;serif" w:hAnsi="Times New Roman;serif"/>
          <w:b w:val="false"/>
          <w:sz w:val="20"/>
        </w:rPr>
        <w:t>In our clinical trials of Haduvio for the treatment of prurigo nodularis, the most frequently reported treatment emergent adverse events associated with Haduvio were nausea, fatigue, dizziness, vomiting, headache, anxiety, depression, constipation and somnolence. In our Phase 2 CANAL trial of Haduvio for the treatment of chronic cough in IPF, the most frequently reported treatment emergent adverse events associated with Haduvio were nausea, fatigue, dizziness, vomiting, headache, constipation and somnolence.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serif" w:hAnsi="Times New Roman;serif"/>
          <w:b/>
          <w:i/>
          <w:sz w:val="20"/>
        </w:rPr>
        <w:t>The drug label for nalbuphine, the active ingredient in Haduvio, carries an opioid class label warning for serious, life-threatening or fatal respiratory depression.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μ-opioid receptor antagonists such as nalbuphine are associated with respiratory depression. The drug label for nalbuphine, the active ingredient in Haduvio, carries an opioid class label warning for serious, life-threatening or fatal respiratory depression and Haduvio, if approved for marketing in any indication, will likely carry a similar opioid class label. We intend to conduct a Phase 1b study of Haduvio to evaluate the effect of Haduvio on respiratory physiology in patients with chronic cough in IPF of varying disease severity. We cannot be certain that respiratory depression will not be observed or that the FDA will not require additional trials or impose more severe labeling restrictions related to respiratory depression. If there is a safety signal in the Phase 1b study, it could affect our ability to conduct a trial in this patient population.</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serif" w:hAnsi="Times New Roman;serif"/>
          <w:b/>
          <w:i/>
          <w:sz w:val="20"/>
        </w:rPr>
        <w:t>Many currently approved µ-opioid products are subject to restrictive marketing and distribution regulations which, if applied to Haduvio, could potentially restrict its use and harm our ability to generate profits.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are conducting a HAP study to further characterize the abuse potential of oral nalbuphine ER. If the results of the HAP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HAP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jurisdictions may also determine to classify Haduvio as a controlled substance under different, but potentially no less burdensome,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Results of preclinical studies and clinical trials may not be predictive of results of later clinical trials.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future clinical trials despite demonstrating positive results in preclinical studies or earlier clinical trials. The results of our Phase 2 CANAL trial for the treatment of chronic cough in IPF may not be predictive of the results of future trials of Haduvio for the treatment of chronic cough in IPF or other chronic cough indications, and the results of our Phase 2b/3 PRISM trial of Haduvio for the treatment of prurigo nodularis may not be predictive of the results of any future clinical trial in prurigo nodularis.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some of our data for Haduvio for the treatment of cough and prurigo nodularis is drawn from</w:t>
      </w:r>
      <w:r>
        <w:rPr>
          <w:rFonts w:ascii="Times New Roman" w:hAnsi="Times New Roman"/>
          <w:sz w:val="20"/>
        </w:rPr>
        <w:t xml:space="preserve"> </w:t>
      </w:r>
      <w:r>
        <w:rPr>
          <w:rFonts w:ascii="Times New Roman;serif" w:hAnsi="Times New Roman;serif"/>
          <w:b w:val="false"/>
          <w:i/>
          <w:sz w:val="20"/>
        </w:rPr>
        <w:t>post hoc</w:t>
      </w:r>
      <w:r>
        <w:rPr>
          <w:rFonts w:ascii="Times New Roman" w:hAnsi="Times New Roman"/>
          <w:sz w:val="20"/>
        </w:rPr>
        <w:t xml:space="preserve"> </w:t>
      </w:r>
      <w:r>
        <w:rPr>
          <w:rFonts w:ascii="Times New Roman;serif" w:hAnsi="Times New Roman;serif"/>
          <w:b w:val="false"/>
          <w:sz w:val="20"/>
        </w:rPr>
        <w:t>analyses of data subsets from the Phase 2 CANAL trial and a Phase 2 trial in prurigo nodularis. While we believe these data may be useful in informing the design of future Phase 3 clinical trials for Haduvio,</w:t>
      </w:r>
      <w:r>
        <w:rPr>
          <w:rFonts w:ascii="Times New Roman" w:hAnsi="Times New Roman"/>
          <w:sz w:val="20"/>
        </w:rPr>
        <w:t xml:space="preserve"> </w:t>
      </w:r>
      <w:r>
        <w:rPr>
          <w:rFonts w:ascii="Times New Roman;serif" w:hAnsi="Times New Roman;serif"/>
          <w:b w:val="false"/>
          <w:i/>
          <w:sz w:val="20"/>
        </w:rPr>
        <w:t>post hoc</w:t>
      </w:r>
      <w:r>
        <w:rPr>
          <w:rFonts w:ascii="Times New Roman" w:hAnsi="Times New Roman"/>
          <w:sz w:val="20"/>
        </w:rPr>
        <w:t xml:space="preserve"> </w:t>
      </w:r>
      <w:r>
        <w:rPr>
          <w:rFonts w:ascii="Times New Roman;serif" w:hAnsi="Times New Roman;serif"/>
          <w:b w:val="false"/>
          <w:sz w:val="20"/>
        </w:rPr>
        <w:t>analyses performed after unmasking trial results can result in the introduction of bias and may not be predictive of success in Phase 3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regulatory authorities may withdraw their approval of the product or seize the product;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recall the product, change the way the product is administered or conduct additional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additional restrictions may be imposed on the marketing of or the manufacturing processes for,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subject to fines, injunctions or the imposition of civil or criminal penalties;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the addition of labeling statements, such as a “black box” warning or a contraindication;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create a Medication Guide outlining the risks of the previously unidentified side effects for distribution to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could be sued and held liable for harm caused to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product may become less competitive;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reputation may suffer. </w:t>
      </w:r>
    </w:p>
    <w:p>
      <w:pPr>
        <w:pStyle w:val="TextBody"/>
        <w:bidi w:val="0"/>
        <w:spacing w:before="240" w:after="0"/>
        <w:jc w:val="left"/>
        <w:rPr>
          <w:rFonts w:ascii="Times New Roman" w:hAnsi="Times New Roman"/>
          <w:sz w:val="20"/>
        </w:rPr>
      </w:pPr>
      <w:r>
        <w:rPr>
          <w:rFonts w:ascii="Times New Roman;serif" w:hAnsi="Times New Roman;serif"/>
          <w:b w:val="false"/>
          <w:sz w:val="20"/>
        </w:rPr>
        <w:t>Any of these events could harm our business and operations and could negatively impact our stock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efficacy and safety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and perceived advantages of the product compared to other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prevalence and severity of any side effects;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that the DEA could determine that Haduvio should be classified as a controlled substance;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clinical indications for which the product is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whether the product is designated under physician treatment guidelines as a first-, second- or third-line therapy;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offer the product for sale at competitive prices;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product’s convenience and ease of administration;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willingness of the target patient population to try and of physicians to prescribe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limitations or warnings, including distribution or use restrictions contained in the product’s approved labeling;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strength of sales, marketing and distribution support for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approval of other new products for the same indications;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market introduction of the product as well as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publicity about the product or favorable publicity about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product liability claims;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changes in the standard of care for the targeted indications for the product; and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availability and amount of coverage and reimbursement from government payors, managed care plans and other third-party payors. </w:t>
      </w:r>
    </w:p>
    <w:p>
      <w:pPr>
        <w:pStyle w:val="TextBody"/>
        <w:bidi w:val="0"/>
        <w:spacing w:before="120" w:after="0"/>
        <w:jc w:val="left"/>
        <w:rPr>
          <w:rFonts w:ascii="Times New Roman" w:hAnsi="Times New Roman"/>
          <w:sz w:val="20"/>
        </w:rPr>
      </w:pPr>
      <w:r>
        <w:rPr>
          <w:rFonts w:ascii="Times New Roman;serif" w:hAnsi="Times New Roman;serif"/>
          <w:b/>
          <w:i/>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certain indications. However, the development of Haduvio for these indications may ultimately prove to be unsuccessful or less successful than another product candidate or other indications that we might have chosen to pursue with our limited resources.</w:t>
      </w:r>
    </w:p>
    <w:p>
      <w:pPr>
        <w:pStyle w:val="TextBody"/>
        <w:bidi w:val="0"/>
        <w:spacing w:before="120" w:after="0"/>
        <w:jc w:val="left"/>
        <w:rPr>
          <w:rFonts w:ascii="Times New Roman" w:hAnsi="Times New Roman"/>
          <w:sz w:val="20"/>
        </w:rPr>
      </w:pPr>
      <w:r>
        <w:rPr>
          <w:rFonts w:ascii="Times New Roman;serif" w:hAnsi="Times New Roman;serif"/>
          <w:b w:val="false"/>
          <w:sz w:val="20"/>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for chronic cough in IPF, we plan to market and commercialize Haduvio in the U.S. with our own focused, specialty sales organization targeting pulmonologists who specialize in IPF. We would not plan to market and commercialize Haduvio for other larger conditions such as refractory chronic cough or prurigo nodularis. Instead, we would plan to seek to enter into a strategic alliance for commercialization for such indication or indications. We also expect to utilize a variety of collaboration, distribution and other marketing arrangements with one or more third parties to commercialize Haduvio outside the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do not establish sales, marketing and distribution capabilities, either on our own or in collaboration with third parties, we will not be successful in commercializing any product candidate that receives marketing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face substantial competition, which may result in others developing or commercializing products before or more successfully than we do.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Haduvio is approved for the treatment of chronic cough in IPF, we expect that it may compete with product candidates currently in clinical development for the treatment of chronic cough in IPF, such as orvepitant, which is being developed by Nerre Therapeutics, and ifenprodil, which is being developed by Algernon Pharmaceuticals. We expect that it might also compete with other product candidates currently in development, or submitted for approval to the FDA, for the treatment of refractory chronic cough and unexplained chronic cough by companies including Merck, Shionogi, Bellus Health, and Genentech. In April 2023, GSK plc announced their intention to acquire Bellus Health. In addition, it is possible that product candidates currently in development for the treatment of IPF could, if approved, reduce the need for therapies to treat chronic cough in IPF.</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Haduvio is approved for the treatment of prurigo nodularis, we expect that it would compete with Dupixent (dupilumab), an injectable prescription medicine which was jointly developed by Sanofi and Regeneron and which was approved by the FDA for the treatment of prurigo nodularis in September 2022. Sanofi has announced its plans to make regulatory submissions around the world for this indication. We also expect that Haduvio would compete with a number of therapeutics that are used off-label to treat prurigo nodularis, including anti-itch creams and emollients, and oral or injectable antihistamines.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vixarelimab, a monoclonal antibody targeting oncostatin M receptor beta being developed by Kiniksa Pharmaceuticals; abrocitinib, an oral small molecule targeting the janus kinase 1, or JAK1, receptor being developed by Pfizer Inc.; povorcitinib, an oral small molecule targeting the JAK 1 receptor being developed by Incyte; ruxolitinib cream, a topical therapy targeting the JAK receptor being developed by Incyte; M1880C, a topical non-steroidal anti-inflammatory drug, or NSAID, being developed by Maruho;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pStyle w:val="TextBody"/>
        <w:bidi w:val="0"/>
        <w:spacing w:before="120" w:after="0"/>
        <w:jc w:val="left"/>
        <w:rPr>
          <w:rFonts w:ascii="Times New Roman" w:hAnsi="Times New Roman"/>
          <w:sz w:val="20"/>
        </w:rPr>
      </w:pPr>
      <w:r>
        <w:rPr>
          <w:rFonts w:ascii="Times New Roman;serif" w:hAnsi="Times New Roman;serif"/>
          <w:b/>
          <w:i/>
          <w:sz w:val="20"/>
        </w:rPr>
        <w:t>Even if we are able to commercialize a product candidate, the product may become subject to unfavorable pricing regulations, third-party payor reimbursement practices or healthcare reform initiatives, any of which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Product liability lawsuits could divert our resources, cause us to incur substantial liabilities and limit commercialization of any products that we may develop or in-license.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decreased demand for any products that we may develop or in-license;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injury to our reputation and significant negative media attention;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withdrawal of clinical trial participants;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significant costs to defend resulting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substantial monetary awards to trial participants or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loss of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reduced resources of our management to pursue our business strategy;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inability to commercialize any products that we may develop.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maintain product and clinical trial liability insurance of at least $7.0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Our Dependence on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rely on third parties to conduct our clinical trials. If they do not perform satisfactorily, our business could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and other registries within certain timeframes. Failure to do so can result in fines, adverse publicity and civil and criminal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also be impacted by developments in the COVID-19 pandemic or other outbreaks of infectious disease, or government measures taken in response to the pandemic or other such outbreaks,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contract with third parties for the manufacture, storage, packaging and distribution of Haduvio for clinical trials, including a single supplier for the active ingredient in Haduvio and expect to continue to rely on third parties for these services in connection with our future development and commercialization efforts for Haduvio and any future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manufacturing delays if our third-party contractors prioritize the supply of other companies’ products over Haduvio or any future product candidates, experience supply chain-related delays, or otherwise fail to satisfactorily perform according to the terms of the agreements between us and them or if unforeseen events in the manufacturing process arise;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possible termination or nonrenewal of agreements by our third-party contractors at a time that is costly or inconvenient for us;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breach by third-party contractors of our agreements with them;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failure of third-party contractors to comply with applicable regulatory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mislabeling of clinical supplies, potentially resulting in the wrong dose amounts being supplied or active drug or placebo not being properly identified;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possibility of clinical supplies not being delivered to clinical sites on time, leading to clinical trial interruptions or of drug supplies not being distributed to commercial vendors in a timely manner, resulting in lost sales;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possible misappropriation of our proprietary information, including our trade secrets and know-how.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have long-term supply agreements with any of our contract manufacturers. If any of our existing manufacturers should become unavailable to us for any reason or fail to supply us with the ordered quantities, including as a result of the COVID-19 pandemic or other outbreaks of infectious disease, or government measures taken in response to the pandemic or other such outbreaks,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was also subject to approval by Irish authorities. On April 27, 2022, the High Court of Ireland confirmed the scheme of arrangement between Mallinckrodt, its creditors and its members under Irish law and ordered that the scheme of arrangement would become effective on the same date that the chapter 11 reorganization plan becomes effective. On June 16, 2022, Mallinckrodt announced that it had completed its reorganization process, emerged from chapter 11 bankruptcy proceedings and completed the Irish examinership proceedings. It is currently uncertain what impact, if any, Mallinckrodt’s bankruptcy filing and the associated reorganization plan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pStyle w:val="TextBody"/>
        <w:bidi w:val="0"/>
        <w:spacing w:before="120" w:after="0"/>
        <w:jc w:val="left"/>
        <w:rPr>
          <w:rFonts w:ascii="Times New Roman" w:hAnsi="Times New Roman"/>
          <w:sz w:val="20"/>
        </w:rPr>
      </w:pPr>
      <w:r>
        <w:rPr>
          <w:rFonts w:ascii="Times New Roman;serif" w:hAnsi="Times New Roman;serif"/>
          <w:b w:val="false"/>
          <w:sz w:val="20"/>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and anticipated future dependence upon others for the manufacture of Haduvio or any future product candidate may harm our future profit margins and our ability to commercialize any products that receive marketing approval on a timely and competitive basis.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may seek to establish collaborations and, if we are not able to establish them on commercially reasonable terms, we may have to alter our development and commercialization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If Haduvio receives marketing approval from the FDA for chronic cough in IPF, we plan to market and commercialize Haduvio in the U.S. with our own focused, specialty sales organization targeting pulmonologists who specialize in IPF. We would not plan to market and commercialize Haduvio for other larger conditions such as refractory chronic cough or prurigo nodularis. Instead, we would plan to seek to enter into a strategic alliance for commercialization for such indication or indications. We also expect to utilize a variety of collaboration, distribution and other marketing arrangements with one or more third parties to commercialize Haduvio outside the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establish one or more collaborations, all the risks relating to product development, regulatory approval and commercialization described in this Quarterly Report on Form 10-Q would also apply to the activities of any such future collaborators.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enter into collaborations with third parties for the development or commercialization of Haduvio or any future product candidate, our prospects with respect to those product candidates will depend in significant part on the success of those collaborations.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Collaborations involving a product candidate would pose a number of risks,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have significant discretion in determining the efforts and resources that they will apply to these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perform their obligations as expected;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be involved in a business combination and could decide to delay, diminish or terminate the development or commercialization of any product candidate licensed by us;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could independently develop or develop with third parties, products that compete directly or indirectly with the product candidates under the collaboration;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with marketing and distribution rights to one or more products may not commit sufficient resources to the marketing and distribution of such product or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infringe the intellectual property rights of third parties, which may expose us to litigation and potential liability or misappropriate our intellectual property or other proprietary information;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engage in misconduct or other improper activities, including non-compliance with regulatory standards and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disputes may arise between the collaborators and us regarding ownership of or other rights in the intellectual property generated in the course of the collaborations;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collaborations may be terminated and, if terminated, may result in a need for additional capital to pursue further development or commercialization of the applicable product candidates. </w:t>
      </w:r>
    </w:p>
    <w:p>
      <w:pPr>
        <w:pStyle w:val="TextBody"/>
        <w:bidi w:val="0"/>
        <w:spacing w:before="120" w:after="0"/>
        <w:jc w:val="left"/>
        <w:rPr>
          <w:rFonts w:ascii="Times New Roman" w:hAnsi="Times New Roman"/>
          <w:sz w:val="20"/>
        </w:rPr>
      </w:pPr>
      <w:r>
        <w:rPr>
          <w:rFonts w:ascii="Times New Roman;serif" w:hAnsi="Times New Roman;serif"/>
          <w:b w:val="false"/>
          <w:sz w:val="20"/>
        </w:rPr>
        <w:t>Collaboration agreements may not lead to development or commercialization of product candidates in the most efficient manner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Our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fail to comply with our obligations under our existing and any future intellectual property licenses with third parties, we could lose license rights that are critical to our business or owe damages to the licensor of such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Disputes may also arise regarding intellectual property subject to a license agreement,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rights granted under the license agreement and other interpretation-related issues;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our activities or product candidates may infringe the intellectual property of the licensor that is not subject to the licensing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sublicensing of patent and other rights under any collaborative development relationships;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diligence obligations under the license agreement and what activities satisfy those diligence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inventorship or ownership of inventions and know-how resulting from joint creation or use of intellectual property by licensors and us;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priority of invention of any patented technology. </w:t>
      </w:r>
    </w:p>
    <w:p>
      <w:pPr>
        <w:pStyle w:val="TextBody"/>
        <w:bidi w:val="0"/>
        <w:spacing w:before="120" w:after="0"/>
        <w:jc w:val="left"/>
        <w:rPr>
          <w:rFonts w:ascii="Times New Roman" w:hAnsi="Times New Roman"/>
          <w:sz w:val="20"/>
        </w:rPr>
      </w:pPr>
      <w:r>
        <w:rPr>
          <w:rFonts w:ascii="Times New Roman;serif" w:hAnsi="Times New Roman;serif"/>
          <w:b w:val="false"/>
          <w:sz w:val="20"/>
        </w:rPr>
        <w:t>If disputes over intellectual property that we license prevent or impair our ability to maintain those license arrangements on acceptable terms or at all, we may be unable to successfully develop and commercialize any affected product candidates.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protect the confidentiality of our trade secrets, the value of our products could be negatively impacted and our business would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become involved in lawsuits to protect or enforce our patents or other intellectual property, which could be expensive, time-consuming and unsuccessful.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sued for infringing intellectual property rights of third parties, such litigation could be costly and time-consuming, its outcome would be uncertain and it could prevent or delay us from developing or commercializing Haduvio or any future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Changes to the patent law in the U.S. and other jurisdictions could diminish the value of patents in general, thereby impairing our ability to protect our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in Europe, a new unitary patent system takes effect June 1, 2023, which will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not be able to enforce our intellectual property rights throughout the world.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geo-political actions in the United States and in foreign countries could increase the uncertainties and costs surrounding the prosecution or maintenance of our patent applications and the maintenance, enforcement or defense of our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 subject to claims by third parties asserting that our employees or we have misappropriated their intellectual property or claiming ownership of what we regard as our own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obtain licenses from third parties on commercially reasonable terms, our business could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Regulatory Approval and Other Legal Compliance Matters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If the FDA does not conclude that Haduvio for the treatment of chronic cough in IPF or other chronic cough conditions or for the treatment of prurigo nodularis,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completed our Phase 2b/3 PRISM trial of Haduvio for the treatment of prurigo nodularis and we believe we will need to conduct an additional Phase 3 clinical trial of Haduvio for the treatment of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Even if we complete the necessary preclinical studies and clinical trials, the regulatory approval process is expensive, time-consuming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pStyle w:val="TextBody"/>
        <w:bidi w:val="0"/>
        <w:spacing w:before="120" w:after="0"/>
        <w:jc w:val="left"/>
        <w:rPr>
          <w:rFonts w:ascii="Times New Roman" w:hAnsi="Times New Roman"/>
          <w:sz w:val="20"/>
        </w:rPr>
      </w:pPr>
      <w:r>
        <w:rPr>
          <w:rFonts w:ascii="Times New Roman;serif" w:hAnsi="Times New Roman;serif"/>
          <w:b w:val="false"/>
          <w:sz w:val="20"/>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conduct of clinical trials outside the U.S. could have a significant adverse impact on us. Risks inherent in conducting international clinical trials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clinical practice patterns and standards of care that vary widely among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non-U.S. regulatory authority requirements that could restrict or limit our ability to conduct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administrative burdens of conducting clinical trials under multiple non-U.S. regulatory authority schema;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foreign exchange rate fluctuations;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diminished protection of intellectual property in some countries. </w:t>
      </w:r>
    </w:p>
    <w:p>
      <w:pPr>
        <w:pStyle w:val="TextBody"/>
        <w:bidi w:val="0"/>
        <w:spacing w:before="120" w:after="0"/>
        <w:jc w:val="left"/>
        <w:rPr>
          <w:rFonts w:ascii="Times New Roman" w:hAnsi="Times New Roman"/>
          <w:sz w:val="20"/>
        </w:rPr>
      </w:pPr>
      <w:r>
        <w:rPr>
          <w:rFonts w:ascii="Times New Roman;serif" w:hAnsi="Times New Roman;serif"/>
          <w:b/>
          <w:i/>
          <w:sz w:val="20"/>
        </w:rPr>
        <w:t>Failure to obtain marketing approval in foreign jurisdictions would prevent Haduvio or any future product candidate from being marketed in other countries. Any marketing approval we are granted in the U.S. would not assure marketing approval in foreign jurisdictions.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we could face heightened risks with respect to seeking marketing approval in the United Kingdom as a result of the withdrawal of the United Kingdom from the EU, commonly referred to as Brexit. The United Kingdom is no longer part of the European Single Market and European Union Customs Union. As of January 1, 2021, the MHRA became responsible for supervising medicines and medical devices in Great Britain, comprising England, Scotland and Wales under domestic law, whereas Northern Ireland will continue to be subject to European Union rules under the Northern Ireland Protocol. The MHRA will rely on the Human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Medicines Regulations 2012 (SI 2012/1916) (as amended), or the HMR, as the basis for regulating medicines. The HMR has incorporated into the domestic law of the body of European Union law instruments governing medicinal products that pre-existed prior to the United Kingdom’s withdrawal from the European Union.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pStyle w:val="TextBody"/>
        <w:bidi w:val="0"/>
        <w:spacing w:before="120" w:after="0"/>
        <w:jc w:val="left"/>
        <w:rPr>
          <w:rFonts w:ascii="Times New Roman" w:hAnsi="Times New Roman"/>
          <w:sz w:val="20"/>
        </w:rPr>
      </w:pPr>
      <w:r>
        <w:rPr>
          <w:rFonts w:ascii="Times New Roman;serif" w:hAnsi="Times New Roman;serif"/>
          <w:b/>
          <w:i/>
          <w:sz w:val="20"/>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seek PRIME Designation in the EU for Haduvio but we might not receive such designations and, even if we do, such designations may not lead to a faster development or regulatory review or approval process.</w:t>
      </w:r>
    </w:p>
    <w:p>
      <w:pPr>
        <w:pStyle w:val="TextBody"/>
        <w:bidi w:val="0"/>
        <w:spacing w:before="120" w:after="0"/>
        <w:jc w:val="left"/>
        <w:rPr>
          <w:rFonts w:ascii="Times New Roman" w:hAnsi="Times New Roman"/>
          <w:sz w:val="20"/>
        </w:rPr>
      </w:pPr>
      <w:r>
        <w:rPr>
          <w:rFonts w:ascii="Times New Roman;serif" w:hAnsi="Times New Roman;serif"/>
          <w:b w:val="false"/>
          <w:sz w:val="20"/>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120" w:after="0"/>
        <w:jc w:val="left"/>
        <w:rPr>
          <w:rFonts w:ascii="Times New Roman" w:hAnsi="Times New Roman"/>
          <w:sz w:val="20"/>
        </w:rPr>
      </w:pPr>
      <w:r>
        <w:rPr>
          <w:rFonts w:ascii="Times New Roman;serif" w:hAnsi="Times New Roman;serif"/>
          <w:b/>
          <w:i/>
          <w:sz w:val="20"/>
        </w:rPr>
        <w:t>Even if we obtain marketing approvals for a product, the terms of approvals and ongoing regulation of such product may limit how we manufacture and market the product, which could impair our ability to generate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our clinical trials are successful, we intend to seek approval to market Haduvio for the treatment of chronic cough in IPF or refractory chronic cough or for the treatment of prurigo nodularis. If we obtain regulatory approval to market Haduvio with an indication statement for the treatment of chronic cough in IPF or refractory chronic cough, we expect to be prohibited from marketing Haduvio using any promotional claims relating to treatment of cough generally. If we obtain regulatory approval to market Haduvio with an indication statement for the treatment of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IPF and 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 xml:space="preserve">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 xml:space="preserve">suit is entitled to a share of any recovery or settlement.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 xml:space="preserve">suits, also commonly referred to as “whistleblower suits,” are often brought by current or former employees. In a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suit, the government must decide whether to intervene and prosecute the case. If it declines, the individual may pursue the case alone.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If the FDA or any other governmental agency initiates an enforcement action against us or if we are the subject of a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such product, manufacturers or manufacturing processes;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the labeling or marketing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product distribution or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requirements to conduct post-marketing studies or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warning letters or untitled letters;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withdrawal of the product from the market;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refusal to approve pending applications or supplements to approved applications that we submit;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recall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coverage by third-party payors;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fines, restitution or disgorgement of profits or revenues;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suspension or withdrawal of marketing approvals;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refusal to permit the import or export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seizure;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injunctions or the imposition of civil or criminal penalties.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Inadequate funding for the FDA, the SEC and other national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Separately, in response to the COVID-19 pandemic, a number of companies announced receipt of complete response letters due to the FDA’s inability to complete required inspections for their applications. As of early 2022, the FDA has resumed inspections of domestic and foreign facilities to ensure timely reviews of applications for medical products. However, the FDA may not be able to continue its current pace and review timelines could be extended, including where a pre-approval inspection or an inspection of clinical sites is required. Moreover, on January 30, 2023, the Biden administration announced that it will end the public health emergency declarations related to COVID-19 on May 11, 2023. On January 31, 2023, the FDA indicated that it would soon issue a Federal Register notice describing how the termination of the public health emergency will impact the agency’s COVID-19 related guidance. At this point, it is unclear how, if at all, these developments will impact our efforts to develop and commercialize our product candidates. Regulatory authorities outside the U.S. have adopted or may adopt similar restrictions or other policy measures in response to the COVID-19 pandemic and may experience delays in their regulatory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120" w:after="0"/>
        <w:jc w:val="left"/>
        <w:rPr>
          <w:rFonts w:ascii="Times New Roman" w:hAnsi="Times New Roman"/>
          <w:sz w:val="20"/>
        </w:rPr>
      </w:pPr>
      <w:r>
        <w:rPr>
          <w:rFonts w:ascii="Times New Roman;serif" w:hAnsi="Times New Roman;serif"/>
          <w:b/>
          <w:i/>
          <w:sz w:val="20"/>
        </w:rPr>
        <w:t>Current and future legislation may increase the difficulty and cost for us to obtain marketing approval of and commercialize Haduvio or any future product candidate and may affect the prices we may obtain.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These Medicare sequester reductions were suspended and reduced through the end of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pStyle w:val="TextBody"/>
        <w:bidi w:val="0"/>
        <w:spacing w:before="120" w:after="0"/>
        <w:jc w:val="left"/>
        <w:rPr>
          <w:rFonts w:ascii="Times New Roman" w:hAnsi="Times New Roman"/>
          <w:sz w:val="20"/>
        </w:rPr>
      </w:pPr>
      <w:r>
        <w:rPr>
          <w:rFonts w:ascii="Times New Roman;serif" w:hAnsi="Times New Roman;serif"/>
          <w:b w:val="false"/>
          <w:sz w:val="20"/>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Current and future legislative efforts may limit the prices for our products, if and when they are licensed for marketing and that could materially impact our ability to generate revenues.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eliminate the current safe harbor for Medicare drug rebates and create new safe harbors for beneficiary point-of-sale discounts and pharmacy benefit manager, or PBM, service fees. It originally was set to go into effect on January 1, 2022, but with passage of the Inflation Reduction Act has been delayed by Congress to January 1, 2032.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July 9, 2021, President Biden signed Executive Order 14063, which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pStyle w:val="TextBody"/>
        <w:bidi w:val="0"/>
        <w:spacing w:before="120" w:after="0"/>
        <w:jc w:val="left"/>
        <w:rPr>
          <w:rFonts w:ascii="Times New Roman" w:hAnsi="Times New Roman"/>
          <w:sz w:val="20"/>
        </w:rPr>
      </w:pPr>
      <w:r>
        <w:rPr>
          <w:rFonts w:ascii="Times New Roman;serif" w:hAnsi="Times New Roman;serif"/>
          <w:b w:val="false"/>
          <w:sz w:val="20"/>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w:t>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before="120" w:after="0"/>
        <w:jc w:val="left"/>
        <w:rPr>
          <w:rFonts w:ascii="Times New Roman" w:hAnsi="Times New Roman"/>
          <w:sz w:val="20"/>
        </w:rPr>
      </w:pPr>
      <w:r>
        <w:rPr>
          <w:rFonts w:ascii="Times New Roman;serif" w:hAnsi="Times New Roman;serif"/>
          <w:b/>
          <w:i/>
          <w:sz w:val="20"/>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Anti-Kickback Statute</w:t>
      </w:r>
      <w:r>
        <w:rPr>
          <w:rFonts w:ascii="Times New Roman;serif" w:hAnsi="Times New Roman;serif"/>
          <w:b w:val="false"/>
          <w:sz w:val="20"/>
        </w:rPr>
        <w:t>. The federal Anti-Kickback Statute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False Claims Laws. </w:t>
      </w:r>
      <w:r>
        <w:rPr>
          <w:rFonts w:ascii="Times New Roman;serif" w:hAnsi="Times New Roman;serif"/>
          <w:b w:val="false"/>
          <w:sz w:val="20"/>
        </w:rPr>
        <w:t>The federal false claims and civil monetary penalties laws, including the federal civil False Claims Act, impose criminal and civil penalties, including through civil whistleblower or</w:t>
      </w:r>
      <w:r>
        <w:rPr>
          <w:rFonts w:ascii="Times New Roman" w:hAnsi="Times New Roman"/>
          <w:sz w:val="20"/>
        </w:rPr>
        <w:t xml:space="preserve">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HIPAA. </w:t>
      </w:r>
      <w:r>
        <w:rPr>
          <w:rFonts w:ascii="Times New Roman;serif" w:hAnsi="Times New Roman;serif"/>
          <w:b w:val="false"/>
          <w:sz w:val="20"/>
        </w:rPr>
        <w:t>The federal Health Insurance Portability and Accountability Act of 1996, or HIPAA, imposes criminal and civil liability for, among 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Transparency Requirements. </w:t>
      </w:r>
      <w:r>
        <w:rPr>
          <w:rFonts w:ascii="Times New Roman;serif" w:hAnsi="Times New Roman;serif"/>
          <w:b w:val="false"/>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Analogous State and Foreign Laws. </w:t>
      </w:r>
      <w:r>
        <w:rPr>
          <w:rFonts w:ascii="Times New Roman;serif" w:hAnsi="Times New Roman;serif"/>
          <w:b w:val="false"/>
          <w:sz w:val="20"/>
        </w:rPr>
        <w:t>Analogous state and foreign fraud and abuse laws and 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serif" w:hAnsi="Times New Roman;serif"/>
          <w:b w:val="false"/>
          <w:sz w:val="20"/>
        </w:rPr>
        <w:t>.</w:t>
      </w:r>
    </w:p>
    <w:p>
      <w:pPr>
        <w:pStyle w:val="TextBody"/>
        <w:bidi w:val="0"/>
        <w:spacing w:before="120" w:after="0"/>
        <w:jc w:val="left"/>
        <w:rPr>
          <w:rFonts w:ascii="Times New Roman" w:hAnsi="Times New Roman"/>
          <w:sz w:val="20"/>
        </w:rPr>
      </w:pPr>
      <w:r>
        <w:rPr>
          <w:rFonts w:ascii="Times New Roman;serif" w:hAnsi="Times New Roman;serif"/>
          <w:b w:val="false"/>
          <w:sz w:val="20"/>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created similar risks and obligations as those created by GDPR, though the CCPA does exempt certain information collected as part of a clinical trial subject to the Federal Policy for the Protection of Human Subjects (the Common Rule). Additionally, as of January 1, 2023, the California Privacy Rights Act, or the CPRA, significantly modified the CCPA, including by expanding consumers’ rights with respect to certain sensitive personal information. The CPRA also creates a new state agency that will be vested with authority to implement and enforce the CCPA and the CPRA.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before="120" w:after="0"/>
        <w:jc w:val="left"/>
        <w:rPr>
          <w:rFonts w:ascii="Times New Roman" w:hAnsi="Times New Roman"/>
          <w:sz w:val="20"/>
        </w:rPr>
      </w:pPr>
      <w:r>
        <w:rPr>
          <w:rFonts w:ascii="Times New Roman;serif" w:hAnsi="Times New Roman;serif"/>
          <w:b/>
          <w:i/>
          <w:sz w:val="20"/>
        </w:rPr>
        <w:t>Laws and regulations governing any international operations we may have in the future may preclude us from developing, manufacturing and selling certain products outside of the U.S. and require us to develop and implement costly compliance programs.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0"/>
        <w:jc w:val="left"/>
        <w:rPr>
          <w:rFonts w:ascii="Times New Roman" w:hAnsi="Times New Roman"/>
          <w:sz w:val="20"/>
        </w:rPr>
      </w:pPr>
      <w:r>
        <w:rPr>
          <w:rFonts w:ascii="Times New Roman;serif" w:hAnsi="Times New Roman;serif"/>
          <w:b w:val="false"/>
          <w:sz w:val="20"/>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fail to comply with environmental, health and safety laws and regulations, we could become subject to fines or penalties or incur costs that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business and operations would suffer in the event of system failures.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the FDA, EMA, MHRA or other comparable foreign regulatory authorities approve generic versions of any of our small molecule investigational products that receive marketing approval, or such authorities do not grant our products appropriate periods of exclusivity before approving generic versions of those products, the sales of our products, if approved,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to assess safety and efficacy. Rather, the sponsor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sponsor may submit its application four years following approval of the reference listed drug.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w:t>
      </w:r>
    </w:p>
    <w:p>
      <w:pPr>
        <w:pStyle w:val="TextBody"/>
        <w:bidi w:val="0"/>
        <w:spacing w:before="120" w:after="0"/>
        <w:jc w:val="left"/>
        <w:rPr>
          <w:rFonts w:ascii="Times New Roman" w:hAnsi="Times New Roman"/>
          <w:sz w:val="20"/>
        </w:rPr>
      </w:pPr>
      <w:r>
        <w:rPr>
          <w:rFonts w:ascii="Times New Roman;serif" w:hAnsi="Times New Roman;serif"/>
          <w:b/>
          <w:sz w:val="20"/>
        </w:rPr>
        <w:t>Risks Related to Employee Matters and Managing our Growth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future success depends on our ability to retain our executive team and to attract, retain and motivate qualified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highly dependent on Jennifer Good, our President and Chief Executive Officer; Thomas Sciascia, M.D., our Chief Scientific Officer; and David Clark, M.D., MRCP, our Chief Medical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expect to expand our organization and as a result, we may encounter difficulties in managing our growth, which could disrupt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we had 22 employees. We may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employees, independent contractors and consultants may engage in misconduct or other improper activities, including non-compliance with regulatory standards and requirements, which could cause significant liability for us and harm our reputation.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An active trading market for our common stock may not be sustainable.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common stock is currently listed for trading on Nasdaq. We must satisfy Nasdaq’s continued listing requirements, including, among other things, a minimum closing bid price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10, 2022, we received a deficiency letter from the Listing Qualifications Department, or the Staff, of Nasdaq notifying us that, for the prior 30 consecutive business days, the bid price for our common stock had closed below the $1.00 per share minimum bid price requirement for continued inclusion on Nasdaq pursuant to Nasdaq Listing Rule 5450(a)(1), or the Bid Price Requirement.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accordance with Nasdaq Listing Rule 5810(c)(3)(A), or the Compliance Period Rule, we were provided a period of 180 calendar days, or until July 11, 2022, or the Compliance Date, to regain compliance with the Bid Price Requirement. If, at any time before the Compliance Date, the bid price for our common stock closed at $1.00 or more for a minimum of 10 consecutive business days as required under the Compliance Period Rule, the Staff would provide written notification to us that we had regained compliance with the Bid Price Requirement, unless the Staff chose to exercise its discretion to extend this ten-day period pursuant to Nasdaq Listing Rule 5810(c)(3)(H).</w:t>
      </w:r>
    </w:p>
    <w:p>
      <w:pPr>
        <w:pStyle w:val="TextBody"/>
        <w:bidi w:val="0"/>
        <w:spacing w:before="120" w:after="0"/>
        <w:jc w:val="left"/>
        <w:rPr>
          <w:rFonts w:ascii="Times New Roman" w:hAnsi="Times New Roman"/>
          <w:sz w:val="20"/>
        </w:rPr>
      </w:pPr>
      <w:r>
        <w:rPr>
          <w:rFonts w:ascii="Times New Roman;serif" w:hAnsi="Times New Roman;serif"/>
          <w:b w:val="false"/>
          <w:sz w:val="20"/>
        </w:rPr>
        <w:t>On March 16, 2022, we received a letter from the Staff indicating that we had regained compliance with the Bid Price Requirement as of such date.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we were able to regain compliance with the Bid Price Requirement within the manner and time period prescribed by Nasdaq, 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pStyle w:val="TextBody"/>
        <w:bidi w:val="0"/>
        <w:spacing w:before="120" w:after="0"/>
        <w:jc w:val="left"/>
        <w:rPr>
          <w:rFonts w:ascii="Times New Roman" w:hAnsi="Times New Roman"/>
          <w:sz w:val="20"/>
        </w:rPr>
      </w:pPr>
      <w:r>
        <w:rPr>
          <w:rFonts w:ascii="Times New Roman;serif" w:hAnsi="Times New Roman;serif"/>
          <w:b/>
          <w:i/>
          <w:sz w:val="20"/>
        </w:rPr>
        <w:t>The trading price of our common stock is highly volatile, which could result in substantial losses for purchasers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results of clinical trials of Haduvio or any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success of existing or new competitive products or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actions with respect to Haduvio or any future product candidates or competitors’ products and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by us or our competitors of significant acquisitions, strategic partnerships, joint ventures, collaborations or capital commitments;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commencement or termination of collaborations for our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or discontinuation of any of our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results of clinical trials of product candidates of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or legal developments in the U.S. and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developments or disputes concerning patent applications, issued patents or other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recruitment or departure of key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related to any of our development programs;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results of our efforts to discover, develop, acquire or in-license additional product candidates;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actual or anticipated changes in estimated financial results or development timelines;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announcements or expectations of additional financing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sales of our common stock by us, our insiders or other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expiration of market stand-off or lock-up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variations in our financial results or those of companies that are perceived to be similar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recommendations and changes in estimates or recommendations by securities analysts, if any, that cover our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structure of healthcare payment systems in the U.S. and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market conditions in the pharmaceutical and biotechnology sectors;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general economic, industry and market conditions, including recent adverse changes in the domestic and international financial markets and the impacts of the COVID-19 pandemic or other outbreaks of infectious disease, and the impacts of rising inflation and government action in response thereto;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obligations in connection with the SVB Term Loan;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our listing on the Nasdaq Global Market;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continue as a going concern;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other factors and considerations described in this “Risk Factors” section.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the COVID-19 pandemic, rising inflation, interest rate increases and other factors have negatively affected the stock market and investor sentiment. The price and volatility of our common stock may be disproportionately affected as investors may favor traditional profit-making industries and companies during such times of market uncertainty and instability.</w:t>
      </w:r>
    </w:p>
    <w:p>
      <w:pPr>
        <w:pStyle w:val="TextBody"/>
        <w:bidi w:val="0"/>
        <w:spacing w:before="120" w:after="0"/>
        <w:jc w:val="left"/>
        <w:rPr>
          <w:rFonts w:ascii="Times New Roman" w:hAnsi="Times New Roman"/>
          <w:sz w:val="20"/>
        </w:rPr>
      </w:pPr>
      <w:r>
        <w:rPr>
          <w:rFonts w:ascii="Times New Roman;serif" w:hAnsi="Times New Roman;serif"/>
          <w:b/>
          <w:i/>
          <w:sz w:val="20"/>
        </w:rPr>
        <w:t>We could be subject to securities class 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securities or industry analysts do not publish research or publish inaccurate or unfavorable research about our business, the trading price and volume of our shares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Future sales of shares of our common stock, including by us, employees and significant stockholders, could negatively affect our stock price.</w:t>
      </w:r>
    </w:p>
    <w:p>
      <w:pPr>
        <w:pStyle w:val="TextBody"/>
        <w:bidi w:val="0"/>
        <w:spacing w:before="120" w:after="0"/>
        <w:jc w:val="left"/>
        <w:rPr>
          <w:rFonts w:ascii="Times New Roman" w:hAnsi="Times New Roman"/>
          <w:sz w:val="20"/>
        </w:rPr>
      </w:pPr>
      <w:r>
        <w:rPr>
          <w:rFonts w:ascii="Times New Roman;serif" w:hAnsi="Times New Roman;serif"/>
          <w:b w:val="false"/>
          <w:sz w:val="20"/>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pStyle w:val="TextBody"/>
        <w:bidi w:val="0"/>
        <w:spacing w:before="120" w:after="0"/>
        <w:jc w:val="left"/>
        <w:rPr>
          <w:rFonts w:ascii="Times New Roman" w:hAnsi="Times New Roman"/>
          <w:sz w:val="20"/>
        </w:rPr>
      </w:pPr>
      <w:r>
        <w:rPr>
          <w:rFonts w:ascii="Times New Roman;serif" w:hAnsi="Times New Roman;serif"/>
          <w:b w:val="false"/>
          <w:sz w:val="20"/>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We are a party to an ATM Sales Agreement, pursuant to which, from time to time, we may offer and sell under the ATM Sales Agreement up to $62.0 million of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common stock registered under the Shelf Registration Statement pursuant to one or more “at-the-market” offerings. As of March 31, 2023, we had sold 3,583,394 shares of common stock for an aggregate purchase price of $11.0 million, before deducting estimated commissions and allocated fees of $0.8 million,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May 11, 2023, 6,000,000 of the warrants to purchase shares of common stock issued to the Initial Private Placement Investor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May 11, 2023, all of the warrants issued to NEA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Similarly, on April 11, 2022, we issued to several purchasers in a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May 11, 2023, all of the pre-funded warrants issued to purchasers in the 2022 Private Placement remained outstanding.</w:t>
      </w:r>
    </w:p>
    <w:p>
      <w:pPr>
        <w:pStyle w:val="TextBody"/>
        <w:bidi w:val="0"/>
        <w:spacing w:before="120" w:after="0"/>
        <w:jc w:val="left"/>
        <w:rPr>
          <w:rFonts w:ascii="Times New Roman" w:hAnsi="Times New Roman"/>
          <w:sz w:val="20"/>
        </w:rPr>
      </w:pPr>
      <w:r>
        <w:rPr>
          <w:rFonts w:ascii="Times New Roman;serif" w:hAnsi="Times New Roman;serif"/>
          <w:b w:val="false"/>
          <w:sz w:val="20"/>
        </w:rPr>
        <w:t>Finally, on September 27, 2022, we issued in the September 2022 Offering an aggregate of 14,252,670 shares of our common stock, and, in lieu of common stock to certain investors, pre-funded warrants to purchase 14,247,330 shares of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w:t>
      </w:r>
      <w:r>
        <w:rPr>
          <w:rFonts w:ascii="Times New Roman" w:hAnsi="Times New Roman"/>
          <w:sz w:val="20"/>
        </w:rPr>
        <w:t>’</w:t>
      </w:r>
      <w:r>
        <w:rPr>
          <w:rFonts w:ascii="Times New Roman;serif" w:hAnsi="Times New Roman;serif"/>
          <w:b w:val="false"/>
          <w:sz w:val="20"/>
        </w:rPr>
        <w:t>s for purposes of Section 13(d) or Section 16 of the Exchange Act) would exceed 9.99% of the number of shares of common stock outstanding immediately after giving effect to the exercise, as such percentage ownership is determined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the pre-funded warrants were issued pursuant to a prospectus supplement dated September 22, 2022 to the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Shelf Registration Statement at any time or in their discretion, subject to the September 2022 Offering Beneficial Ownership Limitations. As of May 11, 2023, all of the pre-funded warrants issued to purchasers in the September 2022 Offering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substantial amounts of shares of our common stock or other securities by our stockholders, by us under the Shelf Registration Statement, whether pursuant to the ATM Sales Agreement or otherwise, by Lincoln Park Capital Fund, LLC, or Lincoln Park, pursuant to the Form S-1,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have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We issued pre-funded warrants to purchase up to an aggregate of 24,379,673 shares of our common stock to the purchasers in the April 2022 Private Placement. Finally, we issued pre-funded warrants to purchase up to an aggregate of 14,247,330 shares of our common stock at an exercise price of $0.001 per share to certain purchasers in the September 2022 Offering.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discussed above, the common stock warrants issued to the Initial Private Placement Investor are subject to the Initial Investor Beneficial Ownership Limitations,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Initial Private Placement Investor’s warrants are subject to the Initial Investor Beneficial Ownership Limitations,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Given the amount and terms of these warrants, we may find it more difficult to raise additional equity capital on favorable terms or at all while these warrants are outstanding.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Ownership of our common stock is concentrated among our executive officers and directors and their affiliates, who have significant influence over our business, which may prevent new investors from influencing significant corporate decisions.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executive officers and directors and their respective affiliates, beneficially own, in the aggregate, shares representing approximately 37.6% of our common stock as of May 11, 2023. As a result, our executive officers and directors and their affiliates acting together may be able to significantly influence all matters submitted to our stockholders for approval, as well as our management and affairs. This concentration of ownership control may: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 defer or prevent a change in control;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entrench our management or the board of directors;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impede a merger, consolidation, takeover, sale, other business combination or other significant corporate transaction involving us that other stockholders may desire. </w:t>
      </w:r>
    </w:p>
    <w:p>
      <w:pPr>
        <w:pStyle w:val="TextBody"/>
        <w:bidi w:val="0"/>
        <w:spacing w:before="120" w:after="0"/>
        <w:jc w:val="left"/>
        <w:rPr>
          <w:rFonts w:ascii="Times New Roman" w:hAnsi="Times New Roman"/>
          <w:sz w:val="20"/>
        </w:rPr>
      </w:pPr>
      <w:r>
        <w:rPr>
          <w:rFonts w:ascii="Times New Roman;serif" w:hAnsi="Times New Roman;serif"/>
          <w:b w:val="false"/>
          <w:sz w:val="20"/>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do not anticipate paying any cash dividends on our capital stock in the foreseeable future. Accordingly, stockholders must rely on appreciation in the price of our common stock, if any, for any return on their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precluded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an “emerging growth company” and a “smaller reporting company” and the reduced disclosure requirements applicable to us may make our common stock less attractive to investors.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an “emerging growth company,” as defined in the Jumpstart Our Business Startups Act of 2012, or the JOBS Act, and may remain an emerging growth company for up to five years, or until December 31, 2024.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incur increased costs as a result of operating as a public company and our management is required to devote substantial time to compliance initiatives and corporate governance practices.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fail to maintain proper and effective internal controls, our ability to produce accurate financial statements on a timely basis could be impaired.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might not be able to utilize a significant portion of our net operating loss carryforwards and research and development tax credit carryforwards.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December 31, 2022, we had federal and state net operating loss carryforwards of $178.4 million and federal research and development tax credit carryforwards of $5.4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We completed a Section 382 analysis, and due to multiple historical ownership changes, all of our net operating loss carryforwards as of December 31, 2022, and research and development tax credits are subject to limitation. If a further ownership change occurs, our ability to use our tax attributes might be further limited. In addition to potential Section 382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Changes in tax laws or in their implementation or interpretation may adversely affect our business and financial condition.</w:t>
      </w:r>
    </w:p>
    <w:p>
      <w:pPr>
        <w:pStyle w:val="TextBody"/>
        <w:bidi w:val="0"/>
        <w:spacing w:before="120" w:after="0"/>
        <w:jc w:val="left"/>
        <w:rPr>
          <w:rFonts w:ascii="Times New Roman" w:hAnsi="Times New Roman"/>
          <w:sz w:val="20"/>
        </w:rPr>
      </w:pPr>
      <w:r>
        <w:rPr>
          <w:rFonts w:ascii="Times New Roman;serif" w:hAnsi="Times New Roman;serif"/>
          <w:b w:val="false"/>
          <w:sz w:val="20"/>
        </w:rPr>
        <w:t>Recent changes in tax law may adversely affect our business or financial condition. On December 22, 2017, the U.S. government enacted the Tax Act, which significantly reformed the IRC.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us. In addition, it is uncertain if and to what extent various states will conform to the Tax Act, the FFCR Act or the CARES Act.</w:t>
      </w:r>
    </w:p>
    <w:p>
      <w:pPr>
        <w:pStyle w:val="TextBody"/>
        <w:bidi w:val="0"/>
        <w:spacing w:before="120" w:after="0"/>
        <w:jc w:val="left"/>
        <w:rPr>
          <w:rFonts w:ascii="Times New Roman" w:hAnsi="Times New Roman"/>
          <w:sz w:val="20"/>
        </w:rPr>
      </w:pPr>
      <w:r>
        <w:rPr>
          <w:rFonts w:ascii="Times New Roman;serif" w:hAnsi="Times New Roman;serif"/>
          <w:b/>
          <w:i/>
          <w:sz w:val="20"/>
        </w:rPr>
        <w:t>Provisions in our organizational documents and under Delaware law may prevent or frustrate attempts by our stockholders to change our management or hinder efforts to acquire a controlling interest in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 classified board of directors such that all members of the board are not elected at one time;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allow the authorized number of our directors to be changed only by resolution of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 the manner in which stockholders can remove directors from the board;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advance notice requirements for nominations for election to the board of directors or for proposing matters that can be acted on at stockholder meetings;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 that stockholder actions must be effected at a duly called stockholder meeting and prohibit actions by our stockholders by written consent;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 who may call a special meeting of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require the approval of the holders of at least 75% of the votes that all our stockholders would be entitled to cast to amend or repeal certain provisions of our certificate of incorporation or bylaws.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stock, including transactions that may be in your best interests. These provisions may also prevent changes in our management or limit the price that investors are willing to pay for our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Business Operations</w:t>
      </w:r>
    </w:p>
    <w:p>
      <w:pPr>
        <w:pStyle w:val="TextBody"/>
        <w:bidi w:val="0"/>
        <w:spacing w:before="120" w:after="0"/>
        <w:jc w:val="left"/>
        <w:rPr>
          <w:rFonts w:ascii="Times New Roman" w:hAnsi="Times New Roman"/>
          <w:sz w:val="20"/>
        </w:rPr>
      </w:pPr>
      <w:r>
        <w:rPr>
          <w:rFonts w:ascii="Times New Roman;serif" w:hAnsi="Times New Roman;serif"/>
          <w:b/>
          <w:i/>
          <w:sz w:val="20"/>
        </w:rPr>
        <w:t>We face risks related to health epidemics and other widespread outbreaks of contagious disease, including the COVID-19 pandemic, which has delayed our ability to complete our ongoing clinical trials, disrupted our business operations and may further delay our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Significant outbreaks of contagious diseases, such as COVID-19, and other adverse public health developments, could have a material impact on our business operations and operating results.</w:t>
      </w:r>
    </w:p>
    <w:p>
      <w:pPr>
        <w:pStyle w:val="TextBody"/>
        <w:bidi w:val="0"/>
        <w:spacing w:before="120" w:after="0"/>
        <w:jc w:val="left"/>
        <w:rPr>
          <w:rFonts w:ascii="Times New Roman" w:hAnsi="Times New Roman"/>
          <w:sz w:val="20"/>
        </w:rPr>
      </w:pPr>
      <w:r>
        <w:rPr>
          <w:rFonts w:ascii="Times New Roman;serif" w:hAnsi="Times New Roman;serif"/>
          <w:b w:val="false"/>
          <w:sz w:val="20"/>
        </w:rPr>
        <w:t>The COVID-19 pandemic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the clinical sites in our Phase 2 CANAL trial for chronic cough in IPF experienced delays in the enrollment and treatment of subjects in the trial due to the vulnerability of IPF patients to COVID-19 and as a result, we amended the protocol for the trial to reduce the number of in-person subject visits and procedures. Any trials we may conduct in the future for the treatment of chronic cough in IPF or other chronic cough conditions could be delayed or negatively impacted by the COVID-19 pandemic or other outbreaks of infectious diseases due to the vulnerability of this patient population to respiratory illness. The COVID-19 pandemic and other outbreaks of infectious disease could still adversely affect our ability to retain subjects, principal investigators and site staff who, as healthcare providers, may have heightened exposure to COVID-19 and other infectious diseases and may result in further disruptions to our clinical trials in the future due to prioritization of hospital and medical resources toward the pandemic or future outbreaks, restrictions on travel of patients and healthcare providers, or potential inability of subjects to comply with clinical trial protocols if quarantines or travel restrictions impede subject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presently predict the scope and severity of the disruptions we may experience or continue to experience as a result of the COVID-19 pandemic or other outbreaks of infectious disease.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 While the current trajectory of the COVID-19 pandemic is uncertain, in the future we may continue to experience adverse impacts on our clinical trial activities, business operations, financial condition, and prospects as a result of the future evolution of the virus, among other factors.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5" w:name="item_5_other_information"/>
      <w:bookmarkEnd w:id="15"/>
      <w:r>
        <w:rPr>
          <w:rFonts w:ascii="Times New Roman;serif" w:hAnsi="Times New Roman;serif"/>
          <w:b/>
          <w:sz w:val="20"/>
        </w:rPr>
        <w:t>Item 5. Other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On May 9, 2023, we paid the remaining amount due under the Loan and Security Agreement, as amended, or the SVB Loan Agreement, originally dated as of August 13, 2020, between the Company and Silicon Valley Bank, or SVB, resulting in the full extinguishment of the term loan provided by SVB to us in the original principal amount of $14.0 million, or the SVB Term Loan. The total payoff amount, or the Payoff Amount, of the SVB Term Loan was $6.5 million, consisting of the remaining principal amount due of $5.2 million, the final payment fee of $1.2 million, and $0.1 million of accrued interest and prepayment premium.</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connection with the payment of the Payoff Amount, the SVB Loan Agreement, all liens or security interests granted to secure the obligations under the SVB Loan Agreement and all guaranties of the obligations under the SVB Loan Agreement terminated.</w:t>
      </w:r>
    </w:p>
    <w:p>
      <w:pPr>
        <w:pStyle w:val="TextBody"/>
        <w:bidi w:val="0"/>
        <w:spacing w:before="120" w:after="0"/>
        <w:jc w:val="left"/>
        <w:rPr>
          <w:rFonts w:ascii="Times New Roman" w:hAnsi="Times New Roman"/>
          <w:sz w:val="20"/>
        </w:rPr>
      </w:pPr>
      <w:r>
        <w:rPr>
          <w:rFonts w:ascii="Times New Roman;serif" w:hAnsi="Times New Roman;serif"/>
          <w:b w:val="false"/>
          <w:sz w:val="20"/>
        </w:rPr>
        <w:t>SVB and/or its affiliates have provided, and may in the future provide, various investment banking, lending and other financial services for us for which services they have received, and may in the future receive, customary fees. In June 2020, we entered into a sales agreement with SVB Securities LLC (formerly SVB Leerink LLC), an affiliate of SVB, which was amended in May 2022, under which we may issue and sell shares of common stock, from time to time, having an aggregate offering price of up to $62.0 million.</w:t>
        <w:br/>
        <w:br/>
      </w:r>
      <w:r>
        <w:rPr>
          <w:rFonts w:ascii="Times New Roman" w:hAnsi="Times New Roman"/>
          <w:sz w:val="20"/>
        </w:rPr>
        <w:t> </w:t>
      </w:r>
    </w:p>
    <w:p>
      <w:pPr>
        <w:pStyle w:val="TextBody"/>
        <w:bidi w:val="0"/>
        <w:spacing w:before="0" w:after="0"/>
        <w:jc w:val="left"/>
        <w:rPr>
          <w:rFonts w:ascii="Times New Roman;serif" w:hAnsi="Times New Roman;serif"/>
          <w:b/>
          <w:sz w:val="20"/>
        </w:rPr>
      </w:pPr>
      <w:bookmarkStart w:id="16" w:name="item_6_exhibits"/>
      <w:bookmarkEnd w:id="16"/>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47"/>
        <w:gridCol w:w="146"/>
        <w:gridCol w:w="9212"/>
      </w:tblGrid>
      <w:tr>
        <w:trPr/>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2" w:type="dxa"/>
            <w:tcBorders/>
            <w:vAlign w:val="center"/>
          </w:tcPr>
          <w:p>
            <w:pPr>
              <w:pStyle w:val="TableContents"/>
              <w:bidi w:val="0"/>
              <w:spacing w:before="0" w:after="283"/>
              <w:jc w:val="left"/>
              <w:rPr>
                <w:sz w:val="4"/>
                <w:szCs w:val="4"/>
              </w:rPr>
            </w:pPr>
            <w:r>
              <w:rPr>
                <w:sz w:val="4"/>
                <w:szCs w:val="4"/>
              </w:rPr>
            </w:r>
          </w:p>
        </w:tc>
      </w:tr>
      <w:tr>
        <w:trPr/>
        <w:tc>
          <w:tcPr>
            <w:tcW w:w="84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1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hyperlink w:anchor="trvi-ex31_1.htm">
              <w:r>
                <w:rPr>
                  <w:rStyle w:val="InternetLink"/>
                  <w:rFonts w:ascii="Times New Roman;serif" w:hAnsi="Times New Roman;serif"/>
                  <w:b w:val="false"/>
                  <w:sz w:val="20"/>
                  <w:u w:val="single"/>
                </w:rPr>
                <w:t>Certification of Principal Executive Officer Pursuant to Rules 13a-14(a) or 15d-14(a) under the Securities Exchange Act of 1934, as Adopted Pursuant to Section 302 of the Sarbanes-Oxley Act of 2002</w:t>
              </w:r>
            </w:hyperlink>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hyperlink w:anchor="trvi-ex31_2.htm">
              <w:r>
                <w:rPr>
                  <w:rStyle w:val="InternetLink"/>
                  <w:rFonts w:ascii="Times New Roman;serif" w:hAnsi="Times New Roman;serif"/>
                  <w:b w:val="false"/>
                  <w:sz w:val="20"/>
                  <w:u w:val="single"/>
                </w:rPr>
                <w:t>Certification of Principal Financial Officer Pursuant to Rules 13a-14(a) or 15d-14(a) under the Securities Exchange Act of 1934, as Adopted Pursuant to Section 302 of the Sarbanes-Oxley Act of 2002</w:t>
              </w:r>
            </w:hyperlink>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hyperlink w:anchor="trvi-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hyperlink w:anchor="trvi-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pPr>
            <w:r>
              <w:rPr/>
              <w:t> </w:t>
            </w:r>
          </w:p>
        </w:tc>
      </w:tr>
      <w:tr>
        <w:trPr/>
        <w:tc>
          <w:tcPr>
            <w:tcW w:w="8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pBdr>
          <w:bottom w:val="single" w:sz="4" w:space="1" w:color="000000"/>
        </w:pBdr>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7" w:name="signatures"/>
      <w:bookmarkEnd w:id="17"/>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5624" w:type="dxa"/>
        <w:jc w:val="left"/>
        <w:tblInd w:w="0" w:type="dxa"/>
        <w:tblLayout w:type="fixed"/>
        <w:tblCellMar>
          <w:top w:w="28" w:type="dxa"/>
          <w:left w:w="28" w:type="dxa"/>
          <w:bottom w:w="28" w:type="dxa"/>
          <w:right w:w="28" w:type="dxa"/>
        </w:tblCellMar>
      </w:tblPr>
      <w:tblGrid>
        <w:gridCol w:w="1741"/>
        <w:gridCol w:w="146"/>
        <w:gridCol w:w="406"/>
        <w:gridCol w:w="333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3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TREVI THERAPEUTICS, INC.</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Jennifer L. Good</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Jennifer L. Good</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Lisa Delfini</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Lisa Delfini</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18" w:name="trvi-ex31_1.htm"/>
      <w:bookmarkStart w:id="19" w:name="kstrviex31_1"/>
      <w:bookmarkEnd w:id="18"/>
      <w:bookmarkEnd w:id="19"/>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RULES 13a-14(a) OR 15d-14(a) UNDER THE SECURITIES EXCHANGE ACT OF 1934, 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Jennifer L. Good, certify that: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Trevi Therapeutics, Inc.;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tbl>
      <w:tblPr>
        <w:tblW w:w="5796" w:type="dxa"/>
        <w:jc w:val="left"/>
        <w:tblInd w:w="0" w:type="dxa"/>
        <w:tblLayout w:type="fixed"/>
        <w:tblCellMar>
          <w:top w:w="28" w:type="dxa"/>
          <w:left w:w="28" w:type="dxa"/>
          <w:bottom w:w="28" w:type="dxa"/>
          <w:right w:w="28" w:type="dxa"/>
        </w:tblCellMar>
      </w:tblPr>
      <w:tblGrid>
        <w:gridCol w:w="1741"/>
        <w:gridCol w:w="146"/>
        <w:gridCol w:w="146"/>
        <w:gridCol w:w="406"/>
        <w:gridCol w:w="14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Jennifer L. Good</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Jennifer L. Good</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0" w:name="trvi-ex31_2.htm"/>
      <w:bookmarkStart w:id="21" w:name="kstrviex31_2"/>
      <w:bookmarkEnd w:id="20"/>
      <w:bookmarkEnd w:id="2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RULES 13a-14(a) OR 15d-14(a) UNDER THE SECURITIES EXCHANGE ACT OF 1934, 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Lisa Delfini, certify that: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Trevi Therapeutics, Inc.;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tbl>
      <w:tblPr>
        <w:tblW w:w="5001" w:type="dxa"/>
        <w:jc w:val="left"/>
        <w:tblInd w:w="0" w:type="dxa"/>
        <w:tblLayout w:type="fixed"/>
        <w:tblCellMar>
          <w:top w:w="28" w:type="dxa"/>
          <w:left w:w="28" w:type="dxa"/>
          <w:bottom w:w="28" w:type="dxa"/>
          <w:right w:w="28" w:type="dxa"/>
        </w:tblCellMar>
      </w:tblPr>
      <w:tblGrid>
        <w:gridCol w:w="1741"/>
        <w:gridCol w:w="146"/>
        <w:gridCol w:w="146"/>
        <w:gridCol w:w="406"/>
        <w:gridCol w:w="146"/>
        <w:gridCol w:w="24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Lisa Delfini</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Lisa Delfini</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2" w:name="trvi-ex32_1.htm"/>
      <w:bookmarkStart w:id="23" w:name="kstrviex32_1"/>
      <w:bookmarkEnd w:id="22"/>
      <w:bookmarkEnd w:id="23"/>
      <w:r>
        <w:rPr>
          <w:rFonts w:ascii="Times New Roman;serif" w:hAnsi="Times New Roman;serif"/>
          <w:b/>
          <w:sz w:val="20"/>
        </w:rPr>
        <w:t>Exhibit 32.1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Trevi Therapeutics, Inc. (the “Company”) for the period ended March 31, 2023,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650" w:type="dxa"/>
        <w:jc w:val="left"/>
        <w:tblInd w:w="0" w:type="dxa"/>
        <w:tblLayout w:type="fixed"/>
        <w:tblCellMar>
          <w:top w:w="28" w:type="dxa"/>
          <w:left w:w="28" w:type="dxa"/>
          <w:bottom w:w="28" w:type="dxa"/>
          <w:right w:w="28" w:type="dxa"/>
        </w:tblCellMar>
      </w:tblPr>
      <w:tblGrid>
        <w:gridCol w:w="1741"/>
        <w:gridCol w:w="146"/>
        <w:gridCol w:w="406"/>
        <w:gridCol w:w="14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Jennifer L. Good</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Jennifer L. Good</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4" w:name="trvi-ex32_2.htm"/>
      <w:bookmarkStart w:id="25" w:name="kstrviex32_2"/>
      <w:bookmarkEnd w:id="24"/>
      <w:bookmarkEnd w:id="25"/>
      <w:r>
        <w:rPr>
          <w:rFonts w:ascii="Times New Roman;serif" w:hAnsi="Times New Roman;serif"/>
          <w:b/>
          <w:sz w:val="20"/>
        </w:rPr>
        <w:t>Exhibit 32.2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Trevi Therapeutics, Inc. (the “Company”) for the period ended March 31, 2023,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4855" w:type="dxa"/>
        <w:jc w:val="left"/>
        <w:tblInd w:w="0" w:type="dxa"/>
        <w:tblLayout w:type="fixed"/>
        <w:tblCellMar>
          <w:top w:w="28" w:type="dxa"/>
          <w:left w:w="28" w:type="dxa"/>
          <w:bottom w:w="28" w:type="dxa"/>
          <w:right w:w="28" w:type="dxa"/>
        </w:tblCellMar>
      </w:tblPr>
      <w:tblGrid>
        <w:gridCol w:w="1741"/>
        <w:gridCol w:w="146"/>
        <w:gridCol w:w="406"/>
        <w:gridCol w:w="146"/>
        <w:gridCol w:w="24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Lisa Delfini</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Lisa Delfini</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66521</Words>
  <Characters>363805</Characters>
  <CharactersWithSpaces>430590</CharactersWithSpaces>
  <Paragraphs>4712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