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4260" w:right="3920" w:hanging="4252"/>
        <w:spacing w:after="0" w:line="302" w:lineRule="auto"/>
        <w:tabs>
          <w:tab w:leader="none" w:pos="29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50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520" w:right="920" w:hanging="512"/>
        <w:spacing w:after="0" w:line="262" w:lineRule="auto"/>
        <w:tabs>
          <w:tab w:leader="none" w:pos="299"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TREVI THERAPEUTICS,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45-0834299</w:t>
            </w:r>
          </w:p>
        </w:tc>
      </w:tr>
      <w:tr>
        <w:trPr>
          <w:trHeight w:val="142"/>
        </w:trPr>
        <w:tc>
          <w:tcPr>
            <w:tcW w:w="4120" w:type="dxa"/>
            <w:vAlign w:val="bottom"/>
          </w:tcPr>
          <w:p>
            <w:pPr>
              <w:jc w:val="center"/>
              <w:ind w:right="1987"/>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8"/>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9"/>
        </w:trPr>
        <w:tc>
          <w:tcPr>
            <w:tcW w:w="4120" w:type="dxa"/>
            <w:vAlign w:val="bottom"/>
          </w:tcPr>
          <w:p>
            <w:pPr>
              <w:jc w:val="center"/>
              <w:ind w:right="1967"/>
              <w:spacing w:after="0" w:line="139"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8"/>
              <w:spacing w:after="0" w:line="139"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120" w:type="dxa"/>
            <w:vAlign w:val="bottom"/>
          </w:tcPr>
          <w:p>
            <w:pPr>
              <w:jc w:val="center"/>
              <w:ind w:right="1987"/>
              <w:spacing w:after="0" w:line="230" w:lineRule="exact"/>
              <w:rPr>
                <w:sz w:val="20"/>
                <w:szCs w:val="20"/>
                <w:color w:val="auto"/>
              </w:rPr>
            </w:pPr>
            <w:r>
              <w:rPr>
                <w:rFonts w:ascii="Times New Roman" w:cs="Times New Roman" w:eastAsia="Times New Roman" w:hAnsi="Times New Roman"/>
                <w:sz w:val="16"/>
                <w:szCs w:val="16"/>
                <w:b w:val="1"/>
                <w:bCs w:val="1"/>
                <w:color w:val="auto"/>
                <w:w w:val="99"/>
              </w:rPr>
              <w:t>195 Church Street, 16</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3020" w:type="dxa"/>
            <w:vAlign w:val="bottom"/>
          </w:tcPr>
          <w:p>
            <w:pPr>
              <w:spacing w:after="0"/>
              <w:rPr>
                <w:sz w:val="19"/>
                <w:szCs w:val="19"/>
                <w:color w:val="auto"/>
              </w:rPr>
            </w:pPr>
          </w:p>
        </w:tc>
      </w:tr>
      <w:tr>
        <w:trPr>
          <w:trHeight w:val="212"/>
        </w:trPr>
        <w:tc>
          <w:tcPr>
            <w:tcW w:w="4120" w:type="dxa"/>
            <w:vAlign w:val="bottom"/>
          </w:tcPr>
          <w:p>
            <w:pPr>
              <w:jc w:val="center"/>
              <w:ind w:right="1967"/>
              <w:spacing w:after="0"/>
              <w:rPr>
                <w:sz w:val="20"/>
                <w:szCs w:val="20"/>
                <w:color w:val="auto"/>
              </w:rPr>
            </w:pPr>
            <w:r>
              <w:rPr>
                <w:rFonts w:ascii="Times New Roman" w:cs="Times New Roman" w:eastAsia="Times New Roman" w:hAnsi="Times New Roman"/>
                <w:sz w:val="16"/>
                <w:szCs w:val="16"/>
                <w:b w:val="1"/>
                <w:bCs w:val="1"/>
                <w:color w:val="auto"/>
              </w:rPr>
              <w:t>New Haven, Connecticut</w:t>
            </w:r>
          </w:p>
        </w:tc>
        <w:tc>
          <w:tcPr>
            <w:tcW w:w="302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06510</w:t>
            </w:r>
          </w:p>
        </w:tc>
      </w:tr>
      <w:tr>
        <w:trPr>
          <w:trHeight w:val="179"/>
        </w:trPr>
        <w:tc>
          <w:tcPr>
            <w:tcW w:w="4120" w:type="dxa"/>
            <w:vAlign w:val="bottom"/>
          </w:tcPr>
          <w:p>
            <w:pPr>
              <w:jc w:val="center"/>
              <w:ind w:right="196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304-2499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5"/>
          <w:szCs w:val="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tc>
        <w:tc>
          <w:tcPr>
            <w:tcW w:w="12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TRVI</w:t>
            </w:r>
          </w:p>
        </w:tc>
        <w:tc>
          <w:tcPr>
            <w:tcW w:w="120" w:type="dxa"/>
            <w:vAlign w:val="bottom"/>
          </w:tcPr>
          <w:p>
            <w:pPr>
              <w:spacing w:after="0"/>
              <w:rPr>
                <w:sz w:val="21"/>
                <w:szCs w:val="21"/>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right="364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w:t>
            </w:r>
            <w:r>
              <w:rPr>
                <w:rFonts w:ascii="Times New Roman" w:cs="Times New Roman" w:eastAsia="Times New Roman" w:hAnsi="Times New Roman"/>
                <w:sz w:val="16"/>
                <w:szCs w:val="16"/>
                <w:color w:val="auto"/>
              </w:rPr>
              <w:t>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42"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17"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$105.6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20, 2024 was 68,960,167.</w:t>
      </w:r>
    </w:p>
    <w:p>
      <w:pPr>
        <w:spacing w:after="0" w:line="5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Proxy Statement for the registrant’s 2024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00" w:right="2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our Phase 2b CORAL clinical trial of Haduvio for the treatment of chronic cough in idiopathic pulmonary fibrosis, or IPF, our Phase 2a RIVER clinical trial of Haduvio for the treatment of refractory chronic cough, or RCC, and our Phase 1b clinical trial to evaluate the effect of Haduvio on respiratory physiology in patients with IPF of varying disease severity as well as our human abuse potential, or HAP, study to compare the abuse potential of oral nalbuphine to intravenous, or IV, butorphanol;</w:t>
      </w:r>
    </w:p>
    <w:p>
      <w:pPr>
        <w:spacing w:after="0" w:line="71"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Haduvio for the treatment of chronic cough in IPF and RCC and for the treatment of prurigo nodularis;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for the initiation of clinical trials and the reporting of data from such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Haduvio;</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including our ongoing and planned clinical trials,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may differ materially from what we expect. The forward-looking statements contained in this Annual Report on Form 10-K are made as of the date of this Annual Report on Form 10-K, and we do not assume any obligation to update any forward-looking statements except as required by applicable law.</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81"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Trevi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Haduvio™.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 symbols, but we will assert, to the fullest extent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applicable law, our rights to our trademarks, service marks and trade names. We intend to propose Haduvio as the trade name for our oral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69" w:right="579" w:bottom="1440" w:gutter="0" w:footer="0" w:header="0"/>
        </w:sectPr>
      </w:pPr>
    </w:p>
    <w:bookmarkStart w:id="3" w:name="page4"/>
    <w:bookmarkEnd w:id="3"/>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Annual Report on Form 10-K, and should be carefully considered, together with other information in this Annual Report on Form 10-K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81" w:lineRule="exact"/>
        <w:rPr>
          <w:sz w:val="20"/>
          <w:szCs w:val="20"/>
          <w:color w:val="auto"/>
        </w:rPr>
      </w:pPr>
    </w:p>
    <w:p>
      <w:pPr>
        <w:ind w:left="760" w:right="2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continue to incur significant and increasing losses for the foreseeable future. We may never achieve or maintain profitability.</w:t>
      </w:r>
    </w:p>
    <w:p>
      <w:pPr>
        <w:spacing w:after="0" w:line="6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81"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yet have an open investigational new drug application, or IND, for chronic cough in IPF. We expect to have an active IND for our planned Phase 1b clinical trial to evaluate the effect of Haduvio on respiratory physiology in patients with IPF of varying disease severity in the first half of 2024. Regulatory delays may affect the timing and costs of this trial as well as other trials in chronic cough in IPF and may affect our ability to complete the planned or ongoing trials with our existing cash resources.</w:t>
      </w:r>
    </w:p>
    <w:p>
      <w:pPr>
        <w:spacing w:after="0" w:line="85" w:lineRule="exact"/>
        <w:rPr>
          <w:rFonts w:ascii="Times New Roman" w:cs="Times New Roman" w:eastAsia="Times New Roman" w:hAnsi="Times New Roman"/>
          <w:sz w:val="18"/>
          <w:szCs w:val="18"/>
          <w:color w:val="auto"/>
        </w:rPr>
      </w:pPr>
    </w:p>
    <w:p>
      <w:pPr>
        <w:ind w:left="760" w:right="100" w:hanging="378"/>
        <w:spacing w:after="0" w:line="25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clinical trial of Haduvio for the treatment of chronic cough in IPF, which we refer to as the Phase 2 CANAL trial, may not be predictive of the results of future trials of Haduvio for the treatment of chronic cough in IPF or other chronic cough indications such as RCC, and the results of our Phase 2b/3 clinical trial of Haduvio in patients with prurigo nodularis, which we refer to as our Phase 2b/3 PRISM trial, may not be predictive of the results of any future trial in prurigo nodularis.</w:t>
      </w:r>
    </w:p>
    <w:p>
      <w:pPr>
        <w:spacing w:after="0" w:line="92"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difficulties in the enrollment of patients in our clinical trials in the past, including in our Phase 2 CANAL trial and our Phase 2b/3 PRISM trial. If we experience delays or difficulties in the enrollment of patients in current or future clinical trials, our receipt of necessary regulatory approvals could be delayed or prevented. Other companies are conducting clinical trials or have announced plans for future clinical trials that are seeking or are likely to seek to enroll patients with chronic cough with IPF, RCC and prurigo nodularis, and patients are generally only able to enroll in a single trial at a time. In addition, many patients use various treatments off-label to treat chronic cough associated with IPF, RCC and prurigo nodularis, and these patients and their physicians may be reluctant to forgo, discontinue or otherwise alter their use of such off-label therapeutic approaches to participate in our clinical trials.</w:t>
      </w:r>
    </w:p>
    <w:p>
      <w:pPr>
        <w:spacing w:after="0" w:line="94"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Even if we complete the necessary preclinical studies and clinical trials, the regulatory approval process is expensive, time-consuming and uncertain, which may prevent us from obtaining approvals for the commercialization of Haduvio or any future product candidate.</w:t>
      </w:r>
    </w:p>
    <w:p>
      <w:pPr>
        <w:spacing w:after="0" w:line="81"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spacing w:after="0" w:line="88"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label for nalbuphine, the active ingredient in Haduvio, carries an opioid class label warning for serious, life-threatening or fatal respiratory depression and Haduvio, if approved for marketing in any indication,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 w:name="page5"/>
    <w:bookmarkEnd w:id="4"/>
    <w:p>
      <w:pPr>
        <w:ind w:left="378" w:right="60"/>
        <w:spacing w:after="0" w:line="261" w:lineRule="auto"/>
        <w:rPr>
          <w:sz w:val="20"/>
          <w:szCs w:val="20"/>
          <w:color w:val="auto"/>
        </w:rPr>
      </w:pPr>
      <w:r>
        <w:rPr>
          <w:rFonts w:ascii="Times New Roman" w:cs="Times New Roman" w:eastAsia="Times New Roman" w:hAnsi="Times New Roman"/>
          <w:sz w:val="18"/>
          <w:szCs w:val="18"/>
          <w:color w:val="auto"/>
        </w:rPr>
        <w:t>likely carry a similar opioid class label. We intend to conduct a Phase 1b study of Haduvio to evaluate the effect of Haduvio on respiratory physiology in patients with IPF of varying disease severity. We cannot be certain that respiratory depression will not be observed or that the U.S. Food and Drug Administration, or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85" w:lineRule="exact"/>
        <w:rPr>
          <w:sz w:val="20"/>
          <w:szCs w:val="20"/>
          <w:color w:val="auto"/>
        </w:rPr>
      </w:pPr>
    </w:p>
    <w:p>
      <w:pPr>
        <w:ind w:left="378" w:hanging="378"/>
        <w:spacing w:after="0" w:line="25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currently approved μ-opioid products are subject to restrictive marketing and distribution regulations which, if applied to Haduvio, could potentially restrict its use and harm our ability to generate profits. We are conducting a HAP study to compare the abuse potential of oral nalbuphine to IV butorphanol. If the results of the HAP study suggest that Haduvio may carry risks of misuse, abuse or addiction or even if the trial indicates that Haduvio does not carry such risks, the FDA may require us to implement a Risk Evaluation and Mitigation Strategy in connection with any commercialization of Haduvio and the U.S. Drug Enforcement Agency could determine that Haduvio should be classified as a controlled substance.</w:t>
      </w:r>
    </w:p>
    <w:p>
      <w:pPr>
        <w:spacing w:after="0" w:line="92" w:lineRule="exact"/>
        <w:rPr>
          <w:rFonts w:ascii="Times New Roman" w:cs="Times New Roman" w:eastAsia="Times New Roman" w:hAnsi="Times New Roman"/>
          <w:sz w:val="18"/>
          <w:szCs w:val="18"/>
          <w:color w:val="auto"/>
        </w:rPr>
      </w:pPr>
    </w:p>
    <w:p>
      <w:pPr>
        <w:ind w:left="378" w:right="120" w:hanging="378"/>
        <w:spacing w:after="0" w:line="282"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67"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130" w:lineRule="exact"/>
        <w:rPr>
          <w:rFonts w:ascii="Times New Roman" w:cs="Times New Roman" w:eastAsia="Times New Roman" w:hAnsi="Times New Roman"/>
          <w:sz w:val="18"/>
          <w:szCs w:val="18"/>
          <w:color w:val="auto"/>
        </w:rPr>
      </w:pPr>
    </w:p>
    <w:p>
      <w:pPr>
        <w:ind w:left="378" w:right="18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spacing w:after="0" w:line="85" w:lineRule="exact"/>
        <w:rPr>
          <w:rFonts w:ascii="Times New Roman" w:cs="Times New Roman" w:eastAsia="Times New Roman" w:hAnsi="Times New Roman"/>
          <w:sz w:val="18"/>
          <w:szCs w:val="18"/>
          <w:color w:val="auto"/>
        </w:rPr>
      </w:pPr>
    </w:p>
    <w:p>
      <w:pPr>
        <w:jc w:val="both"/>
        <w:ind w:left="378" w:right="140"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81" w:lineRule="exact"/>
        <w:rPr>
          <w:rFonts w:ascii="Times New Roman" w:cs="Times New Roman" w:eastAsia="Times New Roman" w:hAnsi="Times New Roman"/>
          <w:sz w:val="18"/>
          <w:szCs w:val="18"/>
          <w:color w:val="auto"/>
        </w:rPr>
      </w:pPr>
    </w:p>
    <w:p>
      <w:pPr>
        <w:ind w:left="378" w:right="24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85" w:lineRule="exact"/>
        <w:rPr>
          <w:rFonts w:ascii="Times New Roman" w:cs="Times New Roman" w:eastAsia="Times New Roman" w:hAnsi="Times New Roman"/>
          <w:sz w:val="18"/>
          <w:szCs w:val="18"/>
          <w:color w:val="auto"/>
        </w:rPr>
      </w:pPr>
    </w:p>
    <w:p>
      <w:pPr>
        <w:ind w:left="378" w:right="20"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727710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16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7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260" w:type="dxa"/>
            <w:vAlign w:val="bottom"/>
            <w:tcBorders>
              <w:top w:val="single" w:sz="8" w:color="0000FF"/>
            </w:tcBorders>
            <w:gridSpan w:val="21"/>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7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7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661"/>
        </w:trPr>
        <w:tc>
          <w:tcPr>
            <w:tcW w:w="11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for the treatment of chronic cough in idiopathic pulmonary fibrosis, or IPF, and refractory chronic cough, or RCC.</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Nalbuphine is a mixed κ-opioid receptor agonist and µ-opioid receptor antagonist that has been approved and marketed as an injectable for pain indications for more than 20 years in the U.S. and Europe. The κ- and µ-opioid receptors are known to be critical mediators of cough and itch. Nalbuphine’s mechanism of action also mitigates the risk of abuse associated with µ-opioid agonists because it antagonizes, or blocks, the µ-opioid receptor. Haduvio’s dual mechanism of action targets opioid receptors located in both the central and peripheral nervous systems, each of which plays a role in modulating cough and the sensation of itch. We believe this makes Haduvio a promising potential therapy for the treatment of chronic cough in IPF and RCC.</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To date, we have dosed over 1,100 patients with different doses of Haduvio, including healthy volunteers, patients with hepatic impairment, and patients with chronic, serious diseases such as uremic pruritus, prurigo nodularis and chronic cough in IPF.</w:t>
      </w:r>
    </w:p>
    <w:p>
      <w:pPr>
        <w:spacing w:after="0" w:line="5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Chronic Cough in IPF Program. </w:t>
      </w:r>
      <w:r>
        <w:rPr>
          <w:rFonts w:ascii="Times New Roman" w:cs="Times New Roman" w:eastAsia="Times New Roman" w:hAnsi="Times New Roman"/>
          <w:sz w:val="18"/>
          <w:szCs w:val="18"/>
          <w:color w:val="auto"/>
        </w:rPr>
        <w:t>IPF is a rare, chronic, progressive lung disease, characterized by scarring and thickening of lung tissue leading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irreversible loss of lung function and reduced life expectancy. Most patients diagnosed with IPF suffer from a dry, non-productive chronic cough that interrupts their daily living and contributes to poor quality of life. Chronic coughing can have a debilitating physical and psychosocial burden, exacerbate concomitant respiratory disease, cause loss of sleep and reduce mobility. Cough may be an independent predictor of disease progression in IPF, and therefore we believe cough may contribute to the progression of the underlying disease.</w:t>
      </w:r>
    </w:p>
    <w:p>
      <w:pPr>
        <w:spacing w:after="0" w:line="7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Approximately 140,000 adults in the U.S. and greater than 1 million adults worldwide are believed to have IPF. In addition, up to 85% of IPF patients are reported to suffer from chronic cough. These patients can cough up to 1,500 times per day. There are no approved therapies for the treatment of chronic cough in patients with IPF.</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September 2022, we announced positive data from the full set of patients in our Phase 2 clinical trial of Haduvio for the treatment of chronic cough in IPF, which we refer to as the Phase 2 CANAL trial. The Phase 2 CANAL trial was a randomized, double-blind, placebo controlled, two-treatment, two-period, crossover study that was designed to evaluate the efficacy, safety, tolerability and dosing of Haduvio for chronic cough in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we initiated our Phase 2b CORAL clinical trial, which is a dose-ranging study evaluating the efficacy, safety and tolerability of Haduvio for chronic cough in IPF. This trial is expected to be conducted at multiple sites in up to 11 countries and uses a randomized, double-blind, placebo-controlled, parallel-arm design, which evaluates three doses of Haduvio over six weeks as compared to placebo. The primary efficacy endpoint for the trial is the relative change in 24-hour cough frequency at the end of week six versus baseline for Haduvio compared to placebo, as measured via an objective cough monitor. We expect the trial to enroll approximately 160 patients. The protocol for the Phase 2b CORAL clinical trial provides for a sample size re-estimation, or SSRE, analysis once approximately 50% of the patients in the trial are evaluable for the primary endpoint. The SSRE is expected to occur in the second half of 2024, and topline data from the full trial are expected to be available in the first half of 2025 assuming there are no adjustments made to the sample size.</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expect to have an active investigational new drug application, or IND, for a Phase 1b clinical trial to evaluate the effect of Haduvio on respiratory physiology in patients with IPF of varying disease severity in the first half of 2024. The objective for this clinical trial is to further characterize the safety of Haduvio in this specific patient population. Subject to agreement with the U.S. Food and Drug Administration, or FDA, and other international regulatory authorities, we intend to initiate this trial in 2024.</w:t>
      </w:r>
    </w:p>
    <w:p>
      <w:pPr>
        <w:spacing w:after="0" w:line="7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RCC Program. </w:t>
      </w:r>
      <w:r>
        <w:rPr>
          <w:rFonts w:ascii="Times New Roman" w:cs="Times New Roman" w:eastAsia="Times New Roman" w:hAnsi="Times New Roman"/>
          <w:sz w:val="18"/>
          <w:szCs w:val="18"/>
          <w:color w:val="auto"/>
        </w:rPr>
        <w:t>RCC affects up to 10% of the adult population and is defined as a persistent cough lasting more than eight weeks, despite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 underlying condition. The RCC population is generally considered to also include those with unexplained chronic cough where no cough-associated conditions can be identified. RCC is related to biological changes in the central and peripheral nervous systems that lower the threshold of the cough reflex. It is highly disruptive and accompanied by a wide range of complications, ranging from urinary incontinence in females to sleep disruption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t>social embarrassment that causes significant social and economic burden for patients and those around them. When a cause for RCC is identifiable, it is most commonly asthma, gastroesophageal reflux disease, or GERD, non-asthmatic eosinophilic bronchitis, and upper airway cough syndrome or post-nasal drip. There are no approved therapies for RCC in the United States.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we initiated our Phase 2a clinical trial of Haduvio for RCC, which we refer to as the Phase 2a RIVER trial. The Phase 2a RIVER trial is a randomized, double-blind, placebo-controlled, two-treatment, two-period, crossover study that is designed to evaluate the efficacy, safety, tolerability and dosing of Haduvio for the treatment of RCC. We are conducting this trial at multiple sites in the United Kingdom and Canada. The trial was designed to enroll approximately 60 adult patients. The primary endpoint of the study is a mean change in 24-hour cough frequency using an objective cough monitor in the overall population. Patients are randomized with a 1:1 stratification between those with 10-19 coughs/hour (moderate 24-hour cough frequency) and those with at least 20 coughs/hour (high 24-hour cough frequency). The trial will also explore secondary endpoints, including patient reported outcome measures for cough frequency and severity. We expect to report topline efficacy and safety data in the second half of 2024.</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Human Abuse Potential. </w:t>
      </w:r>
      <w:r>
        <w:rPr>
          <w:rFonts w:ascii="Times New Roman" w:cs="Times New Roman" w:eastAsia="Times New Roman" w:hAnsi="Times New Roman"/>
          <w:sz w:val="18"/>
          <w:szCs w:val="18"/>
          <w:color w:val="auto"/>
        </w:rPr>
        <w:t>We initiated a human abuse potential, or HAP, study in the fourth quarter of 2022 to compare the abuse potential of oral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nalbuphine to intravenous, or IV, butorphanol. The injectable version of nalbuphine is currently unscheduled in the U.S. by the Drug Enforcement Agency. The study follows a randomized, double-blind, active and placebo-controlled five way crossover design. The study is being conducted in two parts. The first part of the study characterized various IV butorphanol doses in order to select a dose to be studied. The second part of the study is designed to utilize the selected dose and compare oral nalbuphine relative to IV butorphanol using the study metrics. We have completed the first part of the study. The FDA requested that we submit the data from the first part of the study in support of our IV butorphanol dose selection for their review and comment prior to commencing the second part of the study. We submitted this data to the FDA and the FDA agreed with the selected dose for IV butorphanol. We initiated dosing in the second part of the study in January 2024, and, as of March 11, 2024, the study was over 50% percent enrolled. We expect to report topline data from the study in the second half of 2024.</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Prurigo Nodularis Program. </w:t>
      </w:r>
      <w:r>
        <w:rPr>
          <w:rFonts w:ascii="Times New Roman" w:cs="Times New Roman" w:eastAsia="Times New Roman" w:hAnsi="Times New Roman"/>
          <w:sz w:val="18"/>
          <w:szCs w:val="18"/>
          <w:color w:val="auto"/>
        </w:rPr>
        <w:t>Prurigo nodularis is an intensely pruritic dermatologic condition that constitutes a distinct dermatologic diagnosis.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core symptoms and criteria for diagnosis of prurigo nodularis are chronic pruritus. 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and scarring and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report published in the Journal of the American Academy of Dermatology estimated that up to 26% of the worldwide population will suffer from chronic pruritus at some point in their lives. According to the Global Pruritus Therapeutic Market Research Report issued in 2020, the market for pruritus therapeutics is expected to grow to $19.9 billion in 2026.</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a development program for the use of Haduvio for the treatment of prurigo nodularis. In June 2022, we reported positive results in our Phase 2b/3 clinical trial of Haduvio in patients with prurigo nodularis, which we refer to as the Phase 2b/3 PRISM trial. The Phase 2b/3 PRISM trial was a randomized, double-blind, placebo controlled, two-arm treatment study that was designed to evaluate the safety and efficacy of Haduvio in patients with prurigo nodularis in the United States and Europe. In total we enrolled 353 patients in the study. In the Phase 2b/3 PRISM trial, Haduvio demonstrated statistically significant results on the primary and all three key secondary endpoints. The safety results of the trial were generally consistent with the known safety profile of Haduvio from previous trials in other patient populations.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2023, we reported the preliminary analysis of the 52-week data from the open-label extension portion of the Phase 2b/3 PRISM trial. Following the completion of the initial 14-week portion of the trial, patients were eligible to enroll into an additional 38-week open-label extension period during which all participants received Haduvio 162mg twice a day (BID). Post hoc analyses demonstrated continued reduction in mean Worst Itch Numerical Rating Scale for those participants who remained on Haduvio through 52 weeks. 151 patients completed the open-label extension portion of the trial, adding to the safety database for Haduvio. The safety data were generally consistent with the safety profile of Haduvio observed in the 14-week portion of the Phase 2b/3 PRISM trial and previous trials of Haduvio. Adverse events reported with a frequency greater than five percent in the 38-week open-label period included nausea, dizziness, vomiting, fatigue, and somnolence. Study discontinuation due to treatment-related adverse events occurred in 13% of patients during the 38-week open-label period, and serious adverse events, or SAEs, were reported for 13 patients, although only two of these events were considered potentially treatment related.</w:t>
      </w:r>
    </w:p>
    <w:p>
      <w:pPr>
        <w:spacing w:after="0" w:line="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expect that we will need to conduct an additional Phase 3 clinical trial to support the submission of a new drug application, or NDA, to the FDA, a marketing authorization application, or MAA, to the European Medicines Agency,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8" w:name="page9"/>
    <w:bookmarkEnd w:id="8"/>
    <w:p>
      <w:pPr>
        <w:ind w:right="200"/>
        <w:spacing w:after="0" w:line="261" w:lineRule="auto"/>
        <w:rPr>
          <w:sz w:val="20"/>
          <w:szCs w:val="20"/>
          <w:color w:val="auto"/>
        </w:rPr>
      </w:pPr>
      <w:r>
        <w:rPr>
          <w:rFonts w:ascii="Times New Roman" w:cs="Times New Roman" w:eastAsia="Times New Roman" w:hAnsi="Times New Roman"/>
          <w:sz w:val="18"/>
          <w:szCs w:val="18"/>
          <w:color w:val="auto"/>
        </w:rPr>
        <w:t>EMA and a MAA to the Medicines and Healthcare Products Regulatory Agency in the United Kingdom, or MHRA, for Haduvio for the treatment of prurigo nodularis, and plan to request an end of Phase 2 meeting with the FDA. Following discussions with the FDA and other regulatory authorities, we plan to determine next steps with respect to our prurigo nodularis program, including with respect to the conduct of any future Phase 3 clinical trial. We may seek to enter into a strategic collaboration for the continued development of this program.</w:t>
      </w:r>
    </w:p>
    <w:p>
      <w:pPr>
        <w:spacing w:after="0" w:line="7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Prior to commencing our Phase 2b/3 PRISM trial, we had completed clinical trials in two distinct and serious pruritic conditions, uremic pruritus and prurigo nodularis, with over 400 patients treated with different doses of Haduvio in these trials. Uremic pruritus is a pruritic condition occurring in patients with chronic kidney disease typically receiving dialysis.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Haduvio for the treatment of chronic cough in IPF and RCC. The key elements of our strategy are:</w:t>
      </w:r>
    </w:p>
    <w:p>
      <w:pPr>
        <w:spacing w:after="0" w:line="50" w:lineRule="exact"/>
        <w:rPr>
          <w:sz w:val="20"/>
          <w:szCs w:val="20"/>
          <w:color w:val="auto"/>
        </w:rPr>
      </w:pPr>
    </w:p>
    <w:p>
      <w:pPr>
        <w:ind w:left="900" w:hanging="383"/>
        <w:spacing w:after="0" w:line="25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Complete the clinical development of Haduvio for the treatment of chronic cough in IPF. </w:t>
      </w:r>
      <w:r>
        <w:rPr>
          <w:rFonts w:ascii="Times New Roman" w:cs="Times New Roman" w:eastAsia="Times New Roman" w:hAnsi="Times New Roman"/>
          <w:sz w:val="18"/>
          <w:szCs w:val="18"/>
          <w:color w:val="auto"/>
        </w:rPr>
        <w:t>In December 2023, we initiated our Phase 2b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CORAL clinical trial of Haduvio for chronic cough in IPF. This Phase 2b clinical trial builds on the positive results from the Phase 2 CANAL clinical trial, which demonstrated a statistically significant reduction in daytime cough frequency by 75.1%, a 52.5% difference from placebo (p&lt;0.0001). This trial is expected to be conducted at multiple sites in up to 11 countries and uses a randomized, double-blind, placebo-controlled, parallel-arm design, which evaluates three doses of Haduvio over six weeks as compared to placebo. We expect the trial to enroll approximately 160 patients and to report topline data in the first half of 2025, assuming there are no adjustments made to the sample size. We expect to have an active IND for our planned Phase 1b clinical trial to evaluate the effect of Haduvio on respiratory physiology in patients with IPF of varying disease severity in the first half of 2024. The objective for this clinical trial is to further characterize the safety of Haduvio in this specific patient population. Subject to agreement with the FDA, and other international regulatory authorities, we intend to initiate this trial in 2024.</w:t>
      </w:r>
    </w:p>
    <w:p>
      <w:pPr>
        <w:spacing w:after="0" w:line="77" w:lineRule="exact"/>
        <w:rPr>
          <w:rFonts w:ascii="Times New Roman" w:cs="Times New Roman" w:eastAsia="Times New Roman" w:hAnsi="Times New Roman"/>
          <w:sz w:val="18"/>
          <w:szCs w:val="18"/>
          <w:color w:val="auto"/>
        </w:rPr>
      </w:pPr>
    </w:p>
    <w:p>
      <w:pPr>
        <w:ind w:left="900" w:right="160" w:hanging="383"/>
        <w:spacing w:after="0" w:line="257"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Complete the clinical development of Haduvio for the treatment of RCC. </w:t>
      </w:r>
      <w:r>
        <w:rPr>
          <w:rFonts w:ascii="Times New Roman" w:cs="Times New Roman" w:eastAsia="Times New Roman" w:hAnsi="Times New Roman"/>
          <w:sz w:val="18"/>
          <w:szCs w:val="18"/>
          <w:color w:val="auto"/>
        </w:rPr>
        <w:t>In November 2023, we initiated our Phase 2a RIVER clinical trial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Haduvio for the treatment of RCC. We are conducting the Phase 2a RIVER clinical trial of Haduvio to evaluate the safety and make an initial assessment of its efficacy in patients with RCC. We are conducting this trial in the United Kingdom and Canada. This trial uses a randomized, double-blind, placebo-controlled, two treatment period crossover design, which studies escalating doses of Haduvio over three weeks as compared to placebo. The primary endpoint is a mean change in cough frequency using an objective cough monitor. We expect the trial to enroll approximately 60 patients and to report topline data in the second half of 2024.</w:t>
      </w:r>
    </w:p>
    <w:p>
      <w:pPr>
        <w:spacing w:after="0" w:line="74"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Determine next steps with respect to our prurigo nodularis program. </w:t>
      </w:r>
      <w:r>
        <w:rPr>
          <w:rFonts w:ascii="Times New Roman" w:cs="Times New Roman" w:eastAsia="Times New Roman" w:hAnsi="Times New Roman"/>
          <w:sz w:val="18"/>
          <w:szCs w:val="18"/>
          <w:color w:val="auto"/>
        </w:rPr>
        <w:t>In June 2022, we reported positive results in our Phase 2b/3 PRISM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trial. We completed the open-label extension portion of the Phase 2b/3 PRISM trial in the first quarter of 2023. Haduvio was well-tolerated in the open label extension portion. Post hoc analyses demonstrated continued reduction in mean WI-NRS for those participants who remained on Haduvio through 52 weeks. We expect that we will need to conduct an additional Phase 3 clinical trial to support the submission of an NDA to the FDA, an MAA to the EMA and an MAA to the MHRA for Haduvio for the treatment of prurigo nodularis, and plan to request an end of Phase 2 meeting with the FDA. Following discussions with the FDA and other regulatory authorities, we plan to determine next steps with respect to our prurigo nodularis program, including with respect to the conduct of any future Phase 3 clinical trial. We may seek to enter into a strategic collaboration for the continued development of this program.</w:t>
      </w:r>
    </w:p>
    <w:p>
      <w:pPr>
        <w:spacing w:after="0" w:line="76" w:lineRule="exact"/>
        <w:rPr>
          <w:rFonts w:ascii="Times New Roman" w:cs="Times New Roman" w:eastAsia="Times New Roman" w:hAnsi="Times New Roman"/>
          <w:sz w:val="18"/>
          <w:szCs w:val="18"/>
          <w:color w:val="auto"/>
        </w:rPr>
      </w:pPr>
    </w:p>
    <w:p>
      <w:pPr>
        <w:ind w:left="900" w:right="20" w:hanging="383"/>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commercial potential of Haduvio. </w:t>
      </w:r>
      <w:r>
        <w:rPr>
          <w:rFonts w:ascii="Times New Roman" w:cs="Times New Roman" w:eastAsia="Times New Roman" w:hAnsi="Times New Roman"/>
          <w:sz w:val="18"/>
          <w:szCs w:val="18"/>
          <w:color w:val="auto"/>
        </w:rPr>
        <w:t>We have retained worldwide commercial rights for Haduvio. If Haduvio receives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Nalbuphine Mechanistic Rationale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Nalbuphine is a mixed κ-opioid receptor agonist and µ-opioid receptor antagonist. Drugs targeting opioid receptors have been studied for decades and the biology and pharmacology of these receptors are well-understood. There are three types of opioid receptors, mu (“µ”), kappa (“κ”) and delta (“δ”), which are expressed in varying concentrations in many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different tissues, including the central and peripheral nervous systems, airway and lung tissue, circulating immune and inflammatory cells and the skin.</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Modulation of opioid receptors, either naturally or with drugs, results in multiple signaling actions at the cellular level. The receptor dynamics are complex and receptor signaling differs depending on whether the receptor is being exposed to an agonist or antagonist opioid drug. Agonists activate the receptors to which they bind, and antagonists bind to receptors, and can block the activity of agonists. In addition, opioid drugs of the same class may have different effects depending on their pharmacological properties.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κ-receptor activation on specific cells can antagonize µ-opioid receptor activation on other cells. As a result of these apparent network interaction dynamics between the κ- and µ-opioid receptors, we believe that simultaneously modulating both κ- and µ-opioid receptors with a single drug offers significant therapeutic potential in diseases that are mediated through these receptors.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Published research suggests that in certain diseases the concentration and expression of opioid receptors is different for people with the disease as compared to healthy individuals. For example, published research has shown that human skin tissue samples from patients with prurigo nodularis show a down regulation of µ-opioid receptor expression as compared to normal skin. We believe these differences in opioid receptor concentration and expression between healthy individuals and people with disease suggest that opioid drugs targeting these receptors have the potential to offer therapeutic benefit to people suffering from these diseases.</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shown in the diagram below, κ- and µ-opioid receptors are naturally concentrated in several areas of the body, including in the brain, brain stem, spinal cord, peripheral nerves, lungs and skin, which are the areas of the body involved in the physiology of chronic cough and chronic pruritus.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45720</wp:posOffset>
            </wp:positionV>
            <wp:extent cx="5460365" cy="4191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60365"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With respect to cough, κ- and µ-opioid receptors in the brain stem, lungs and the peripheral lung nerves are believed to be involved in mediating respiration and the cough reflex. While there are no approved opioid therapeutics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 w:name="page11"/>
    <w:bookmarkEnd w:id="10"/>
    <w:p>
      <w:pPr>
        <w:ind w:right="200"/>
        <w:spacing w:after="0" w:line="261" w:lineRule="auto"/>
        <w:rPr>
          <w:sz w:val="20"/>
          <w:szCs w:val="20"/>
          <w:color w:val="auto"/>
        </w:rPr>
      </w:pPr>
      <w:r>
        <w:rPr>
          <w:rFonts w:ascii="Times New Roman" w:cs="Times New Roman" w:eastAsia="Times New Roman" w:hAnsi="Times New Roman"/>
          <w:sz w:val="18"/>
          <w:szCs w:val="18"/>
          <w:color w:val="auto"/>
        </w:rPr>
        <w:t>suppression of cough in humans, µ-agonist opioids have been used clinically to suppress cough. In addition, the mixed κ-agonist and µ-partial agonist butorphanol is approved and marketed for animals in a veterinary injection and tablet formulation for the relief of chronic non-productive cough and has been found to be 15 to 20 times more active in suppressing cough than either codeine or dextromethorphan. Further, in clinical trials, nalbuphine has demonstrated suppression of fentanyl-induced cough during anesthetic induction in patients.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With respect to pruritus, the sensation of itch and the urge to scratch are known to be mediated by κ- and µ-opioid receptor expression in the reward centers of the brain as well as the spinal cord, skin and peripheral nervous system. Published clinical trials of the κ- agonist nalfurafine have demonstrated effectiveness in reducing uremic pruritus and pruritus secondary to chronic hepatic disease. Nalfurafine is approved and marketed in Japan for both conditions. Korsuva, a selective κ- agonist, has also received approval from the FDA in reducing uremic pruritus in hemodialysis patients. In addition, a number of published clinical trials have reported on the effectiveness of the µ-antagonist naltrexone in reducing pruritus related to hepatic disease and pruritus related to prurigo nodularis.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Haduvio</w:t>
      </w:r>
    </w:p>
    <w:p>
      <w:pPr>
        <w:spacing w:after="0" w:line="121"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a small molecule and a member of the opioid agonist-antagonist class of drugs. Nalbuphine acts as an agonist at the opioid κ-receptor while competitively antagonizing the µ-opioid receptor. Nalbuphine is a marketed drug currently available only as nalbuphine hydrochloride for injection, a generic equivalent to Nubain, which has been approved in the U.S. and Europe for use in the relief of moderate to severe pain for more than 20 years. Nalbuphine is not currently classified as a controlled substance in the U.S. or Europe and is not commercially available in an oral dosage form.</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leveraged the known mechanism and proven biological activity of nalbuphine in pain to expedite the clinical development of Haduvio. We have also drawn on the safety and tolerability data from eight prior clinical trials of Haduvio conducted by Penwest Pharmaceuticals Co., or Penwest, for which we have licensed rights from Endo Pharmaceuticals Inc. (which acquired Penwest) to Haduvio, including two Phase 2 clinical trials of Haduvio for the treatment of pain, to support our clinical development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Haduvio Development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Chronic Cough in IPF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IPF is a rare, chronic, progressive lung disease, characterized by scarring and thickening of lung tissue leading to an irreversible loss of lung function and reduced life expectancy. Most patients diagnosed with IPF suffer from a dry, non-productive chronic cough that interrupts their daily living and contributes to poor quality of life. Chronic coughing can have a debilitating physical and psychosocial burden, exacerbate concomitant respiratory disease, cause loss of sleep and reduce mobility. Cough is an independent predictor of disease progression in IPF, and therefore we believe cough may contribute to the progression of the underlying disease.</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Approximately 140,000 adults in the U.S. and greater than 1 million adults worldwide are believed to have IPF. In addition, up to 85% of IPF patients are reported to suffer from chronic cough. These patients can cough up to 1,500 times per day and the urge to cough cannot be relieved by coughing. This severe coughing can lead to other morbidities. There are no approved therapies for the treatment of chronic cough in patients suffering with IPF.</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opioid class of drugs has demonstrated the ability to suppress cough and is used in the clinical management of cough. There is also preclinical and clinical evidence that mixed agonist-antagonist drugs can also be effective in treating cough.</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Development</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conducted a Phase 2 clinical trial of Haduvio for chronic cough in IPF. Following completion of the Phase 2 clinical trial described below, we had discussions with the FDA and other international regulatory authorities regarding the designs of the next clinical trials of Haduvio for the treatment of chronic cough in IPF. Based on these discussions and the results of our Phase 2 chronic cough in IPF trial, in December 2023, we initiated our Phase 2b CORAL trial of Haduvio for chronic cough in IPF. Subject to agreement with the FDA and other international regulatory authorities, we also intend to initiate a Phase 1b respiratory physiology trial of Haduvio in 2024.</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Ongoing Phase 2b CORAL Clinical Trial</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Phase 2b CORAL clinical trial is a double-blind, randomized, placebo-controlled, parallel-arm trial evaluating three doses of Haduvio (27mg, 54mg and 108mg twice daily) against placebo in IPF patients with chronic cough. This trial is expected to be conducted at multiple sites in up to 11 countries. Approximately 160 IPF patients with chronic cough are expected to be randomized 1:1:1:1 to one of the three Haduvio doses or placebo for a period of six weeks, which includes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11" w:name="page12"/>
    <w:bookmarkEnd w:id="11"/>
    <w:p>
      <w:pPr>
        <w:ind w:right="60"/>
        <w:spacing w:after="0" w:line="256" w:lineRule="auto"/>
        <w:rPr>
          <w:sz w:val="20"/>
          <w:szCs w:val="20"/>
          <w:color w:val="auto"/>
        </w:rPr>
      </w:pPr>
      <w:r>
        <w:rPr>
          <w:rFonts w:ascii="Times New Roman" w:cs="Times New Roman" w:eastAsia="Times New Roman" w:hAnsi="Times New Roman"/>
          <w:sz w:val="18"/>
          <w:szCs w:val="18"/>
          <w:color w:val="auto"/>
        </w:rPr>
        <w:t>an initial two-week titration to the target dose followed by four weeks of fixed dose administration. The primary efficacy endpoint for the trial is the relative change in 24-hour cough frequency at the end of week six versus baseline for Haduvio compared to placebo, as measured via an objective cough monitor. The trial will also explore secondary endpoints, including patient reported outcome measures for cough, dyspnea, and quality of life. The protocol for the Phase 2b CORAL clinical trial provides for an SSRE analysis once approximately 50% of the patients in the trial are evaluable for the primary endpoint. The SSRE is expected to occur in the second half of 2024, and topline data from the full trial are expected to be available in the first half of 2025 assuming there are no adjustments made to the sample size.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Phase 1b Respiratory Physiology Clinical Trial</w:t>
      </w:r>
    </w:p>
    <w:p>
      <w:pPr>
        <w:spacing w:after="0" w:line="225" w:lineRule="exact"/>
        <w:rPr>
          <w:sz w:val="20"/>
          <w:szCs w:val="20"/>
          <w:color w:val="auto"/>
        </w:rPr>
      </w:pPr>
    </w:p>
    <w:p>
      <w:pPr>
        <w:ind w:right="260" w:firstLine="749"/>
        <w:spacing w:after="0" w:line="289" w:lineRule="auto"/>
        <w:rPr>
          <w:sz w:val="20"/>
          <w:szCs w:val="20"/>
          <w:color w:val="auto"/>
        </w:rPr>
      </w:pPr>
      <w:r>
        <w:rPr>
          <w:rFonts w:ascii="Times New Roman" w:cs="Times New Roman" w:eastAsia="Times New Roman" w:hAnsi="Times New Roman"/>
          <w:sz w:val="17"/>
          <w:szCs w:val="17"/>
          <w:color w:val="auto"/>
        </w:rPr>
        <w:t>We expect to have an active IND for our planned Phase 1b clinical trial to evaluate the effect of Haduvio on respiratory physiology in patients with IPF of varying disease severity in the first half of 2024. The objective for this clinical trial is to further characterize the safety of Haduvio in this specific patient population. Subject to agreement with the FDA and other international regulatory authorities, we intend to initiate this trial in 2024.</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Next Steps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need to conduct a Phase 3 program to support the submission of an NDA to the FDA, an MAA to the EMA, and an MAA to the MHRA for Haduvio for the treatment of chronic cough in IPF, and subject to the results of the Phase 2b CORAL clinical trial and the planned Phase 1b trial, expect to request an end of Phase 2 meeting with the FDA following the Phase 2b CORAL trial in 2025. Following discussions with the FDA and other regulatory authorities, we plan to determine next steps with respect to our chronic cough in IPF program, including with respect to the conduct of any future Phase 3 clinical trials.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Phase 2 CANAL Clinical Trial</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we announced positive data from our Phase 2 CANAL trial. The Phase 2 CANAL trial was a randomized, double-blind, placebo-controlled, two-treatment, two-period, crossover study that was designed to evaluate the efficacy, safety, tolerability and dosing of Haduvio for chronic cough in IPF that we conducted at multiple sites in the United Kingdom. Patients were randomized into one of two treatment arms. The patients in the first treatment arm received Haduvio for three weeks, which period was followed by a two-week washout period and then a three-week treatment period during which they received placebo. The patients in the second treatment arm received placebo during the first three-week treatment period, followed by a two-week washout period, then received Haduvio during the second three-week treatment period. During the active treatment periods, Haduvio was studied over a dosing range starting at 27 mg once daily and titrated in steps to 162 mg twice daily. The primary efficacy endpoint of the trial was mean percent change in daytime cough frequency as measured by a cough monitor as compared in the Haduvio treatment periods and the placebo treatment periods. Secondary endpoints in the trial included assessments of fatigue, dyspnea or shortness of breath and cough frequency and severity.</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total, 42 patients in the trial received Haduvio. In the full subject data set, Haduvio demonstrated statistically significant results for the primary efficacy endpoint of daytime cough frequency reduction (p&lt;0.0001) and for key secondary endpoints on patient and clinician reported outcomes. The trial results comparing patients randomized to Haduvio or placebo showed that:</w:t>
      </w:r>
    </w:p>
    <w:p>
      <w:pPr>
        <w:spacing w:after="0" w:line="68" w:lineRule="exact"/>
        <w:rPr>
          <w:sz w:val="20"/>
          <w:szCs w:val="20"/>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primary efficacy endpoint, Haduvio patients had a 75.1% reduction in daytime cough frequency at end of treatment period vs. study baseline compared to placebo patients who had a 22.6% reduction, a 52.5% placebo-adjusted change (p&lt;0.0001);</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patients had a 76.1% reduction in 24-hour cough frequency at end of treatment period vs. study baseline compared to placebo patients who had a 25.3% reduction, a 50.8% placebo-adjusted change (p&lt;0.0001);</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post-hoc analysis, 97% of Haduvio patients had at least a 30% reduction in 24-hour cough frequency compared to 35% of placebo patients, signifying a clinically meaningful reduction in cough (p&lt;0.0001);</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on Haduvio experienced a statistically significant improvement as measured by their patient reported outcomes compared to placebo over the three-week treatment period in the EXACT2: Cough Frequency Score (p=0.001) and Cough Severity Numerical Rating Scale (p=0.0001);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Clinical Global Impression of Change rating measuring clinicians’ view of change since the start of the trial, 62% of Haduvio patients improved vs. baseline compared to 19% of placebo patients (p=0.01).</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safety results of the trial were generally consistent with the known safety profile of Haduvio from previous trials in other patient populations. There were two SAEs reported during the trial, neither of which was considered by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 w:name="page13"/>
    <w:bookmarkEnd w:id="12"/>
    <w:p>
      <w:pPr>
        <w:ind w:right="260"/>
        <w:spacing w:after="0" w:line="282" w:lineRule="auto"/>
        <w:rPr>
          <w:sz w:val="20"/>
          <w:szCs w:val="20"/>
          <w:color w:val="auto"/>
        </w:rPr>
      </w:pPr>
      <w:r>
        <w:rPr>
          <w:rFonts w:ascii="Times New Roman" w:cs="Times New Roman" w:eastAsia="Times New Roman" w:hAnsi="Times New Roman"/>
          <w:sz w:val="18"/>
          <w:szCs w:val="18"/>
          <w:color w:val="auto"/>
        </w:rPr>
        <w:t>investigator to be treatment related. Adverse events most commonly observed during the trial were nausea, fatigue, constipation, dizziness, somnolence, vomiting, headache, anxiety and depression.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RCC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RCC affects up to 10% of the adult population and is defined as a persistent cough lasting more than eight weeks, despite treatment for an underlying condition. RCC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The most common causes of RCC are asthma, GERD, non-asthmatic eosinophilic bronchitis, and upper airway cough syndrome or post-nasal drip, but there are also many cases of RCC in which no cough-associated conditions can be identified. There are no approved therapies for RCC in the United States.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conducting our Phase 2a RIVER clinical trial evaluating Haduvio in RCC patients, which we initiated in November 2023.</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Phase 2a RIVER trial is a double-blind, randomized, placebo-controlled, two period crossover study evaluating the safety and efficacy of Haduvio in reducing chronic cough in RCC patients. Approximately 60 RCC patients are expected to be randomized with a 1:1 stratification between those with 10-19 coughs/hour (moderate 24-hour cough frequency) and those with at least 20 coughs/hour (high 24-hour cough frequency). Each treatment period will last 21 days, separated by a 21-day washout period, and patients on Haduvio will have the dose titrated from 27 mg once a day (QD) up to 108 mg twice a day (BID) across the 21-day dosing period. The primary efficacy endpoint for the trial is the relative change in 24-hour cough frequency at day 21 from treatment period baseline for Haduvio compared to placebo, as measured via an objective cough monitor. The study will also explore secondary endpoints, including patient reported outcome measures for cough frequency and severity.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Prurigo Nodularis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Prurigo nodularis is an intensely pruritic dermatologic condition that constitutes a distinct dermatologic diagnosis. The core symptoms and criteria for diagnosis of prurigo nodularis are chronic pruritus, a history and/or signs of repeated scratching, and the presence of multiple pruriginous lesions. The presence and persistence of these pruriginous lesions are hallmarks of prurigo nodularis and aid in its diagnosis. These lesions are generally symmetrically distributed, intensely itchy papules, nodules or plaques, which may be associated with excoriations and ulcerations. As illustrated below, prurigo nodularis can arise from itch caused by a number of pre-existing conditions, with the initial scratching beginning a vicious itch-scratch cycle that results in the nodules that are characteristic of the distinct and separate disease of prurigo nodularis.</w:t>
      </w:r>
    </w:p>
    <w:p>
      <w:pPr>
        <w:spacing w:after="0" w:line="9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pruritus associated with prurigo nodularis is generally considered to be one of the most severe and treatment-resistant forms of pruritus. In a retrospective study of 108 prurigo nodularis patients published in 2013 in the Journal of the European Academy of Dermatology and Venereology, patients rating their most severe itch over the prior 24 hours reported a median Worst Itch Numerical Rating Scale, or WI-NRS, score of eight and a mean and median duration of prurigo nodularis of 77.5 and 36 months, respectively. As illustrated in the diagram below, the WI-NRS is a patient-reported assessment on an 11-point scale from zero to 10 of the severity of the worst itch experienced in the last 24 hours, and scores of seven or more are considered to indicate severe 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156210</wp:posOffset>
            </wp:positionV>
            <wp:extent cx="4251960" cy="129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196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Patients with prurigo nodularis also typically experience a significant negative impact on their overall quality of life, including severe negative impacts on their confidence at work and in social activities. In a natural history study in 593 patients with prurigo nodularis at the Itch Center, University of Münster in Germany, it was shown that all of the patients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3" w:name="page14"/>
    <w:bookmarkEnd w:id="13"/>
    <w:p>
      <w:pPr>
        <w:ind w:right="100"/>
        <w:spacing w:after="0" w:line="266" w:lineRule="auto"/>
        <w:rPr>
          <w:sz w:val="20"/>
          <w:szCs w:val="20"/>
          <w:color w:val="auto"/>
        </w:rPr>
      </w:pPr>
      <w:r>
        <w:rPr>
          <w:rFonts w:ascii="Times New Roman" w:cs="Times New Roman" w:eastAsia="Times New Roman" w:hAnsi="Times New Roman"/>
          <w:sz w:val="18"/>
          <w:szCs w:val="18"/>
          <w:color w:val="auto"/>
        </w:rPr>
        <w:t>the study had a severe impairment of quality of life, as measured by the Dermatology Life Quality Index, or DLQI, a specific validated quality-of-life measurement that has been used in many different skin condition trials. With increasing intensity of pruritus, the quality of life worsened and DLQI values increased.</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believe there are approximately 300,000 prurigo nodularis patients in the U.S. and approximately 430,000 additional prurigo nodularis patients outside the U.S. Treatment of prurigo nodularis typically involves a multifaceted approach to treat the lesions and reduce pruritus. Therapies may include corticosteroids and other immunosuppressive or anti-inflammatory treatments, phototherapy and drugs such as gabapentin and Lyrica (pregabalin), prescription medicines approved for the treatment of seizures and neuropathic pain, and Dupixent (dupilumab), an injectable prescription medicine, which was approved by the FDA for the treatment of prurigo nodularis in September 2022.</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Development</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conducted a Phase 2 clinical trial and an open-label extension study of Haduvio in pruritus in patients with prurigo nodularis and a Phase 2b/3 clinical trial and an open-label extension study of Haduvio in patients with prurigo nodularis.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Phase 2b/3 PRISM Clinical Trial</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June 2022, we reported positive results in our Phase 2b/3 PRISM trial evaluating the safety and efficacy of Haduvio as compared to placebo in patients with pruritus associated with prurigo nodularis. The trial was a multicenter, randomized, double-blind trial conducted at approximately 70 sites in the U.S. and Europe. The trial enrolled a total of 353 adult patients who had prurigo nodularis. The patients were randomized across two treatment arms: either 162 mg of Haduvio or placebo, each administered twice daily. There were two dosing periods in the trial, both of which were blinded: an initial two-week titration period during which patients received gradually increasing doses of Haduvio or placebo, reaching the final assigned dose on day 15; followed by a 12 week fixed-dosing period. Following the initial 14-week treatment period, patients continued into another two-week blinded titration period during which patients from the placebo arm crossed over to active drug with a standard escalating titration schedule, while patients from the Haduvio arm remained at a stable dose of 162 mg twice daily. This blinded two-week period was followed by an open label extension providing for 36 weeks of stable dosing at 162 mg twice daily of Haduvio for all participants. The open label extension concluded with a final two-week off-treatment washout and safety observation period for all patients.</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primary endpoint of the trial was the proportion of patients reporting at least a four point improvement from baseline to with respect to their worst itch at week 14 as measured by WI-NRS scores. Key secondary endpoints include the mean changes from baseline to week 14 in WI-NRS scores and ItchyQoL scores and the differences in percentage of patients have a one category improvement in the percentage of pruriginous lesions with excoriations or crusts on the PAS at week 14. WI-NRS scores are patient-reported assessments on an 11-point scale from zero to 10 of the severity of the worst itch experienced in the last 24 hours. ItchyQoL scores are used to measure how pruritus impacts a patient’s quality of life.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Efficacy Results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the Phase 2b/3 PRISM trial, Haduvio demonstrated statistically significant results on the primary and all three key secondary endpoints. The trial results comparing patients randomized to Haduvio (n=168) or placebo (n=176) showed that:</w:t>
      </w:r>
    </w:p>
    <w:p>
      <w:pPr>
        <w:spacing w:after="0" w:line="270" w:lineRule="exact"/>
        <w:rPr>
          <w:sz w:val="20"/>
          <w:szCs w:val="20"/>
          <w:color w:val="auto"/>
        </w:rPr>
      </w:pPr>
    </w:p>
    <w:p>
      <w:pPr>
        <w:ind w:left="1020" w:right="3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Haduvio patients evaluated at week 14 met the primary endpoint of a four point reduction in WI-NRS from baseline compared to 14% of placebo patients (p=0.0157);</w:t>
      </w:r>
    </w:p>
    <w:p>
      <w:pPr>
        <w:spacing w:after="0" w:line="53"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patients experienced significantly greater improvements in ItchyQoL vs. placebo (p=0.0002) at week 14, which was statistically significant across each of the three domains (symptoms, functional limitations, and emotions). ItchyQoL is used to measure how pruritus impacts a subject’s quality of life;</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of Haduvio patients had at least a one category improvement in the five point scale in their Prurigo Activity Scale (PAS) (pruriginous lesions with excoriations), vs. 38% on placebo (p=0.006) as evaluated at week 14;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patients experienced significantly greater improvements in PROMIS sleep disturbance short form 8a vs. placebo (p=0.0002) at week 14, which was statistically significant as early as week six.</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Safety Results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Phase 2b/3 PRISM trial, the safety results were generally consistent with the known safety profile of Haduvio from previous trials. During the double-blind titration period (weeks one to two), treatment-emergent adverse events, or TEAE, were more common in the Haduvio-treated patients (66.1%) vs. placebo-treated patients (31.3%). During the 12-week fixed-dose period, the occurrence of TEAEs were generally similar between Haduvio and placebo groups (48% Haduvio, 45% placebo). Discontinuations during the 14 weeks of the trial were 36.9% in Haduvio-treated patients vs. 19.3% in placebo-treated patients. During the 14-week double-blind portion of the Phase 2b/3 PRISM trial, eight patients on Haduvio and six patients on placebo experienced at least one treatment emergent SAE. None of the SAEs were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4" w:name="page15"/>
    <w:bookmarkEnd w:id="14"/>
    <w:p>
      <w:pPr>
        <w:ind w:right="480"/>
        <w:spacing w:after="0" w:line="282" w:lineRule="auto"/>
        <w:rPr>
          <w:sz w:val="20"/>
          <w:szCs w:val="20"/>
          <w:color w:val="auto"/>
        </w:rPr>
      </w:pPr>
      <w:r>
        <w:rPr>
          <w:rFonts w:ascii="Times New Roman" w:cs="Times New Roman" w:eastAsia="Times New Roman" w:hAnsi="Times New Roman"/>
          <w:sz w:val="18"/>
          <w:szCs w:val="18"/>
          <w:color w:val="auto"/>
        </w:rPr>
        <w:t>considered by the investigator to be treatment-related. Adverse events most commonly observed with Haduvio were nausea, dizziness, headache, and constipation.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Open-Label Extension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completed an open-label extension study of our Phase 2b/3 PRISM clinical trial in the first quarter of 2023. Patients who completed the initial 14-week portion of the Phase 2b/3 PRISM clinical trial were able to enroll in the 38-week open-label extension study during which all participants received Haduvio 162mg twice a day (BID). Haduvio was well-tolerated in the open label extension study. Preliminary results from post hoc analyses demonstrated continued reduction in mean WI-NRS for those participants who remained on Haduvio through 52 weeks. Adverse events reported with a frequency greater than five percent in the 38-week open-label period included nausea, dizziness, vomiting, fatigue, and somnolence. Study discontinuation due to adverse events occurred in 13% of patients during the open-label period, and SAEs were reported for 13 patients, although only two of these events were considered potentially treatment related. There were no deaths reported in the study.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Next Steps</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need to conduct an additional Phase 3 clinical trial to support the submission of an NDA to the FDA, a MAA to the EMA, and an MAA to the MHRA for Haduvio for the treatment of prurigo nodularis, and plan to request an end of Phase 2 meeting with the FDA. Following discussions with the FDA and other regulatory authorities, we plan to determine next steps with respect to our prurigo nodularis program, including with respect to the conduct of any future Phase 3 clinical trial. We may seek to enter into a strategic collaboration for the continued development of this program.</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Phase 2 Clinical Trial</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completed a Phase 2 clinical trial in August 2016 evaluating the safety and efficacy of Haduvio as compared to placebo in patients with pruritus associated with prurigo nodularis. The trial was a multicenter, randomized, double-blind trial conducted at eight sites in the U.S. and Europe. The trial enrolled a total of 63 adult patients who had prurigo nodularis for at least six weeks and seven day mean WI-NRS scores of at least five, indicating moderate to severe pruritus. The patients were randomized across three treatment arms: either 162 mg or 81 mg of Haduvio or placebo, each administered twice daily. The baseline seven-day mean WI-NRS scores for the three treatment arms were comparable: 8.05 for the 162 mg arm, 8.46 for the 81 mg arm and 7.96 for the placebo arm.</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endpoint of the trial was the proportion of patients reporting at least a 30% reduction from baseline to week 10 in seven-day mean WI-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NRS scores. We refer to these patients as 30% responders. Key secondary endpoints included:</w:t>
      </w:r>
    </w:p>
    <w:p>
      <w:pPr>
        <w:spacing w:after="0" w:line="9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change in seven-day mean WI-NRS scores from baseline to week 10;</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patients reporting at least a 50% reduction in seven day mean WI-NRS score from baseline to week 10, whom we refer to as 50% responders, which reduction was comparable to a four point reduction in WI-NRS score, the primary efficacy endpoint for our Phase 2b/3 PRISM trial, for patients in the 162 mg arm due to such patients having a mean baseline WI-NRS score of 8.05; and</w:t>
      </w:r>
    </w:p>
    <w:p>
      <w:pPr>
        <w:spacing w:after="0" w:line="6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change from baseline to week 10 in total ItchyQoL score, a 22-question assessment using a severity scale of one to five that measures how pruritus affects patients’ quality of life based on symptoms related to the pruritic condition, their functional limitations, their emotions and observations about their skin disease.</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Efficacy Results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following table summarizes the outcomes of the trial at week 10 for the primary endpoint and key secondary endpoints. The table below also includes results from a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analysis of the 50 patients who completed the 10 week course of treatment, who we refer to as completers. We believe this </w:t>
      </w:r>
      <w:r>
        <w:rPr>
          <w:rFonts w:ascii="Times New Roman" w:cs="Times New Roman" w:eastAsia="Times New Roman" w:hAnsi="Times New Roman"/>
          <w:sz w:val="18"/>
          <w:szCs w:val="18"/>
          <w:i w:val="1"/>
          <w:iCs w:val="1"/>
          <w:color w:val="auto"/>
        </w:rPr>
        <w:t xml:space="preserve">post hoc </w:t>
      </w:r>
      <w:r>
        <w:rPr>
          <w:rFonts w:ascii="Times New Roman" w:cs="Times New Roman" w:eastAsia="Times New Roman" w:hAnsi="Times New Roman"/>
          <w:sz w:val="18"/>
          <w:szCs w:val="18"/>
          <w:color w:val="auto"/>
        </w:rPr>
        <w:t>analysis provides informative data as it eliminates the effects of patient discontinuations. With the small number of patients enrolled in the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patients discontinuing treatment prior to the end of the trial had a substantial impact on the results, even though the number of discontinuations was small in absolute terms. Approximately 75% of the discontinuations in the Haduvio arms occurred in the titration period among patients who had not reached the target dose of Haduvio. During the trial, the discontinuation rate declined as enrollment progressed, which we believe was due to trial sites and investigators gaining experience with Haduvio and the trial.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Haduvio 162 mg</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Haduvio 81 mg</w:t>
            </w:r>
          </w:p>
        </w:tc>
        <w:tc>
          <w:tcPr>
            <w:tcW w:w="20" w:type="dxa"/>
            <w:vAlign w:val="bottom"/>
          </w:tcPr>
          <w:p>
            <w:pPr>
              <w:spacing w:after="0"/>
              <w:rPr>
                <w:sz w:val="13"/>
                <w:szCs w:val="13"/>
                <w:color w:val="auto"/>
              </w:rPr>
            </w:pPr>
          </w:p>
        </w:tc>
        <w:tc>
          <w:tcPr>
            <w:tcW w:w="12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Endpoint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70"/>
              <w:spacing w:after="0" w:line="164" w:lineRule="exact"/>
              <w:rPr>
                <w:sz w:val="20"/>
                <w:szCs w:val="20"/>
                <w:color w:val="auto"/>
              </w:rPr>
            </w:pPr>
            <w:r>
              <w:rPr>
                <w:rFonts w:ascii="Times New Roman" w:cs="Times New Roman" w:eastAsia="Times New Roman" w:hAnsi="Times New Roman"/>
                <w:sz w:val="14"/>
                <w:szCs w:val="14"/>
                <w:color w:val="auto"/>
              </w:rPr>
              <w:t>mITT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n=18</w:t>
            </w:r>
          </w:p>
        </w:tc>
        <w:tc>
          <w:tcPr>
            <w:tcW w:w="120" w:type="dxa"/>
            <w:vAlign w:val="bottom"/>
          </w:tcPr>
          <w:p>
            <w:pPr>
              <w:spacing w:after="0"/>
              <w:rPr>
                <w:sz w:val="14"/>
                <w:szCs w:val="14"/>
                <w:color w:val="auto"/>
              </w:rPr>
            </w:pPr>
          </w:p>
        </w:tc>
        <w:tc>
          <w:tcPr>
            <w:tcW w:w="1060" w:type="dxa"/>
            <w:vAlign w:val="bottom"/>
          </w:tcPr>
          <w:p>
            <w:pPr>
              <w:ind w:left="360"/>
              <w:spacing w:after="0" w:line="164" w:lineRule="exact"/>
              <w:rPr>
                <w:sz w:val="20"/>
                <w:szCs w:val="20"/>
                <w:color w:val="auto"/>
              </w:rPr>
            </w:pPr>
            <w:r>
              <w:rPr>
                <w:rFonts w:ascii="Times New Roman" w:cs="Times New Roman" w:eastAsia="Times New Roman" w:hAnsi="Times New Roman"/>
                <w:sz w:val="14"/>
                <w:szCs w:val="14"/>
                <w:color w:val="auto"/>
              </w:rPr>
              <w:t>mITT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n=22</w:t>
            </w:r>
          </w:p>
        </w:tc>
        <w:tc>
          <w:tcPr>
            <w:tcW w:w="20" w:type="dxa"/>
            <w:vAlign w:val="bottom"/>
          </w:tcPr>
          <w:p>
            <w:pPr>
              <w:spacing w:after="0"/>
              <w:rPr>
                <w:sz w:val="14"/>
                <w:szCs w:val="14"/>
                <w:color w:val="auto"/>
              </w:rPr>
            </w:pPr>
          </w:p>
        </w:tc>
        <w:tc>
          <w:tcPr>
            <w:tcW w:w="980" w:type="dxa"/>
            <w:vAlign w:val="bottom"/>
          </w:tcPr>
          <w:p>
            <w:pPr>
              <w:ind w:left="340"/>
              <w:spacing w:after="0" w:line="164" w:lineRule="exact"/>
              <w:rPr>
                <w:sz w:val="20"/>
                <w:szCs w:val="20"/>
                <w:color w:val="auto"/>
              </w:rPr>
            </w:pPr>
            <w:r>
              <w:rPr>
                <w:rFonts w:ascii="Times New Roman" w:cs="Times New Roman" w:eastAsia="Times New Roman" w:hAnsi="Times New Roman"/>
                <w:sz w:val="14"/>
                <w:szCs w:val="14"/>
                <w:color w:val="auto"/>
              </w:rPr>
              <w:t>mITT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n=22</w:t>
            </w:r>
          </w:p>
        </w:tc>
        <w:tc>
          <w:tcPr>
            <w:tcW w:w="0" w:type="dxa"/>
            <w:vAlign w:val="bottom"/>
          </w:tcPr>
          <w:p>
            <w:pPr>
              <w:spacing w:after="0"/>
              <w:rPr>
                <w:sz w:val="1"/>
                <w:szCs w:val="1"/>
                <w:color w:val="auto"/>
              </w:rPr>
            </w:pPr>
          </w:p>
        </w:tc>
      </w:tr>
      <w:tr>
        <w:trPr>
          <w:trHeight w:val="189"/>
        </w:trPr>
        <w:tc>
          <w:tcPr>
            <w:tcW w:w="4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4"/>
                <w:szCs w:val="14"/>
                <w:color w:val="auto"/>
              </w:rPr>
              <w:t>Completers</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w:t>
            </w:r>
          </w:p>
        </w:tc>
        <w:tc>
          <w:tcPr>
            <w:tcW w:w="1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n=12</w:t>
            </w:r>
          </w:p>
        </w:tc>
        <w:tc>
          <w:tcPr>
            <w:tcW w:w="120" w:type="dxa"/>
            <w:vAlign w:val="bottom"/>
          </w:tcPr>
          <w:p>
            <w:pPr>
              <w:spacing w:after="0"/>
              <w:rPr>
                <w:sz w:val="16"/>
                <w:szCs w:val="16"/>
                <w:color w:val="auto"/>
              </w:rPr>
            </w:pPr>
          </w:p>
        </w:tc>
        <w:tc>
          <w:tcPr>
            <w:tcW w:w="1220" w:type="dxa"/>
            <w:vAlign w:val="bottom"/>
            <w:gridSpan w:val="2"/>
          </w:tcPr>
          <w:p>
            <w:pPr>
              <w:jc w:val="center"/>
              <w:ind w:left="230"/>
              <w:spacing w:after="0" w:line="189" w:lineRule="exact"/>
              <w:rPr>
                <w:sz w:val="20"/>
                <w:szCs w:val="20"/>
                <w:color w:val="auto"/>
              </w:rPr>
            </w:pPr>
            <w:r>
              <w:rPr>
                <w:rFonts w:ascii="Times New Roman" w:cs="Times New Roman" w:eastAsia="Times New Roman" w:hAnsi="Times New Roman"/>
                <w:sz w:val="14"/>
                <w:szCs w:val="14"/>
                <w:color w:val="auto"/>
                <w:w w:val="96"/>
              </w:rPr>
              <w:t>Completers</w:t>
            </w:r>
            <w:r>
              <w:rPr>
                <w:rFonts w:ascii="Times New Roman" w:cs="Times New Roman" w:eastAsia="Times New Roman" w:hAnsi="Times New Roman"/>
                <w:sz w:val="19"/>
                <w:szCs w:val="19"/>
                <w:color w:val="auto"/>
                <w:w w:val="96"/>
                <w:vertAlign w:val="superscript"/>
              </w:rPr>
              <w:t>(2)</w:t>
            </w:r>
            <w:r>
              <w:rPr>
                <w:rFonts w:ascii="Times New Roman" w:cs="Times New Roman" w:eastAsia="Times New Roman" w:hAnsi="Times New Roman"/>
                <w:sz w:val="14"/>
                <w:szCs w:val="14"/>
                <w:color w:val="auto"/>
                <w:w w:val="96"/>
              </w:rPr>
              <w:t xml:space="preserve"> :</w:t>
            </w:r>
          </w:p>
        </w:tc>
        <w:tc>
          <w:tcPr>
            <w:tcW w:w="9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n=18</w:t>
            </w:r>
          </w:p>
        </w:tc>
        <w:tc>
          <w:tcPr>
            <w:tcW w:w="20" w:type="dxa"/>
            <w:vAlign w:val="bottom"/>
          </w:tcPr>
          <w:p>
            <w:pPr>
              <w:spacing w:after="0"/>
              <w:rPr>
                <w:sz w:val="16"/>
                <w:szCs w:val="16"/>
                <w:color w:val="auto"/>
              </w:rPr>
            </w:pPr>
          </w:p>
        </w:tc>
        <w:tc>
          <w:tcPr>
            <w:tcW w:w="1240" w:type="dxa"/>
            <w:vAlign w:val="bottom"/>
            <w:gridSpan w:val="3"/>
          </w:tcPr>
          <w:p>
            <w:pPr>
              <w:ind w:left="320"/>
              <w:spacing w:after="0" w:line="189" w:lineRule="exact"/>
              <w:rPr>
                <w:sz w:val="20"/>
                <w:szCs w:val="20"/>
                <w:color w:val="auto"/>
              </w:rPr>
            </w:pPr>
            <w:r>
              <w:rPr>
                <w:rFonts w:ascii="Times New Roman" w:cs="Times New Roman" w:eastAsia="Times New Roman" w:hAnsi="Times New Roman"/>
                <w:sz w:val="14"/>
                <w:szCs w:val="14"/>
                <w:color w:val="auto"/>
              </w:rPr>
              <w:t>Completers</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w:t>
            </w:r>
          </w:p>
        </w:tc>
        <w:tc>
          <w:tcPr>
            <w:tcW w:w="8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n=20</w:t>
            </w:r>
          </w:p>
        </w:tc>
        <w:tc>
          <w:tcPr>
            <w:tcW w:w="0" w:type="dxa"/>
            <w:vAlign w:val="bottom"/>
          </w:tcPr>
          <w:p>
            <w:pPr>
              <w:spacing w:after="0"/>
              <w:rPr>
                <w:sz w:val="1"/>
                <w:szCs w:val="1"/>
                <w:color w:val="auto"/>
              </w:rPr>
            </w:pPr>
          </w:p>
        </w:tc>
      </w:tr>
      <w:tr>
        <w:trPr>
          <w:trHeight w:val="169"/>
        </w:trPr>
        <w:tc>
          <w:tcPr>
            <w:tcW w:w="4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4"/>
                <w:szCs w:val="14"/>
                <w:i w:val="1"/>
                <w:iCs w:val="1"/>
                <w:color w:val="auto"/>
              </w:rPr>
              <w:t>p-value</w:t>
            </w:r>
            <w:r>
              <w:rPr>
                <w:rFonts w:ascii="Times New Roman" w:cs="Times New Roman" w:eastAsia="Times New Roman" w:hAnsi="Times New Roman"/>
                <w:sz w:val="19"/>
                <w:szCs w:val="19"/>
                <w:i w:val="1"/>
                <w:iCs w:val="1"/>
                <w:color w:val="auto"/>
                <w:vertAlign w:val="superscript"/>
              </w:rPr>
              <w:t>(3)</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40"/>
              <w:spacing w:after="0" w:line="169" w:lineRule="exact"/>
              <w:rPr>
                <w:sz w:val="20"/>
                <w:szCs w:val="20"/>
                <w:color w:val="auto"/>
              </w:rPr>
            </w:pPr>
            <w:r>
              <w:rPr>
                <w:rFonts w:ascii="Times New Roman" w:cs="Times New Roman" w:eastAsia="Times New Roman" w:hAnsi="Times New Roman"/>
                <w:sz w:val="14"/>
                <w:szCs w:val="14"/>
                <w:i w:val="1"/>
                <w:iCs w:val="1"/>
                <w:color w:val="auto"/>
              </w:rPr>
              <w:t>p-value</w:t>
            </w:r>
            <w:r>
              <w:rPr>
                <w:rFonts w:ascii="Times New Roman" w:cs="Times New Roman" w:eastAsia="Times New Roman" w:hAnsi="Times New Roman"/>
                <w:sz w:val="19"/>
                <w:szCs w:val="19"/>
                <w:i w:val="1"/>
                <w:iCs w:val="1"/>
                <w:color w:val="auto"/>
                <w:vertAlign w:val="superscript"/>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Responder Analyses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30% responders in mITT population</w:t>
            </w:r>
            <w:r>
              <w:rPr>
                <w:rFonts w:ascii="Times New Roman" w:cs="Times New Roman" w:eastAsia="Times New Roman" w:hAnsi="Times New Roman"/>
                <w:sz w:val="24"/>
                <w:szCs w:val="24"/>
                <w:color w:val="auto"/>
                <w:vertAlign w:val="superscript"/>
              </w:rPr>
              <w:t>(4)</w:t>
            </w:r>
          </w:p>
        </w:tc>
        <w:tc>
          <w:tcPr>
            <w:tcW w:w="16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p=0.323</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0"/>
              </w:rPr>
              <w:t>27 %</w:t>
            </w:r>
          </w:p>
        </w:tc>
        <w:tc>
          <w:tcPr>
            <w:tcW w:w="160" w:type="dxa"/>
            <w:vAlign w:val="bottom"/>
          </w:tcPr>
          <w:p>
            <w:pPr>
              <w:spacing w:after="0"/>
              <w:rPr>
                <w:sz w:val="21"/>
                <w:szCs w:val="21"/>
                <w:color w:val="auto"/>
              </w:rPr>
            </w:pP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p=0.779</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Post hoc </w:t>
            </w:r>
            <w:r>
              <w:rPr>
                <w:rFonts w:ascii="Times New Roman" w:cs="Times New Roman" w:eastAsia="Times New Roman" w:hAnsi="Times New Roman"/>
                <w:sz w:val="18"/>
                <w:szCs w:val="18"/>
                <w:color w:val="auto"/>
              </w:rPr>
              <w:t>analysis of 30% responders 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completer population</w:t>
            </w:r>
          </w:p>
        </w:tc>
        <w:tc>
          <w:tcPr>
            <w:tcW w:w="16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p=0.026</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0"/>
              </w:rPr>
              <w:t>33 %</w:t>
            </w:r>
          </w:p>
        </w:tc>
        <w:tc>
          <w:tcPr>
            <w:tcW w:w="160" w:type="dxa"/>
            <w:vAlign w:val="bottom"/>
          </w:tcPr>
          <w:p>
            <w:pPr>
              <w:spacing w:after="0"/>
              <w:rPr>
                <w:sz w:val="20"/>
                <w:szCs w:val="20"/>
                <w:color w:val="auto"/>
              </w:rPr>
            </w:pP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p=0.723</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 responders in mITT population</w:t>
            </w:r>
          </w:p>
        </w:tc>
        <w:tc>
          <w:tcPr>
            <w:tcW w:w="16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p=0.083</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0"/>
              </w:rPr>
              <w:t>14 %</w:t>
            </w:r>
          </w:p>
        </w:tc>
        <w:tc>
          <w:tcPr>
            <w:tcW w:w="160" w:type="dxa"/>
            <w:vAlign w:val="bottom"/>
          </w:tcPr>
          <w:p>
            <w:pPr>
              <w:spacing w:after="0"/>
              <w:rPr>
                <w:sz w:val="21"/>
                <w:szCs w:val="21"/>
                <w:color w:val="auto"/>
              </w:rPr>
            </w:pP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p=0.981</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Post hoc </w:t>
            </w:r>
            <w:r>
              <w:rPr>
                <w:rFonts w:ascii="Times New Roman" w:cs="Times New Roman" w:eastAsia="Times New Roman" w:hAnsi="Times New Roman"/>
                <w:sz w:val="18"/>
                <w:szCs w:val="18"/>
                <w:color w:val="auto"/>
              </w:rPr>
              <w:t>analysis of 50% responders in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completer population (comparable in 162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mg arm to a 4-point reduction in WI-NRS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score)</w:t>
            </w:r>
          </w:p>
        </w:tc>
        <w:tc>
          <w:tcPr>
            <w:tcW w:w="16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p=0.028</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0"/>
              </w:rPr>
              <w:t>11 %</w:t>
            </w:r>
          </w:p>
        </w:tc>
        <w:tc>
          <w:tcPr>
            <w:tcW w:w="160" w:type="dxa"/>
            <w:vAlign w:val="bottom"/>
          </w:tcPr>
          <w:p>
            <w:pPr>
              <w:spacing w:after="0"/>
              <w:rPr>
                <w:sz w:val="20"/>
                <w:szCs w:val="20"/>
                <w:color w:val="auto"/>
              </w:rPr>
            </w:pP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p=0.649</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485"/>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Haduvio 162 mg</w:t>
            </w:r>
          </w:p>
        </w:tc>
        <w:tc>
          <w:tcPr>
            <w:tcW w:w="120" w:type="dxa"/>
            <w:vAlign w:val="bottom"/>
          </w:tcPr>
          <w:p>
            <w:pPr>
              <w:spacing w:after="0"/>
              <w:rPr>
                <w:sz w:val="24"/>
                <w:szCs w:val="24"/>
                <w:color w:val="auto"/>
              </w:rPr>
            </w:pPr>
          </w:p>
        </w:tc>
        <w:tc>
          <w:tcPr>
            <w:tcW w:w="22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Haduvio 81mg</w:t>
            </w:r>
          </w:p>
        </w:tc>
        <w:tc>
          <w:tcPr>
            <w:tcW w:w="20" w:type="dxa"/>
            <w:vAlign w:val="bottom"/>
          </w:tcPr>
          <w:p>
            <w:pPr>
              <w:spacing w:after="0"/>
              <w:rPr>
                <w:sz w:val="24"/>
                <w:szCs w:val="24"/>
                <w:color w:val="auto"/>
              </w:rPr>
            </w:pPr>
          </w:p>
        </w:tc>
        <w:tc>
          <w:tcPr>
            <w:tcW w:w="12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Endpoint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mITT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w w:val="85"/>
              </w:rPr>
              <w:t>(2)</w:t>
            </w:r>
          </w:p>
        </w:tc>
        <w:tc>
          <w:tcPr>
            <w:tcW w:w="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n=18</w:t>
            </w:r>
          </w:p>
        </w:tc>
        <w:tc>
          <w:tcPr>
            <w:tcW w:w="120" w:type="dxa"/>
            <w:vAlign w:val="bottom"/>
          </w:tcPr>
          <w:p>
            <w:pPr>
              <w:spacing w:after="0"/>
              <w:rPr>
                <w:sz w:val="21"/>
                <w:szCs w:val="21"/>
                <w:color w:val="auto"/>
              </w:rPr>
            </w:pPr>
          </w:p>
        </w:tc>
        <w:tc>
          <w:tcPr>
            <w:tcW w:w="10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mITT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4"/>
              </w:rPr>
              <w:t>(2 )</w:t>
            </w: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n=22</w:t>
            </w:r>
          </w:p>
        </w:tc>
        <w:tc>
          <w:tcPr>
            <w:tcW w:w="20" w:type="dxa"/>
            <w:vAlign w:val="bottom"/>
          </w:tcPr>
          <w:p>
            <w:pPr>
              <w:spacing w:after="0"/>
              <w:rPr>
                <w:sz w:val="21"/>
                <w:szCs w:val="21"/>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mITT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n=22</w:t>
            </w: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Completers</w:t>
            </w:r>
          </w:p>
        </w:tc>
        <w:tc>
          <w:tcPr>
            <w:tcW w:w="1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0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2"/>
                <w:szCs w:val="12"/>
                <w:color w:val="auto"/>
              </w:rPr>
              <w:t>n=12</w:t>
            </w:r>
          </w:p>
        </w:tc>
        <w:tc>
          <w:tcPr>
            <w:tcW w:w="120" w:type="dxa"/>
            <w:vAlign w:val="bottom"/>
          </w:tcPr>
          <w:p>
            <w:pPr>
              <w:spacing w:after="0"/>
              <w:rPr>
                <w:sz w:val="9"/>
                <w:szCs w:val="9"/>
                <w:color w:val="auto"/>
              </w:rPr>
            </w:pPr>
          </w:p>
        </w:tc>
        <w:tc>
          <w:tcPr>
            <w:tcW w:w="1060" w:type="dxa"/>
            <w:vAlign w:val="bottom"/>
          </w:tcPr>
          <w:p>
            <w:pPr>
              <w:ind w:left="400"/>
              <w:spacing w:after="0" w:line="108" w:lineRule="exact"/>
              <w:rPr>
                <w:sz w:val="20"/>
                <w:szCs w:val="20"/>
                <w:color w:val="auto"/>
              </w:rPr>
            </w:pPr>
            <w:r>
              <w:rPr>
                <w:rFonts w:ascii="Times New Roman" w:cs="Times New Roman" w:eastAsia="Times New Roman" w:hAnsi="Times New Roman"/>
                <w:sz w:val="12"/>
                <w:szCs w:val="12"/>
                <w:color w:val="auto"/>
              </w:rPr>
              <w:t>Completers</w:t>
            </w:r>
          </w:p>
        </w:tc>
        <w:tc>
          <w:tcPr>
            <w:tcW w:w="160" w:type="dxa"/>
            <w:vAlign w:val="bottom"/>
          </w:tcPr>
          <w:p>
            <w:pPr>
              <w:spacing w:after="0"/>
              <w:rPr>
                <w:sz w:val="9"/>
                <w:szCs w:val="9"/>
                <w:color w:val="auto"/>
              </w:rPr>
            </w:pPr>
          </w:p>
        </w:tc>
        <w:tc>
          <w:tcPr>
            <w:tcW w:w="980" w:type="dxa"/>
            <w:vAlign w:val="bottom"/>
            <w:gridSpan w:val="3"/>
          </w:tcPr>
          <w:p>
            <w:pPr>
              <w:jc w:val="center"/>
              <w:ind w:right="460"/>
              <w:spacing w:after="0" w:line="108" w:lineRule="exact"/>
              <w:rPr>
                <w:sz w:val="20"/>
                <w:szCs w:val="20"/>
                <w:color w:val="auto"/>
              </w:rPr>
            </w:pPr>
            <w:r>
              <w:rPr>
                <w:rFonts w:ascii="Times New Roman" w:cs="Times New Roman" w:eastAsia="Times New Roman" w:hAnsi="Times New Roman"/>
                <w:sz w:val="12"/>
                <w:szCs w:val="12"/>
                <w:color w:val="auto"/>
              </w:rPr>
              <w:t>:  n=18</w:t>
            </w:r>
          </w:p>
        </w:tc>
        <w:tc>
          <w:tcPr>
            <w:tcW w:w="20" w:type="dxa"/>
            <w:vAlign w:val="bottom"/>
          </w:tcPr>
          <w:p>
            <w:pPr>
              <w:spacing w:after="0"/>
              <w:rPr>
                <w:sz w:val="9"/>
                <w:szCs w:val="9"/>
                <w:color w:val="auto"/>
              </w:rPr>
            </w:pPr>
          </w:p>
        </w:tc>
        <w:tc>
          <w:tcPr>
            <w:tcW w:w="980" w:type="dxa"/>
            <w:vAlign w:val="bottom"/>
          </w:tcPr>
          <w:p>
            <w:pPr>
              <w:ind w:left="320"/>
              <w:spacing w:after="0" w:line="108" w:lineRule="exact"/>
              <w:rPr>
                <w:sz w:val="20"/>
                <w:szCs w:val="20"/>
                <w:color w:val="auto"/>
              </w:rPr>
            </w:pPr>
            <w:r>
              <w:rPr>
                <w:rFonts w:ascii="Times New Roman" w:cs="Times New Roman" w:eastAsia="Times New Roman" w:hAnsi="Times New Roman"/>
                <w:sz w:val="12"/>
                <w:szCs w:val="12"/>
                <w:color w:val="auto"/>
              </w:rPr>
              <w:t>Completers</w:t>
            </w:r>
          </w:p>
        </w:tc>
        <w:tc>
          <w:tcPr>
            <w:tcW w:w="1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860" w:type="dxa"/>
            <w:vAlign w:val="bottom"/>
            <w:gridSpan w:val="3"/>
          </w:tcPr>
          <w:p>
            <w:pPr>
              <w:jc w:val="right"/>
              <w:ind w:right="480"/>
              <w:spacing w:after="0" w:line="108" w:lineRule="exact"/>
              <w:rPr>
                <w:sz w:val="20"/>
                <w:szCs w:val="20"/>
                <w:color w:val="auto"/>
              </w:rPr>
            </w:pPr>
            <w:r>
              <w:rPr>
                <w:rFonts w:ascii="Times New Roman" w:cs="Times New Roman" w:eastAsia="Times New Roman" w:hAnsi="Times New Roman"/>
                <w:sz w:val="12"/>
                <w:szCs w:val="12"/>
                <w:color w:val="auto"/>
              </w:rPr>
              <w:t>n=20</w:t>
            </w:r>
          </w:p>
        </w:tc>
        <w:tc>
          <w:tcPr>
            <w:tcW w:w="0" w:type="dxa"/>
            <w:vAlign w:val="bottom"/>
          </w:tcPr>
          <w:p>
            <w:pPr>
              <w:spacing w:after="0"/>
              <w:rPr>
                <w:sz w:val="1"/>
                <w:szCs w:val="1"/>
                <w:color w:val="auto"/>
              </w:rPr>
            </w:pPr>
          </w:p>
        </w:tc>
      </w:tr>
      <w:tr>
        <w:trPr>
          <w:trHeight w:val="169"/>
        </w:trPr>
        <w:tc>
          <w:tcPr>
            <w:tcW w:w="4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4"/>
                <w:szCs w:val="14"/>
                <w:i w:val="1"/>
                <w:iCs w:val="1"/>
                <w:color w:val="auto"/>
              </w:rPr>
              <w:t>p-value</w:t>
            </w:r>
            <w:r>
              <w:rPr>
                <w:rFonts w:ascii="Times New Roman" w:cs="Times New Roman" w:eastAsia="Times New Roman" w:hAnsi="Times New Roman"/>
                <w:sz w:val="19"/>
                <w:szCs w:val="19"/>
                <w:i w:val="1"/>
                <w:iCs w:val="1"/>
                <w:color w:val="auto"/>
                <w:vertAlign w:val="superscript"/>
              </w:rPr>
              <w:t>(3)</w:t>
            </w: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4"/>
                <w:szCs w:val="14"/>
                <w:i w:val="1"/>
                <w:iCs w:val="1"/>
                <w:color w:val="auto"/>
              </w:rPr>
              <w:t>p-value</w:t>
            </w:r>
            <w:r>
              <w:rPr>
                <w:rFonts w:ascii="Times New Roman" w:cs="Times New Roman" w:eastAsia="Times New Roman" w:hAnsi="Times New Roman"/>
                <w:sz w:val="19"/>
                <w:szCs w:val="19"/>
                <w:i w:val="1"/>
                <w:iCs w:val="1"/>
                <w:color w:val="auto"/>
                <w:vertAlign w:val="superscript"/>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Key Analyses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Mean change in seven-day mean WI-NRS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scores in mITT population</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7"/>
              </w:rPr>
              <w:t>p=0.083</w:t>
            </w:r>
          </w:p>
        </w:tc>
        <w:tc>
          <w:tcPr>
            <w:tcW w:w="11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5"/>
              </w:rPr>
              <w:t>(2.14 )</w:t>
            </w:r>
          </w:p>
        </w:tc>
        <w:tc>
          <w:tcPr>
            <w:tcW w:w="160" w:type="dxa"/>
            <w:vAlign w:val="bottom"/>
          </w:tcPr>
          <w:p>
            <w:pPr>
              <w:spacing w:after="0"/>
              <w:rPr>
                <w:sz w:val="20"/>
                <w:szCs w:val="20"/>
                <w:color w:val="auto"/>
              </w:rPr>
            </w:pP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p=0.354</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Post hoc </w:t>
            </w:r>
            <w:r>
              <w:rPr>
                <w:rFonts w:ascii="Times New Roman" w:cs="Times New Roman" w:eastAsia="Times New Roman" w:hAnsi="Times New Roman"/>
                <w:sz w:val="18"/>
                <w:szCs w:val="18"/>
                <w:color w:val="auto"/>
              </w:rPr>
              <w:t>analysis of mean change in seven</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-day mean WI-NRS scores in completer</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population</w:t>
            </w:r>
          </w:p>
        </w:tc>
        <w:tc>
          <w:tcPr>
            <w:tcW w:w="1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7"/>
              </w:rPr>
              <w:t>p=0.025</w:t>
            </w:r>
          </w:p>
        </w:tc>
        <w:tc>
          <w:tcPr>
            <w:tcW w:w="118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5"/>
              </w:rPr>
              <w:t>(2.52 )</w:t>
            </w:r>
          </w:p>
        </w:tc>
        <w:tc>
          <w:tcPr>
            <w:tcW w:w="160" w:type="dxa"/>
            <w:vAlign w:val="bottom"/>
            <w:shd w:val="clear" w:color="auto" w:fill="CFF0FC"/>
          </w:tcPr>
          <w:p>
            <w:pPr>
              <w:spacing w:after="0"/>
              <w:rPr>
                <w:sz w:val="21"/>
                <w:szCs w:val="21"/>
                <w:color w:val="auto"/>
              </w:rPr>
            </w:pPr>
          </w:p>
        </w:tc>
        <w:tc>
          <w:tcPr>
            <w:tcW w:w="9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p=0.491</w:t>
            </w:r>
          </w:p>
        </w:tc>
        <w:tc>
          <w:tcPr>
            <w:tcW w:w="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Mean change in total ItchyQoL score 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mITT population</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7"/>
              </w:rPr>
              <w:t>p=0.022</w:t>
            </w:r>
          </w:p>
        </w:tc>
        <w:tc>
          <w:tcPr>
            <w:tcW w:w="11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5"/>
              </w:rPr>
              <w:t>(7.79 )</w:t>
            </w:r>
          </w:p>
        </w:tc>
        <w:tc>
          <w:tcPr>
            <w:tcW w:w="160" w:type="dxa"/>
            <w:vAlign w:val="bottom"/>
          </w:tcPr>
          <w:p>
            <w:pPr>
              <w:spacing w:after="0"/>
              <w:rPr>
                <w:sz w:val="19"/>
                <w:szCs w:val="19"/>
                <w:color w:val="auto"/>
              </w:rPr>
            </w:pP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p=0.373</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-2957195</wp:posOffset>
            </wp:positionV>
            <wp:extent cx="71323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-2511425</wp:posOffset>
            </wp:positionV>
            <wp:extent cx="7132320" cy="565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modified intention to treat population, which consists of all of the patients who were randomized and commenced dosing.</w:t>
      </w:r>
    </w:p>
    <w:p>
      <w:pPr>
        <w:spacing w:after="0" w:line="1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patients who completed the 10-week course of treatment.</w:t>
      </w:r>
    </w:p>
    <w:p>
      <w:pPr>
        <w:spacing w:after="0" w:line="1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p-values compare treatment group to placebo. Only the primary endpoint was powered for statistical significance.</w:t>
      </w:r>
    </w:p>
    <w:p>
      <w:pPr>
        <w:spacing w:after="0" w:line="1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Primary endpoint of the trial.</w:t>
      </w:r>
    </w:p>
    <w:p>
      <w:pPr>
        <w:spacing w:after="0" w:line="23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the trial, a significantly greater number of patients reported improvement in WI-NRS with 50% of the completers in the 162 mg arm reported at least a 50% reduction in WI-NRS score from baseline, as compared to 20% of the completers in the placebo arm (p=0.028), although this analysis was not powered for statistical significance. Importantly, the patients in the 162 mg arm had a mean baseline WI-NRS score of 8.05; therefore a 50% reduction in WI-NRS score from baseline for patients in this arm was comparable to a four point reduction in WI-NRS score, the primary efficacy endpoint of our ongoing Phase 2b/3 PRISM trial. While the primary endpoint of the trial demonstrated a numerical but not statistically significant difference in the 162 mg arm, we believe the results for the key secondary endpoint of the proportion of patients reporting at least a 50% reduction in WI-NRS score from baseline, and the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analysis, allow us to better understand the response of patients with prurigo nodularis to Haduvio and indicate that responders to Haduvio took the higher dose (162 mg) for longer (completers) and had a greater reduction in WI-NRS.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Safety Results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Haduvio was well tolerated in the trial. No SAEs were assessed as related to Haduvio. Two patients experienced SAEs that were assessed as unlikely to be related to Haduvio, including one patient in the Haduvio 81 mg arm of the trial whose SAEs occurred in connection with a car accident and one patient in the placebo arm with acute myeloid leukemia by bone marrow who experienced leukocytosis. The majority of treatment emergent adverse events, or TEAEs, occurred during the titration period. During the titration period, 73% of Haduvio-treated patients experienced one or more adverse events, as compared to 46% of patients receiving placebo.</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most common TEAEs experienced by patients in the trial, indicating the percentage of the modified intention to treat, or mITT, population of each arm that reported each such TEAE, subdivided by the grade of the reported TEAEs. Grade refers to the severity of the TEAE, with grade 1 TEAEs generally including mild or asymptomatic conditions or clinical or diagnostic observations only, grade two TEAEs generally including moderate events or minimal, local or noninvasive intervention events and grade three TEAEs generally including severe or medically significant events that are not immediately life-threatening, events requiring hospitalization or prolongation of hospitalization or disabling events. There were no grade four or grade five TEAEs reported in the trial, which would generally include life-threatening or urgent intervention events and deaths. Patients were able to report multiple TEAEs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5" w:right="279" w:bottom="1440" w:gutter="0" w:footer="0" w:header="0"/>
        </w:sectPr>
      </w:pPr>
    </w:p>
    <w:bookmarkStart w:id="16" w:name="page17"/>
    <w:bookmarkEnd w:id="16"/>
    <w:p>
      <w:pPr>
        <w:ind w:right="240"/>
        <w:spacing w:after="0" w:line="282" w:lineRule="auto"/>
        <w:rPr>
          <w:sz w:val="20"/>
          <w:szCs w:val="20"/>
          <w:color w:val="auto"/>
        </w:rPr>
      </w:pPr>
      <w:r>
        <w:rPr>
          <w:rFonts w:ascii="Times New Roman" w:cs="Times New Roman" w:eastAsia="Times New Roman" w:hAnsi="Times New Roman"/>
          <w:sz w:val="18"/>
          <w:szCs w:val="18"/>
          <w:color w:val="auto"/>
        </w:rPr>
        <w:t>and, as a result, the percentages specified below for each arm or grade do not necessarily represent the percentage of patients in the arm that experienced any TEAE or any grade of any TEAE.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TEAE</w:t>
            </w:r>
          </w:p>
        </w:tc>
        <w:tc>
          <w:tcPr>
            <w:tcW w:w="120" w:type="dxa"/>
            <w:vAlign w:val="bottom"/>
          </w:tcPr>
          <w:p>
            <w:pPr>
              <w:spacing w:after="0"/>
              <w:rPr>
                <w:sz w:val="13"/>
                <w:szCs w:val="13"/>
                <w:color w:val="auto"/>
              </w:rPr>
            </w:pPr>
          </w:p>
        </w:tc>
        <w:tc>
          <w:tcPr>
            <w:tcW w:w="2180" w:type="dxa"/>
            <w:vAlign w:val="bottom"/>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Haduvio 162 mg</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Haduvio 81 mg</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(n=18)</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(n=22)</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Grade</w:t>
            </w:r>
          </w:p>
        </w:tc>
        <w:tc>
          <w:tcPr>
            <w:tcW w:w="11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Dizziness</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28 %</w:t>
            </w: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14 %</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9 %</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Nausea</w:t>
            </w: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17 %</w:t>
            </w:r>
          </w:p>
        </w:tc>
        <w:tc>
          <w:tcPr>
            <w:tcW w:w="11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22 %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9 %</w:t>
            </w:r>
          </w:p>
        </w:tc>
        <w:tc>
          <w:tcPr>
            <w:tcW w:w="112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9 %</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Headache</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11 %</w:t>
            </w: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17 %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9 %</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18 %</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5 %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Fatigue</w:t>
            </w: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11 %</w:t>
            </w:r>
          </w:p>
        </w:tc>
        <w:tc>
          <w:tcPr>
            <w:tcW w:w="1160" w:type="dxa"/>
            <w:vAlign w:val="bottom"/>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14 %</w:t>
            </w:r>
          </w:p>
        </w:tc>
        <w:tc>
          <w:tcPr>
            <w:tcW w:w="112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5 %</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Open-Label Extension Study</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completed a one year open-label extension study of our Phase 2 clinical trial in patients with prurigo nodularis in July 2017. Patients who completed the Phase 2 clinical trial were able to enroll in the extension study following a safety washout period.</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Haduvio was well-tolerated in the open-label extension study. The most frequent adverse events related to study drug were nausea and dizziness, which were reported in seven patients (19%) each, and fatigue, which was reported in six patients (17%). There were no treatment emergent SAEs reported that were considered related to study drug and the majority of adverse events were grade one or grade two in severity. There were no deaths reported in the study.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Ongoing Haduvio Development Work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Human Abuse Potential Study</w:t>
      </w:r>
    </w:p>
    <w:p>
      <w:pPr>
        <w:spacing w:after="0" w:line="119"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We initiated a human abuse potential, or HAP, study in the fourth quarter of 2022 to compare the abuse potential of oral nalbuphine to IV butorphanol. The injectable version of nalbuphine is currently unscheduled in the U.S. by the Drug Enforcement Agency. The study follows a randomized, double-blind, active and placebo-controlled five-way crossover design. The study is being conducted in two parts. The first part of the study characterized various IV butorphanol doses in order to select a dose to be studied. The second part of the study is designed to utilize the selected dose and compare oral nalbuphine relative to IV butorphanol using the study metrics. We have completed the first part of the study. The FDA requested that we submit the data from the first part of the study in support of our IV butorphanol dose selection for their review and comment prior to commencing the second part of the study. We submitted this data to the FDA and the FDA agreed with the selected dose for IV butorphanol. We initiated dosing in the second part of the study in January 2024, and as of March 11, 2024, the study was over 50% enrolled. We expect to report topline data from the study in the second half of 2024.</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Hepatic Impairment Study</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previously conducted a Phase 1b clinical trial in patients with chronic liver disease to evaluate the safety and pharmacokinetics, or PK, of Haduvio in this population. This trial was designed as an open-label, non-randomized, parallel-group, single and multiple ascending dose PK trial in patients with mild, moderate and severe hepatic impairment. We completed the single ascending dosing portion of this trial in patients with mild, moderate and severe hepatic impairment and there were no SAEs reported in the trial. We intend to use the data from the hepatic impairment study to support an NDA submission for Haduvio.</w:t>
      </w:r>
    </w:p>
    <w:p>
      <w:pPr>
        <w:spacing w:after="0" w:line="7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We also anticipate conducting additional standard PK, pharmacodynamic and other studies as needed to support marketing applications for regulatory approval in the U.S. and Europe.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is subject to rapid and significant change. While we believe that our technology, knowledge, experience and scientific resources provide us with competitive advantages, we face potential competition from many sources, including major pharmaceutical, specialty pharmaceutical and biotechnology companies. If we are able to successfully develop and commercialize Haduvio, it would compete with existing therapies and new therapies that may become available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Chronic Cough in Idiopathic Pulmonary Fibrosis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IPF, we expect that it may compete with product candidates currently in clinical development for the treatment of chronic cough in IPF, such as orvepitant, a NK1 receptor antagonist, which is being developed by Nerre Therapeutics, ME-015, a reactive oxygen species scavenger, which is being developed by Melius Pharma, and ifenprodil, a NMDA receptor antagonist, which is being developed by Algernon Pharmaceuticals. In addition, it is possible that product candidates currently in development for the treatment of IPF could, if approved, reduce the need for therapies to treat chronic cough in IPF. We expect that Haduvio might also compete with other product candidates currently in development, or submitted for approval to the FDA, for the treatment of RCC and unexplained chronic cough that might be used off-label to treat chronic cough in IPF.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RCC</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Haduvio is approved for the treatment of RCC, we expect that it may compete with product candidates currently in clinical development for the treatment of RCC, such as gefapixant, a P2X3 antagonist, which is being developed by Merck, however, in December of 2023, the FDA issued a complete response letter to Merck, which concluded that Merck’s application did not meet substantial evidence of effectiveness for treating RCC and unexplained chronic cough. On December 20, 2023, Merck announced that it is reviewing the FDA’s feedback to determine next steps. Other product candidates that are currently in development for the treatment of RCC include camlipixant, a P2X3 antagonist, which is being developed by GSK plc, NTX-1175, a charged sodium channel blocker, which is being developed by Nocion, GDC-6599, a TRPA1 antagonist, which is being developed by Genentech, ifenprodil, a NMDA receptor antagonist, which is being developed by Algernon Pharmaceuticals, AX-8, a TRPM8 antagonist, which is being developed by Axalbion, and GABAB PAM, a GABA agonist, which is being developed by Addex Therapeutics.</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also expect that Haduvio would compete with a number of therapeutics that are used off-label to treat chronic cough, including opioids, proton-pump inhibitors, and neuromodulators.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Prurigo Nodularis</w:t>
      </w:r>
    </w:p>
    <w:p>
      <w:pPr>
        <w:spacing w:after="0" w:line="12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are developing Haduvio for the treatment of prurigo nodularis. There are many products that are used to help manage prurigo nodularis with which we expect that Haduvio would compete if it is approved in this indication. If Haduvio is approved for the treatment of prurigo nodularis, we expect that it would compete with Dupixent (dupilumab), an injectable prescription medicine which was jointly developed by Sanofi and Regeneron, which is approved in the U.S., E.U., Japan, and China for the treatment of adults with moderate-to-severe prurigo nodularis. We also expect that Haduvio would compete with a number of therapeutics that are used off-label to treat prurigo nodularis, including anti-itch creams and emollients, oral janus kinase, or JAK, receptor inhibitors,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povorcitinib, an oral small molecule targeting the JAK 1 receptor being developed by Incyte; ruxolitinib cream, a topical therapy targeting the JAK 1/JAK 2 receptor being developed by Incyte; and barzolvolimab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spacing w:after="0" w:line="8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expect that Haduvio,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Haduvio. Our competitors also may obtain FDA or other regulatory approval for their products more rapidly than we may obtain approval for Haduvio, which could result in our competitors establishing a strong market position before we are able to enter the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Endo Pharmaceuticals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May 2011, we entered into an agreement with Penwest Pharmaceuticals Co., which subsequently merged into its parent, Endo Pharmaceuticals Inc., or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18" w:name="page19"/>
    <w:bookmarkEnd w:id="18"/>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license agreement, we paid Endo a non-creditable, non-refundable upfront license fee. We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us, our affiliates and sublicensees. In addition, we are obligated to pay Endo a low-to-mid double-digit percentage of certain income we receive from sublicensees, based on the date of the definitive agreement under which the sublicense was granted.</w:t>
      </w:r>
    </w:p>
    <w:p>
      <w:pPr>
        <w:spacing w:after="0" w:line="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we have granted Endo a non-exclusive, royalty-free (except for pass-through payments to third parties), sublicensable license under our relevant patent rights, to use any improvement we make to Endo’s controlled release technology, for any product other than the products under which we are licensed by Endo.</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Both we and Endo have the right to terminate the agreement if the other party materially breaches the agreement and fails to cure the breach within specified cure periods. Endo also has the right to terminate in the event we undergo specified bankruptcy, insolvency or liquidation events. We have the right to terminate the agreement at our convenience at any time on 180 days’ notice to Endo.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Upon termination of the agreement, we must transfer to Endo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 circumstances, we will be deemed to have granted Endo a perpetual, royalty-free (except for pass-through payments to third parties), worldwide, exclusive, sublicensable license, under any improvements we made to the licensed know-how, and any related patent rights we have, to manufacture and commercialize the licensed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We currently contract with third parties for the supply of nalbuphine hydrochloride drug substance and the manufacture of Haduvio tablets for clinical trials and intend to do so for clinical and commercial supply in the future. We do not own or operate facilities for the production of clinical or commercial quantities of drug substance or drug product. We currently have no plans to build our own clinical or commercial scale manufacturing capabilities. Although we rely on contract manufacturers, we have personnel with experience to oversee our relationships with contract manufacturers.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Haduvio is manufactured from readily available starting materials using established, scalable processes that do not require any special equipment or technology. Nalbuphine hydrochloride drug substance is commercially available and manufactured at production scale. Haduvio tablets are currently manufactured at a scale sufficient for use in clinical trials. Process development work is also being planned.</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current suppliers and manufacturers have the capacity to support commercial scale production of Haduvio,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could result in additional cost or delay.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Operations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retained worldwide commercial rights for Haduvio.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 w:name="page20"/>
    <w:bookmarkEnd w:id="19"/>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Haduvio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7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owned five U.S. patents, 11 foreign patents and multiple pending U.S. and foreign patent applications that include claims relating to methods of use of Haduvio, including a U.S. patent covering the use of Haduvio for the treatment of chronic cough in IPF. The issued patents expire between 2032 and 2039 and the patent applications, if issued as patents, would expire between 2032 and 2041.</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party to an exclusive license agreement with Endo under which we have licensed patent rights and know-how to develop and commercialize products incorporating nalbuphine hydrochloride in any formulation, including Haduvio. As of December 31, 2023, the intellectual property in-licensed under this agreement included six U.S. patents and four foreign patents, which include granted European patent rights that have been validated in various European Union, or E.U., member states. The licensed patents from Endo include claims relating to the formulation of Haduvio. These patents expire between 2026 and 2029.</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in-licensed three issued U.S. patents, one issued European patent, one Japanese patent, one issued Canadian patent and a pending application in the U.S. These patents and the patent application relate to the use of nalbuphine in various movement disorders. The U.S. patents expire in 2032. The Japanese, European and Canadian patents expire in 2032.</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own or exclusively license any composition of matter patents for Haduvio.</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for patents in the countries in which they are granted. In most countries, including the U.S., the patent term is generally 20 years from the earliest claimed filing date of a nonprovisional patent application in the applicable country. In the U.S.,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Similar provisions are available in the E.U.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Haduvio or any future product candidate may have a material adverse impact on us. If third parties prepare and file patent applications in the U.S. that also claim technology to which we have rights, we may have to participate in interference or derivation proceedings in the USPTO to determine priority of invention.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0" w:name="page21"/>
    <w:bookmarkEnd w:id="20"/>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U.S., drug products are regulated under the Federal Food, Drug, and Cosmetic Act, or FDCA, and applicable implementing regulations and guidance. A company, institution, or organization which takes responsibility for the initiation and management of a clinical development program for such products, and for their regulatory approval, is typically referred to as a sponsor. The failure of a sponsor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sponsor seeking approval to market and distribute a new drug in the U.S. generally must satisfactorily complete each of the following steps before the FDA will consider approving the product candidate:</w:t>
      </w:r>
    </w:p>
    <w:p>
      <w:pPr>
        <w:spacing w:after="0" w:line="54" w:lineRule="exact"/>
        <w:rPr>
          <w:sz w:val="20"/>
          <w:szCs w:val="20"/>
          <w:color w:val="auto"/>
        </w:rPr>
      </w:pPr>
    </w:p>
    <w:p>
      <w:pPr>
        <w:ind w:left="900" w:right="1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IND for human clinical testing,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efficacy of the product candidate for each proposed indication, in accordance with current good clinical practices, or cGCP;</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for a drug product which includes not only the results of the clinical trials, but also, detailed information on the chemistry, manufacturing and controls, or CMC, for the product candidate and proposed labelling for one or more proposed indication(s);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cGCPs and the integrity of clinical data in support of the NDA;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to allow marketing of the new drug product; and</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sponsors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patients will be exposed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1" w:name="page22"/>
    <w:bookmarkEnd w:id="21"/>
    <w:p>
      <w:pPr>
        <w:ind w:right="180"/>
        <w:spacing w:after="0" w:line="261" w:lineRule="auto"/>
        <w:rPr>
          <w:sz w:val="20"/>
          <w:szCs w:val="20"/>
          <w:color w:val="auto"/>
        </w:rPr>
      </w:pPr>
      <w:r>
        <w:rPr>
          <w:rFonts w:ascii="Times New Roman" w:cs="Times New Roman" w:eastAsia="Times New Roman" w:hAnsi="Times New Roman"/>
          <w:sz w:val="18"/>
          <w:szCs w:val="18"/>
          <w:color w:val="auto"/>
        </w:rPr>
        <w:t>unreasonable health risks. At any time during this 30-day period, or thereafter, the FDA may raise concerns or questions about the conduct of the trials as outlined in the IND and impose a clinical hold or partial clinical hold. The FDA may also place a hold or partial hold on a clinical study based on CMC issues involving the investigational product. In either case, the IND sponsor and the FDA must resolve any outstanding concerns before clinical trials can begin.</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Once an IND application takes effect, the sponsor of the IND may amend the application as needed to ensure that the clinical investigations are conducted according to protocols included in the IND. The FDA has indicated that sponsors are expected to submit amendments for new protocols or changes to existing protocols before implementation of the respective changes. New studies may begin, however, when the sponsor has submitted the change to the FDA for its review and the new protocol or changes to the existing protocol have been approved by the IRB with the responsibility for review and approval of the studies. 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patients.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8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DSMB. This group provides authorization as to whether or not a trial may move forward at designated checkpoints based on review of available data from the study, to which only the DSMB maintains access. Suspension or termination of development during any phase of a clinical trial can occur if the DSMB determines that the participants or patients are being exposed to an unacceptable health risk. Other reasons for suspension or termination may be made by us based on evolving business objectives and/or competitive climate.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1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7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Sponsors are required to make such policies publicly available upon the earlier of initiation of a Phase 2 or Phase 3 study; or 15 days after the investigational drug or biologic receives designation as a breakthrough therapy, fast-track product, or regenerative medicine advanced therapy.</w:t>
      </w:r>
    </w:p>
    <w:p>
      <w:pPr>
        <w:spacing w:after="0" w:line="6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2" w:name="page23"/>
    <w:bookmarkEnd w:id="22"/>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human patients under the supervision of a qualified investigator in accordance with cGCP requirements which include, among other things, the requirement that all research patients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or be combined. Additional studies may also be required after approval.</w:t>
      </w:r>
    </w:p>
    <w:p>
      <w:pPr>
        <w:spacing w:after="0" w:line="5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in patients. During Phase 1 clinical trials, information about the product candidate’s PK and pharmacological effects may be obtained to permit the design of well-controlled and scientifically valid Phase 2 clinical trials.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well-controlled and closely monitored.</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clinical trials are referred to as “pivotal” trials.</w:t>
      </w:r>
    </w:p>
    <w:p>
      <w:pPr>
        <w:spacing w:after="0" w:line="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2022, with passage of the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addition to these requirements, the legislation directs the FDA to issue new guidance on diversity action plans. In January 2024, the FDA issued draft guidance setting out its policies for the collection of race and ethnicity data in clinical trials.</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cGCPs aimed at modernizing the design and conduct of clinical trials. The updates are intended to help pave the way for more efficient clinical trials to facilitate the development of medical products. The draft guidance is adopted from the International Council for Harmonisation’s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some cases, the FDA may approve an NDA for a product candidate but require the sponsor to conduct additional clinical trials to further assess the product candidate’s safety and effectiveness after approval. Such trials are typically referred to as post-approval or post-marketing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3" w:name="page24"/>
    <w:bookmarkEnd w:id="23"/>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clinical trials must be submitted at least annually to the FDA and more frequently if SAEs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cGCP and the integrity of the clinical data submitted.</w:t>
      </w:r>
    </w:p>
    <w:p>
      <w:pPr>
        <w:spacing w:after="0" w:line="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Although the FDA has historically not enforced these reporting requirements due to the long delay of the Department of Health and Human Services, or HHS, in issuing final implementing regulations, the FDA issued several pre-notices for voluntary corrective action and several notices of non-compliance during the past two years. While these notices of non-compliance did not result in civil monetary penalties, the failure to submit clinical trial information to clinicaltrials.gov, as required, is a prohibited act under the FDCA with violations subject to potential civil monetary penalties of up to $10,000 for each day the violation continues.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Studies Outside the United States in Support of FDA Approval</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cGCP, including undergoing review and receiving approval by an independent ethics committee and seeking and receiving informed consent from subjects. cGCP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8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cGCP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cGCP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Interactions with the FDA During the Clinical Development Program</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an end of Phase 2 meeting, or EOP2 meeting. A Type C meeting is any meeting other than a Type A or Type B meeting regarding the development and review of a product. A Type D meeting is focused on a narrow set of issues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agreed plan, which may include a request for deferral or waiver of PREA requirements, is a requirement for submission of an NDA. The FDA or the sponsor may request an amendment to the plan at any time.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7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The FDA is required to send a PREA Non-Compliance letter to sponsors who have failed to submit their pediatric assessments required under PREA, and have failed to seek or obtain a deferral or deferral extension. Unless otherwise required by regulation, the pediatric data requirements generally do not apply to products with orphan designation, although FDA has taken steps to limit what it considers abuse of this statutory exemption in PREA. In May 2023, the FDA issued new draft guidance that further describes the pediatric study requirements under PREA.</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Submission and Review of an NDA</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order to obtain approval to market a drug product in the U.S., a marketing application must be submitted to the FDA that provides sufficient data establishing the safety and efficacy of the drug product for its intended indication. The 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NDA is a vehicle through which sponsors formally propose that the FDA approve a new product for marketing and sale in the U.S. for one or more indications. Every new drug product candidate must be the subject of an approved NDA before it may be commercialized in the U.S. Under federal law, the submission of most NDAs is subject to an application user fee, which for federal fiscal year 2024 is $4,048,695 for an application requiring clinical data. The sponsor of an approved NDA is also subject to an annual program fee, which for federal fiscal year 2024 is $416,734. Certain exceptions and waivers are available for some of these fees, such as a waiver for certain small businesses.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Following submission of an NDA, the FDA conducts a preliminary review of the application within 60 days of receipt and must inform the sponsor at that time or before whether an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the application for filing. In this event, the application must be resubmitted with the requested additional information. The resubmitted application is also subject to review before the FDA accepts it for filing.</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substantive review. The FDA reviews the application to determine, among other things, whether the proposed product is safe and effective for its intended use, whether it has an acceptable purity profile and whether the product is being manufactured in accordance with cGMP.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7" w:right="359" w:bottom="1440" w:gutter="0" w:footer="0" w:header="0"/>
        </w:sectPr>
      </w:pPr>
    </w:p>
    <w:bookmarkStart w:id="25" w:name="page26"/>
    <w:bookmarkEnd w:id="25"/>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Additionally, before approving an NDA, the FDA will typically inspect one or more clinical sites to assure compliance with cGCP and the integrity of the data submitted in support of the application.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spacing w:after="0" w:line="72"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The FDA may also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NDAs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7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The FDA aims to complete its review of Priority Review applications within six months as opposed to 10 months for standard review.</w:t>
      </w:r>
    </w:p>
    <w:p>
      <w:pPr>
        <w:spacing w:after="0" w:line="6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 products studied for their safety and effectiveness in treating serious or life-threatening illnesses and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7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With the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6" w:name="page27"/>
    <w:bookmarkEnd w:id="26"/>
    <w:p>
      <w:pPr>
        <w:ind w:right="40"/>
        <w:spacing w:after="0" w:line="261" w:lineRule="auto"/>
        <w:rPr>
          <w:sz w:val="20"/>
          <w:szCs w:val="20"/>
          <w:color w:val="auto"/>
        </w:rPr>
      </w:pPr>
      <w:r>
        <w:rPr>
          <w:rFonts w:ascii="Times New Roman" w:cs="Times New Roman" w:eastAsia="Times New Roman" w:hAnsi="Times New Roman"/>
          <w:sz w:val="18"/>
          <w:szCs w:val="18"/>
          <w:color w:val="auto"/>
        </w:rPr>
        <w:t>accelerated approval to submit progress reports on its post-approval studies to FDA every six months (until the study is completed); and use expedited procedures to withdraw accelerated approval of an NDA or biologics license application,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7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Regenerative advanced therapy. </w:t>
      </w:r>
      <w:r>
        <w:rPr>
          <w:rFonts w:ascii="Times New Roman" w:cs="Times New Roman" w:eastAsia="Times New Roman" w:hAnsi="Times New Roman"/>
          <w:sz w:val="18"/>
          <w:szCs w:val="18"/>
          <w:color w:val="auto"/>
        </w:rPr>
        <w:t>With passage of the 21st Century Cures Act, or the Cures Act, in December 2016, Congress authorized the FDA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None of these expedited programs change the standards for approval but they may help expedite the development or approval process of product candidates.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On the basis of the FDA’s evaluation of an NDA and accompanying information, including the results of the inspection of the manufacturing facilities, the FDA may issue an approval letter or a complete response letter, or CRL. To reach this determination, the FDA reviews an application to determine, among other things, whether the product is safe and effective for its intended use. The FDA must determine that the investigational product is effective and that its expected benefits outweigh its potential risks to patients. This “benefit-risk” assessment is informed by the extensive body of evidence about the product’s safety, purity and potency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6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 For those seeking to challenge FDA’s CRL decision, the agency has indicated that sponsors may request a formal hearing on the CRL or they may file a request for reconsideration or a request for a formal dispute resolution.</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conditions. The FDA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7" w:name="page28"/>
    <w:bookmarkEnd w:id="27"/>
    <w:p>
      <w:pPr>
        <w:ind w:right="200"/>
        <w:spacing w:after="0" w:line="282" w:lineRule="auto"/>
        <w:rPr>
          <w:sz w:val="20"/>
          <w:szCs w:val="20"/>
          <w:color w:val="auto"/>
        </w:rPr>
      </w:pPr>
      <w:r>
        <w:rPr>
          <w:rFonts w:ascii="Times New Roman" w:cs="Times New Roman" w:eastAsia="Times New Roman" w:hAnsi="Times New Roman"/>
          <w:sz w:val="18"/>
          <w:szCs w:val="18"/>
          <w:color w:val="auto"/>
        </w:rPr>
        <w:t>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75"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which describe the types of evidence that the agency will consider in determining the intended use of a drug product.</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PIE Act explicitly provides protection to sponsors who convey certain information about products in development to payors, including unapproved uses of approved products. In addition,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8" w:name="page29"/>
    <w:bookmarkEnd w:id="28"/>
    <w:p>
      <w:pPr>
        <w:ind w:right="220"/>
        <w:spacing w:after="0" w:line="282" w:lineRule="auto"/>
        <w:rPr>
          <w:sz w:val="20"/>
          <w:szCs w:val="20"/>
          <w:color w:val="auto"/>
        </w:rPr>
      </w:pPr>
      <w:r>
        <w:rPr>
          <w:rFonts w:ascii="Times New Roman" w:cs="Times New Roman" w:eastAsia="Times New Roman" w:hAnsi="Times New Roman"/>
          <w:sz w:val="18"/>
          <w:szCs w:val="18"/>
          <w:color w:val="auto"/>
        </w:rPr>
        <w:t>pharmaceutical product samples, and the DSCA imposes requirements to ensure accountability in distribution and to identify and remove counterfeit and other illegitimate products from the market.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Thus, Section 505(b)(2) authorizes the FDA to approve an NDA based on safety and effectiveness data that were not developed by or for the sponsor. NDAs filed under Section 505(b)(2) may provide an alternate and potentially more expeditious pathway to FDA approval for new or improved formulations or new uses of previously approved products. If the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w:t>
      </w:r>
    </w:p>
    <w:p>
      <w:pPr>
        <w:spacing w:after="0" w:line="3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order for an abbreviated new drug application, or ANDA, to be approved, the FDA must find that the generic version is identical to the reference listed drug, or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Hatch-Waxman Act, the FDA may not approve an ANDA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This interpretation of the FDCA by the FDA was confirmed with enactment of the Ensuring Innovation Act in April 2021.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sponsor may submit its application four years following the original product approval.</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sponsor and are essential to the approval of the application.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Act Patent Certification and the 30-Month Stay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 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certify to the FDA concerning any patents listed for the approved product in the Orange Book to the same extent that an ANDA sponsor would.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sponsor must certify with respect to each patent that:</w:t>
      </w:r>
    </w:p>
    <w:p>
      <w:pPr>
        <w:spacing w:after="0" w:line="117"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is unenforceable or will not be infringed by the new product.</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sponsor is not seeking approval).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earliest of 30 months after the receipt of the Paragraph IV notice, expiration of the patent and a decision in the infringement case that is favorable to the ANDA sponsor.</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earliest of 30 months, settlement of the lawsuit and a decision in the infringement case that is favorable to the Section 505(b)(2) sponsor.</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in the U.S. and, if granted, provides for the attachment of an additional six months of regulatory exclusivity to the term of any existing patent or regulatory exclusivity for drug products. This six 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a similar product.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 and Regulation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0" w:name="page31"/>
    <w:bookmarkEnd w:id="30"/>
    <w:p>
      <w:pPr>
        <w:ind w:right="380"/>
        <w:spacing w:after="0" w:line="282" w:lineRule="auto"/>
        <w:rPr>
          <w:sz w:val="20"/>
          <w:szCs w:val="20"/>
          <w:color w:val="auto"/>
        </w:rPr>
      </w:pPr>
      <w:r>
        <w:rPr>
          <w:rFonts w:ascii="Times New Roman" w:cs="Times New Roman" w:eastAsia="Times New Roman" w:hAnsi="Times New Roman"/>
          <w:sz w:val="18"/>
          <w:szCs w:val="18"/>
          <w:color w:val="auto"/>
        </w:rPr>
        <w:t>are subject to broadly applicable fraud and abuse, anti-kickback, false claims laws, patient privacy laws and regulations and other health care laws and regulations that may constrain business and/or financial arrangements.</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Restrictions under applicable federal and state health care laws and regulations, include 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the Foreign Corrupt Practices Act, or FCPA, which prohibits companies and their intermediaries from making, or offering or promising to make, improper payments to non-U.S. officials for the purpose of obtaining or retaining business or otherwise seeking favorable treatment; and the federal transparency requirements known as the federal Physician Payments Sunshine Act, which requires certain manufacturers of drugs, devices, biologics and medical supplies to report annually to the Centers for Medicare &amp; Medicaid Services, or CMS, within the HHS, information related to payments and other transfers of value made by that entity to physicians, other healthcare providers and teaching hospitals, as well as ownership and investment interests held by physicians, and their immediate family members.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the federal Health Insurance Portability and Accountability Act of 1996, or HIPAA, thus complicating compliance efforts.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includes changes to the coverage and payment for drug products under government health care programs. Other legislative changes have been proposed and adopted since the ACA was enacted. In August 2011, the Budget Control Act of 2011, among other things, created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1" w:name="page32"/>
    <w:bookmarkEnd w:id="31"/>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four percent.</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On June 17, 2021, the U.S. Supreme Court dismissed an action challenging the constitutionality of the ACA after finding that the plaintiffs do not have standing to bring the action. Litigation and legislation over the ACA are likely to continue, with unpredictable and uncertain results.</w:t>
      </w:r>
    </w:p>
    <w:p>
      <w:pPr>
        <w:spacing w:after="0" w:line="7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 Reforms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the HHS. Nine states (Colorado, Florida, Maine, New Hampshire, New Mexico, North Dakota, Texas, Vermont and Wisconsin) have passed laws allowing for the importation of drugs from Canada. Certain of these states have submitted Section 804 Importation Program proposals and are awaiting FDA approval. On January 5, 2024, the FDA approved Florida’s plan for Canadian drug importation.</w:t>
      </w:r>
    </w:p>
    <w:p>
      <w:pPr>
        <w:spacing w:after="0" w:line="79"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Further, the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the IRA, has been delayed by Congress to January 1, 2032.</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The Order directs the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2" w:name="page33"/>
    <w:bookmarkEnd w:id="32"/>
    <w:p>
      <w:pPr>
        <w:ind w:right="20"/>
        <w:spacing w:after="0" w:line="261" w:lineRule="auto"/>
        <w:rPr>
          <w:sz w:val="20"/>
          <w:szCs w:val="20"/>
          <w:color w:val="auto"/>
        </w:rPr>
      </w:pPr>
      <w:r>
        <w:rPr>
          <w:rFonts w:ascii="Times New Roman" w:cs="Times New Roman" w:eastAsia="Times New Roman" w:hAnsi="Times New Roman"/>
          <w:sz w:val="18"/>
          <w:szCs w:val="18"/>
          <w:color w:val="auto"/>
        </w:rPr>
        <w:t>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Further, the legislation patients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June 6, 2023, Merck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HHS and CMS. Litigation involving these and other provisions of the IRA will continue with unpredictable and uncertain results.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and Security laws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healthcare industry generally, 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clinical trials will be regulated by HIPAA’s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enforce state privacy and security laws. New laws and regulations governing privacy and security may be adopted in the future as well.</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will regulate the collection and sharing of health information, and the law also has a private right of action, which further increases the relevant compliance risk. Connecticut and Nevada have also passed similar laws regulating consumer health data and additional states (including Vermont) are considering such legislation for 2024. These laws may impact our business activities, including our identification of research subjects, relationships with business partners and ultimately the marketing and distribution of our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 and replaced the prior Clinical Trials Directive 2001/20/EC. The new regulation aims at simplifying and streamlining the authorization, conduct and transparency of clinical trials in the E.U. Under the new coordinated procedure for the approval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4" w:name="page35"/>
    <w:bookmarkEnd w:id="3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which we refer to as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CTR.</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in the U.S., clinical trial information must be posted in the E.U. at the E.U. Clinical Trials Register.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To obtain a marketing authorization for a product under E.U. regulatory systems, a sponsor must submit an MAA either under a centralized procedure administered by the EMA or one of the procedures administered by competent authorities in the E.U. Member States (either a decentralized procedure, national procedure or mutual recognition procedure). A marketing authorization may be granted only to a sponsor established in the E.U. Regulation (EC) No 1901/2006 provides that prior to obtaining a marketing authorization in the E.U., sponsors have to demonstrate compliance with all measures included in an EMA-approved Pediatric Investigation Plan, or PIP, covering all subsets of the pediatric population, unless the EMA has granted (i) a product-specific waiver, (ii) a class waiver or (iii) a deferral for one or more of the measures included in the PIP.</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across the European Economic Area, or the EEA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also be used in certain other cases at the request of the sponsor. We anticipate that the centralized procedure will be mandatory for the product candidates we are developing.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5" w:name="page36"/>
    <w:bookmarkEnd w:id="35"/>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the centralized procedure, the CHMP is also responsible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European Commission may grant a so-called “marketing authorization under exceptional circumstances”. Such authorization is intended for products for which the sponsor can demonstrate that it is unable to provide comprehensive data on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9" w:lineRule="exact"/>
        <w:rPr>
          <w:sz w:val="20"/>
          <w:szCs w:val="20"/>
          <w:color w:val="auto"/>
        </w:rPr>
      </w:pPr>
    </w:p>
    <w:p>
      <w:pPr>
        <w:ind w:left="900" w:right="2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must complete an identified program of studies within a time period specified by the competent authority, the results of which form the basis of a reassessment of the benefit/risk profile;</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54"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6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8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6" w:name="page37"/>
    <w:bookmarkEnd w:id="36"/>
    <w:p>
      <w:pPr>
        <w:ind w:right="100"/>
        <w:spacing w:after="0" w:line="282" w:lineRule="auto"/>
        <w:rPr>
          <w:sz w:val="20"/>
          <w:szCs w:val="20"/>
          <w:color w:val="auto"/>
        </w:rPr>
      </w:pPr>
      <w:r>
        <w:rPr>
          <w:rFonts w:ascii="Times New Roman" w:cs="Times New Roman" w:eastAsia="Times New Roman" w:hAnsi="Times New Roman"/>
          <w:sz w:val="18"/>
          <w:szCs w:val="18"/>
          <w:color w:val="auto"/>
        </w:rPr>
        <w:t>concerns relating to a potential serious risk to public health, disputed elements may be referred to the European Commission, whose decision is binding on all E.U. Member States.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Extensions in the E.U. and Other Jurisdictions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E.U. also provides for patent term extension through Supplementary Protection Certificates, or SPCs. The rules and requirements for obtaining a SPC are similar to those in the U.S.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Prior to obtaining a marketing authorization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a company actually complied with the agreed studies and measures listed in each relevant PIP. 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7" w:name="page38"/>
    <w:bookmarkEnd w:id="37"/>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900" w:right="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900" w:hanging="383"/>
        <w:spacing w:after="0" w:line="25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9"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U.K.</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U.K.s withdrawal from the E.U., which is sometimes referred to as Brexit, took place on January 31, 2020. The E.U. and the U.K. reached an agreement on their new partnership in the Trade and Cooperation Agreement, which was applied provisionally beginning on January 1, 2021, and which entered into force on May 1, 2021. This agreement focused primarily on free trade by ensuring no tariffs or quotas on trade in goods, including healthcare products such as medicinal products. The E.U. and the U.K. formed two separate markets governed by two distinct regulatory and legal regimes, except that Northern Ireland continued to broadly follow E.U. laws as further described below. As of January 1, 2021, the MHRA became responsible for supervising medicines and medical devices in Great Britain, comprising England, Scotland and Wales under domestic law whereas Northern Ireland continued to be subject to E.U. rules under the Northern Ireland Protocol.</w:t>
      </w:r>
    </w:p>
    <w:p>
      <w:pPr>
        <w:spacing w:after="0" w:line="81"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GB and Northern Ireland), and the EMA will no longer have any role in approving medicinal products destined for Northern Ireland. A single U.K.-wide marketing authorization, or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 The Human Medicines Regulations 2012 (SI 2012/1916) (as amended), (or the HMR), is the primary legal instrument for the regulation of medicines in the U.K. The HMR has incorporated into the domestic law the body of E.U. law instruments governing medicinal products that pre-existed prior to the U.K.’s withdrawal from the E.U.</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 However, new legislation such as the CTR will not be applicable in Great Britain. Since a significant proportion of the regulatory framework for pharmaceutical products in the U.K. covering the quality, safety, and efficacy of pharmaceutical products, clinical trials, MAs,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U.K. For example, the U.K. is no longer covered by the centralized procedures for obtaining E.U.-wide MAs from the EMA, and a separate MA will be required to market our product candidates in the U.K. A new international recognition framework has been in place since January 1, 2024, whereby the MHRA will have regard to decisions on the approval of MAs made by the EMA and certain other regulators when determining an application for a new Great Britain MA.</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right="360" w:firstLine="509"/>
        <w:spacing w:after="0" w:line="254"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four percent of annual global revenues, whichever is greater. The GDPR also confers a private right of action on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38" w:name="page39"/>
    <w:bookmarkEnd w:id="38"/>
    <w:p>
      <w:pPr>
        <w:ind w:right="40"/>
        <w:spacing w:after="0" w:line="256" w:lineRule="auto"/>
        <w:rPr>
          <w:sz w:val="20"/>
          <w:szCs w:val="20"/>
          <w:color w:val="auto"/>
        </w:rPr>
      </w:pPr>
      <w:r>
        <w:rPr>
          <w:rFonts w:ascii="Times New Roman" w:cs="Times New Roman" w:eastAsia="Times New Roman" w:hAnsi="Times New Roman"/>
          <w:sz w:val="18"/>
          <w:szCs w:val="18"/>
          <w:color w:val="auto"/>
        </w:rPr>
        <w:t>data patients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Following the CJEU decision,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has now adopted an adequacy decision to permit data transfers from the E.U. to the U.S. going forward. This development permits data transfers under the E.U.-U.S. Data Privacy Framework and more broadly has made international data transfers more straightforward, but these provisions are being challenged in court. The continuing uncertainty around this issue may further impact our business operations in the E.U. We may, however, incur liabilities, expenses, costs, and other operational losses under the GDPR and the laws of applicable E.U. Member States and the U.K. privacy laws in connection with any measures we take to comply with them.</w:t>
      </w:r>
    </w:p>
    <w:p>
      <w:pPr>
        <w:spacing w:after="0" w:line="8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Beyond the GDPR, there are privacy and data security laws in a growing number of countries around the world. While many loosely follow the GDPR as a model, other laws contain different or conflicting provisions. These laws may impact our ability to conduct our business activities, including both our clinical trials and any eventual sale and distribution of commercial products.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had 25 employees, with 15 employees engaged in research and development and the remaining 10 engaged in general management and administration, including finance and commercial. None of our employees are represented by labor unions or covered by collective bargaining agreements. We believe that we maintain good relations with our employees.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ways that are aligned with the interests of our stockholders.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right="120" w:firstLine="509"/>
        <w:spacing w:after="0" w:line="239"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March 17, 2011 under the name Trevi Therapeutics, Inc. Our principal executive offices are located at 195 Church Street,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Haven, Connecticut 06510, and our telephone number is (203) 304-2499. Our website address is www.trevitherapeutics.com. The information contained on, or that can be accessed through, our website is not a part of this Annual Report on Form 10-K. We have included our website address in this Annual Report on Form 10-K solely as an inactive textual reference.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annual net losses every year since our inception. We expect to continue to incur significant and increasing net losses for at least the next several years. Our net losses were $29.1 million and $29.2 million for the years ended December 31, 2023 and 2022, respectively. As of December 31, 2023, we had an accumulated deficit of $239.1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520" w:right="8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Haduvio, including our Phase 2b CORAL clinical trial of Haduvio for the treatment of chronic cough in idiopathic pulmonary fibrosis, or IPF, our Phase 2a RIVER clinical trial of Haduvio for the treatment of refractory chronic cough, or RCC, and the second part of our human abuse potential, or HAP, study, and our planned Phase 1b clinical trial to evaluate the effect of Haduvio on respiratory physiology in patients with IPF of varying disease severity;</w:t>
      </w:r>
    </w:p>
    <w:p>
      <w:pPr>
        <w:spacing w:after="0" w:line="71"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spacing w:after="0" w:line="6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Haduvio for the treatment of chronic cough in IPF, or RCC and/or for the treatment of prurigo nodularis or for any future product candidate that successfully completes clinical trials, if any;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and execute pediatric development plans and complete any post-approval commitments;</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manufacture of larger quantities of Haduvio or any future product candidate for clinical development and, potentially, commercialization;</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rights to other potential product candidates or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research, preclinical and clinical development efforts for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regulatory and scientific personnel;</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development program for Haduvio and for any future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0" w:name="page41"/>
    <w:bookmarkEnd w:id="40"/>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chronic cough in IPF, we may be required, at a minimum, to successfully complete two additional Phase 3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8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6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5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2023 and 2022, we used net cash of $31.7 million and $28.2 million, respectively, in our operating activities, substantially all of which related to development activities for Haduvio. As of December 31, 2023, our cash, cash equivalents and marketable securities were $83.0 million. We expect our expenses to increase substantially in connection with our ongoing activities, particularly as we continue to develop Haduvio, including as we:</w:t>
      </w:r>
    </w:p>
    <w:p>
      <w:pPr>
        <w:spacing w:after="0" w:line="6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2b CORAL clinical trial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1b clinical trial to evaluate the effect of Haduvio on respiratory physiology in patients with IPF of varying disease severity;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2a RIVER clinical trial of Haduvio for the treatment of RCC; and</w:t>
      </w:r>
    </w:p>
    <w:p>
      <w:pPr>
        <w:spacing w:after="0" w:line="117" w:lineRule="exact"/>
        <w:rPr>
          <w:rFonts w:ascii="Times New Roman" w:cs="Times New Roman" w:eastAsia="Times New Roman" w:hAnsi="Times New Roman"/>
          <w:sz w:val="18"/>
          <w:szCs w:val="18"/>
          <w:color w:val="auto"/>
        </w:rPr>
      </w:pPr>
    </w:p>
    <w:p>
      <w:pPr>
        <w:ind w:left="520" w:right="1560" w:hanging="512"/>
        <w:spacing w:after="0" w:line="375"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second part of our HAP study to compare the abuse potential of oral nalbuphine to intravenous, or IV, butorphanol. In addition, we may incur additional expenses: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to conduct an additional clinical trial of Haduvio for the treatment of prurigo nodularis;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1" w:name="page42"/>
    <w:bookmarkEnd w:id="41"/>
    <w:p>
      <w:pPr>
        <w:ind w:left="520" w:right="1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or in-license rights to other potential product candidates or technologies and seek regulatory and marketing approvals for Haduvio or any future product candidate that successfully completes clinical trials.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IPF, for RCC or for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84"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spacing w:after="0" w:line="32"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68" w:lineRule="exact"/>
        <w:rPr>
          <w:sz w:val="20"/>
          <w:szCs w:val="20"/>
          <w:color w:val="auto"/>
        </w:rPr>
      </w:pPr>
    </w:p>
    <w:p>
      <w:pPr>
        <w:ind w:left="520" w:right="6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our Phase 2b CORAL clinical trial of Haduvio for the treatment of chronic cough in IPF, our Phase 2a RIVER clinical trial in RCC, the second part of our HAP study, and our planned Phase 1b clinical trial to evaluate the effect of Haduvio on respiratory physiology in patients with IPF of varying disease severity, as well as trials for any future product candidates;</w:t>
      </w:r>
    </w:p>
    <w:p>
      <w:pPr>
        <w:spacing w:after="0" w:line="71" w:lineRule="exact"/>
        <w:rPr>
          <w:rFonts w:ascii="Times New Roman" w:cs="Times New Roman" w:eastAsia="Times New Roman" w:hAnsi="Times New Roman"/>
          <w:sz w:val="18"/>
          <w:szCs w:val="18"/>
          <w:color w:val="auto"/>
        </w:rPr>
      </w:pPr>
    </w:p>
    <w:p>
      <w:pPr>
        <w:ind w:left="520" w:right="8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a potential Thorough QT, or TQT, study;</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IPF and RCC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IPF or RCC or for the treatment of prurigo nodularis, or from any future product candidates;</w:t>
      </w:r>
    </w:p>
    <w:p>
      <w:pPr>
        <w:spacing w:after="0" w:line="53"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IPF or RCC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2" w:name="page43"/>
    <w:bookmarkEnd w:id="42"/>
    <w:p>
      <w:pPr>
        <w:ind w:left="520" w:right="4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medical affairs activities and establish a commercial infrastructure;</w:t>
      </w:r>
    </w:p>
    <w:p>
      <w:pPr>
        <w:spacing w:after="0" w:line="53"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planned operations, particularly as we:</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2b CORAL clinical trial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1b clinical trial to evaluate the effect of Haduvio on respiratory physiology in patients with IPF of varying disease severity;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2a RIVER clinical trial of Haduvio for the treatment of RCC;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second part of our HAP study to further characterize the abuse potential of oral nalbuphine.</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Haduvio and Any Future Product Candidates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and are investing substantially all our efforts and financial resources to fund the development and commercialization of Haduvio for the treatment of chronic cough in IPF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most advanced programs are the development of Haduvio for the treatment of chronic cough in IPF and RCC. As a result, if our efforts to develop and commercialize Haduvio for the treatment of chronic cough in IPF or RCC are unsuccessful or we experience significant delays in doing so, our business could also be substantially harmed.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Haduvio for the treatment of chronic cough in IPF and RCC will depend on several factors, including the following: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3" w:name="page44"/>
    <w:bookmarkEnd w:id="43"/>
    <w:p>
      <w:pPr>
        <w:ind w:left="52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successfully recruiting, enrolling and retaining patients in and completing additional clinical and nonclinical trials of Haduvio, including the additional clinical trials we are conducting and plan to conduct for the treatment of chronic cough in IPF, one of which is subject to the submission and clearance by the FDA of an IND, and RCC;</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second part of our HAP study;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other supportive clinical studies such as potential studies of physical dependence and TQT;</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MHRA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our third-party supplier of drug substance for Haduvio;</w:t>
      </w:r>
    </w:p>
    <w:p>
      <w:pPr>
        <w:spacing w:after="0" w:line="117" w:lineRule="exact"/>
        <w:rPr>
          <w:rFonts w:ascii="Times New Roman" w:cs="Times New Roman" w:eastAsia="Times New Roman" w:hAnsi="Times New Roman"/>
          <w:sz w:val="18"/>
          <w:szCs w:val="18"/>
          <w:color w:val="auto"/>
        </w:rPr>
      </w:pPr>
    </w:p>
    <w:p>
      <w:pPr>
        <w:ind w:left="520" w:right="7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U.S. and other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focused, specialty sales organization in the U.S. and successfully launching commercial sales following any marketing approval;</w:t>
      </w:r>
    </w:p>
    <w:p>
      <w:pPr>
        <w:spacing w:after="0" w:line="117"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development and commercialization of Haduvio to treat chronic cough is unproven.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Haduvio for the treatment of chronic cough in IPF and RCC.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Additionally, Haduvio has not been approved in any indication. No therapies have been approved in the U.S. or Europe for the treatment of chronic cough in IPF and no therapies have been approved in the U.S. or outside the U.S. (with the exception of Japan and Switzerland) for the treatment of RCC. We can provide no assurance that Haduvio or any other future product candidate that we may seek to develop for chronic cough indications will be effective or safe, obtain regulatory approval or be commercially successful.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4" w:name="page45"/>
    <w:bookmarkEnd w:id="44"/>
    <w:p>
      <w:pPr>
        <w:ind w:right="180"/>
        <w:spacing w:after="0" w:line="282" w:lineRule="auto"/>
        <w:rPr>
          <w:sz w:val="20"/>
          <w:szCs w:val="20"/>
          <w:color w:val="auto"/>
        </w:rPr>
      </w:pPr>
      <w:r>
        <w:rPr>
          <w:rFonts w:ascii="Times New Roman" w:cs="Times New Roman" w:eastAsia="Times New Roman" w:hAnsi="Times New Roman"/>
          <w:sz w:val="18"/>
          <w:szCs w:val="18"/>
          <w:color w:val="auto"/>
        </w:rPr>
        <w:t>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54"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unfavorable or inconclusive results;</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restructure clinical trials, conduct additional clinical and nonclinical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authorization to commence a clinical trial from regulators, clinical sites and institutional review boards;</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as we experienced with the increase of the target number of enrolled patients for our Phase 2b/3 PRISM trial from 240 to 360 patients as a result of the sample size re-estimation analysis;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enrollment in clinical trials may be slower than we anticipate or participants may discontinue their participation in these clinical trials at a higher rate than we anticipate, as we experienced in our Phase 2b/3 PRISM trial of Haduvio for the treatment of prurigo nodularis;</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may be greater than we anticipate, such as if we are required to add additional sites, increase the target number of enrolled patients or use additional incentive strategies to address site activation and enrollment;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sites may not have adequate staff and resources to support our trials on a timely basis;</w:t>
      </w:r>
    </w:p>
    <w:p>
      <w:pPr>
        <w:spacing w:after="0" w:line="11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53" w:lineRule="exact"/>
        <w:rPr>
          <w:rFonts w:ascii="Times New Roman" w:cs="Times New Roman" w:eastAsia="Times New Roman" w:hAnsi="Times New Roman"/>
          <w:sz w:val="18"/>
          <w:szCs w:val="18"/>
          <w:color w:val="auto"/>
        </w:rPr>
      </w:pPr>
    </w:p>
    <w:p>
      <w:pPr>
        <w:ind w:left="520" w:right="360" w:hanging="512"/>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designs or our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520" w:right="320" w:hanging="512"/>
        <w:spacing w:after="0" w:line="289" w:lineRule="auto"/>
        <w:tabs>
          <w:tab w:leader="none" w:pos="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 such as the difficulties we had in obtaining supply of IV butorphanol, the comparator drug in our HAP study;</w:t>
      </w:r>
    </w:p>
    <w:p>
      <w:pPr>
        <w:spacing w:after="0" w:line="49" w:lineRule="exact"/>
        <w:rPr>
          <w:rFonts w:ascii="Times New Roman" w:cs="Times New Roman" w:eastAsia="Times New Roman" w:hAnsi="Times New Roman"/>
          <w:sz w:val="17"/>
          <w:szCs w:val="17"/>
          <w:color w:val="auto"/>
        </w:rPr>
      </w:pPr>
    </w:p>
    <w:p>
      <w:pPr>
        <w:ind w:left="520" w:right="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5" w:name="page46"/>
    <w:bookmarkEnd w:id="45"/>
    <w:p>
      <w:pPr>
        <w:ind w:left="520" w:right="20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68"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2"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 which may exceed the resources that we have available or are able to obtain on reasonable terms;</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312"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marketing approval at all;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we originally intended or desired;</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spacing w:after="0" w:line="8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failure to successfully and timely complete clinical trials of Haduvio for the treatment of chronic cough in IPF or RCC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6" w:name="page47"/>
    <w:bookmarkEnd w:id="4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7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spacing w:after="0" w:line="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the primary endpoint in our future clinical trials of Haduvio for the treatment of chronic cough in IPF and RCC will be measured using an objective cough monitor, we have PRO instruments as secondary endpoints that may need to validate a supportive PRO instrument of the primary endpoint. There is not currently a validated PRO instrument that has been accepted for chronic cough indications.</w:t>
      </w:r>
    </w:p>
    <w:p>
      <w:pPr>
        <w:spacing w:after="0" w:line="68"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In addition, due to the difficulty of objectively measuring pruritus, the assessment of pruritus in clinical trials typically involves the use of PROs. Our clinical trials evaluating the efficacy of Haduvio in pruritus indications, including our Phase 2b/3 PRISM trial,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64"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6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eligible patient population;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47" w:name="page48"/>
    <w:bookmarkEnd w:id="47"/>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eligible patients to clinical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particular, the successful completion of our clinical development program for Haduvio for the treatment of chronic cough in IPF and RCC and for the treatment of prurigo nodularis is dependent upon our ability to enroll a sufficient number of patients with these severe conditions. We experienced delays and difficulties in the enrollment of patients in our clinical trials, including our Phase 2 CANAL trial and our Phase 2b/3 PRISM trial, which delayed the completion of our trials.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Other companies are conducting clinical trials or have announced plans for future clinical trials that are seeking or are likely to seek to enroll patients with IPF, RCC or prurigo nodularis, and patients are generally only able to enroll in a single trial at a time. No therapies have been approved in the U.S. or Europe for the treatment of chronic cough in IPF and no therapies have been approved in the U.S. or outside the U.S. (with the exception of Japan and Switzerland) for the treatment of RCC. However, patients with these conditions, as well as their physicians, may be reluctant to forgo, discontinue or otherwise alter their use of the therapeutic approaches they currently use in order to participate in our clinical trials. For example, patients may use Dupixent (dupilumab), an injectable prescription medicine, that was approved by the FDA for the treatment of prurigo nodularis in September 2022 or various treatments off-label for the treatment of prurigo nodularis, such as antihistamines or gabapentin; these patients and their physicians may be reluctant to forgo, discontinue or otherwise alter their use of Dupixent or any off-label therapeutic approaches to participate in our clinical trials.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8" w:name="page49"/>
    <w:bookmarkEnd w:id="48"/>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IPF, the most frequently reported treatment emergent adverse events associated with Haduvio were nausea, fatigue, dizziness, vomiting, headache, constipation and somnolence.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label for nalbuphine, the active ingredient in Haduvio, carries an opioid class label warning for serious, life-threatening or fatal respiratory depression.</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μ-opioid receptor antagonists such as nalbuphine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to evaluate the effect of Haduvio on respiratory physiology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conducting a HAP study to compare the abuse potential of oral nalbuphine to IV butorphanol. If the results of the HAP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HAP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49" w:name="page50"/>
    <w:bookmarkEnd w:id="49"/>
    <w:p>
      <w:pPr>
        <w:ind w:firstLine="509"/>
        <w:spacing w:after="0" w:line="254"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clinical trials may not be predictive of results of later clinical trials.</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IPF may not be predictive of the results of future trials of Haduvio for the treatment of chronic cough in IPF or RCC,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6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some of our data for Haduvio for the treatment of cough and prurigo nodularis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the Phase 2 CANAL trial and a Phase 2 trial in prurigo nodularis. While we believe these data may be useful in informing the design of future Phase 3 clinical trials for Haduvio,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7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7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72"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the product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0" w:name="page51"/>
    <w:bookmarkEnd w:id="50"/>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2"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compared to other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DEA could determine that Haduvio should be classified as a controlled substance;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for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1" w:name="page52"/>
    <w:bookmarkEnd w:id="51"/>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8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2" w:name="page53"/>
    <w:bookmarkEnd w:id="52"/>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IPF, we expect that it may compete with product candidates currently in clinical development for the treatment of chronic cough in IPF, such as orvepitant, a NK1 receptor antagonist, which is being developed by Nerre Therapeutics, ME-015, a reactive oxygen species scavenger, which is being developed by Melius Pharma, and ifenprodil, a NMDA receptor antagonist, which is being developed by Algernon Pharmaceuticals. In addition, it is possible that product candidates currently in development for the treatment of IPF could, if approved, reduce the need for therapies to treat chronic cough in IPF. We expect that Haduvio might also compete with other product candidates currently in development, or submitted for approval to the FDA, for the treatment of RCC and unexplained chronic cough that might be used off-label to treat chronic cough in IPF.</w:t>
      </w:r>
    </w:p>
    <w:p>
      <w:pPr>
        <w:spacing w:after="0" w:line="8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If Haduvio is approved for the treatment of RCC, we expect that it may compete with product candidates currently in clinical development for the treatment of RCC such as gefapixant, a P2X3 antagonist, which is being developed by Merck, however, in December of 2023 the FDA issued a complete response letter to Merck which concluded that Merck’s application did not meet substantial evidence of effectiveness for treating RCC and unexplained chronic cough. On December 20, 2023, Merck announced that it is reviewing the FDA’s feedback to determine next steps. Other product candidates that are currently in development for the treatment of RCC include camlipixant, a P2X3 antagonist, which is being developed by GSK plc, NTX-1175, a charged sodium channel blocker, which is being developed by Nocion, GDC-6599, a TRPA1 antagonist, which is being developed by Genentech, ifenprodil, a NMDA receptor antagonist, which is being developed by Algernon Pharmaceuticals, AX-8, a TRPM8 antagonist, which is being developed by Axalbion, and GABA</w:t>
      </w:r>
      <w:r>
        <w:rPr>
          <w:rFonts w:ascii="Times New Roman" w:cs="Times New Roman" w:eastAsia="Times New Roman" w:hAnsi="Times New Roman"/>
          <w:sz w:val="24"/>
          <w:szCs w:val="24"/>
          <w:color w:val="auto"/>
          <w:vertAlign w:val="subscript"/>
        </w:rPr>
        <w:t>B</w:t>
      </w:r>
      <w:r>
        <w:rPr>
          <w:rFonts w:ascii="Times New Roman" w:cs="Times New Roman" w:eastAsia="Times New Roman" w:hAnsi="Times New Roman"/>
          <w:sz w:val="18"/>
          <w:szCs w:val="18"/>
          <w:color w:val="auto"/>
        </w:rPr>
        <w:t xml:space="preserve"> PAM, a GABA agonist, which is being developed by Addex Therapeutics.</w:t>
      </w:r>
    </w:p>
    <w:p>
      <w:pPr>
        <w:spacing w:after="0" w:line="8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also expect that Haduvio would compete with a number of therapeutics that are used off-label to treat chronic cough, including opioids, proton-pump inhibitors, and neuromodulators.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Haduvio is approved for the treatment of prurigo nodularis, we expect that it would compete with Dupixent (dupilumab), an injectable prescription medicine which was jointly developed by Sanofi and Regeneron, which is approved in the U.S., E.U., Japan, and China for the treatment of adults with moderate-to-severe prurigo nodularis. We also expect that Haduvio would compete with a number of therapeutics that are used off-label to treat prurigo nodularis, including anti-itch creams and emollients, oral janus kinase, or JAK, receptor inhibitors,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povorcitinib, an oral small molecule targeting the JAK 1, receptor being developed by Incyte; ruxolitinib cream, a topical therapy targeting the JAK 1/JAK 2 receptor being developed by Incyte; and barzolvolimab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spacing w:after="0" w:line="7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3" w:name="page54"/>
    <w:bookmarkEnd w:id="53"/>
    <w:p>
      <w:pPr>
        <w:ind w:right="20"/>
        <w:spacing w:after="0" w:line="261" w:lineRule="auto"/>
        <w:rPr>
          <w:sz w:val="20"/>
          <w:szCs w:val="20"/>
          <w:color w:val="auto"/>
        </w:rPr>
      </w:pPr>
      <w:r>
        <w:rPr>
          <w:rFonts w:ascii="Times New Roman" w:cs="Times New Roman" w:eastAsia="Times New Roman" w:hAnsi="Times New Roman"/>
          <w:sz w:val="18"/>
          <w:szCs w:val="18"/>
          <w:color w:val="auto"/>
        </w:rPr>
        <w:t>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5540" w:right="5520" w:hanging="5532"/>
        <w:spacing w:after="0" w:line="532" w:lineRule="auto"/>
        <w:tabs>
          <w:tab w:leader="none" w:pos="5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 or in-license;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4" w:name="page55"/>
    <w:bookmarkEnd w:id="54"/>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product and clinical trial liability insurance of at least $7.0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55" w:name="page56"/>
    <w:bookmarkEnd w:id="55"/>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79" w:lineRule="exact"/>
        <w:rPr>
          <w:sz w:val="20"/>
          <w:szCs w:val="20"/>
          <w:color w:val="auto"/>
        </w:rPr>
      </w:pPr>
    </w:p>
    <w:p>
      <w:pPr>
        <w:ind w:left="520" w:right="180" w:hanging="512"/>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experience supply chain-related delays, prioritize the supply of other companies’ products over Haduvio or any other drug product needed for our clinical trials or any future product candidates, such as IV butorphanol for our HAP study, or otherwise fail to satisfactorily perform according to the terms of the agreements between us and them or if unforeseen events in the manufacturing process arise;</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In August 2023, Mallinckrodt again filed for bankruptcy protection in the Bankruptcy Court and is seeking that court’s approval of a second chapter 11 reorganization plan. On October 10, 2023, the Bankruptcy Court confirmed Mallinckrodt’s plan of reorganization. On November 14, 2023, Mallinckrodt emerged from bankruptcy. It is currently uncertain what impact, if any, Mallinckrodt’s bankruptcy filings and the associated reorganization plans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8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Haduvio or any future product candidates are approved by any regulatory agency, we will need to enter into agreements with third-party contract manufacturers for the commercial production and distribution of those products.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6" w:name="page57"/>
    <w:bookmarkEnd w:id="56"/>
    <w:p>
      <w:pPr>
        <w:ind w:right="20"/>
        <w:spacing w:after="0" w:line="266" w:lineRule="auto"/>
        <w:rPr>
          <w:sz w:val="20"/>
          <w:szCs w:val="20"/>
          <w:color w:val="auto"/>
        </w:rPr>
      </w:pPr>
      <w:r>
        <w:rPr>
          <w:rFonts w:ascii="Times New Roman" w:cs="Times New Roman" w:eastAsia="Times New Roman" w:hAnsi="Times New Roman"/>
          <w:sz w:val="18"/>
          <w:szCs w:val="18"/>
          <w:color w:val="auto"/>
        </w:rPr>
        <w:t>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spacing w:after="0" w:line="6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7" w:name="page58"/>
    <w:bookmarkEnd w:id="57"/>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the risks relating to product development, regulatory approval and commercialization described in this Annual Report on Form 10-K would also apply to the activities of any such future collaborators.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a product candidate would pose a number of risks, including the following:</w:t>
      </w:r>
    </w:p>
    <w:p>
      <w:pPr>
        <w:spacing w:after="0" w:line="11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and could decide to delay, diminish or terminate the development or commercialization of any product candidate licensed by us;</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the product candidates under the collaboration;</w:t>
      </w:r>
    </w:p>
    <w:p>
      <w:pPr>
        <w:spacing w:after="0" w:line="53"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engage in misconduct or other improper activities, including non-compliance with regulatory standards and requirements;</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regarding intellectual property subject to a license agreement, including:</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activities or product candidates may infringe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collaborative development relationships;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joint creation or use of intellectual property by licensors and us;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8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59" w:name="page60"/>
    <w:bookmarkEnd w:id="59"/>
    <w:p>
      <w:pPr>
        <w:ind w:right="160"/>
        <w:spacing w:after="0" w:line="261" w:lineRule="auto"/>
        <w:rPr>
          <w:sz w:val="20"/>
          <w:szCs w:val="20"/>
          <w:color w:val="auto"/>
        </w:rPr>
      </w:pPr>
      <w:r>
        <w:rPr>
          <w:rFonts w:ascii="Times New Roman" w:cs="Times New Roman" w:eastAsia="Times New Roman" w:hAnsi="Times New Roman"/>
          <w:sz w:val="18"/>
          <w:szCs w:val="18"/>
          <w:color w:val="auto"/>
        </w:rPr>
        <w:t>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8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0" w:name="page61"/>
    <w:bookmarkEnd w:id="60"/>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1" w:name="page62"/>
    <w:bookmarkEnd w:id="61"/>
    <w:p>
      <w:pPr>
        <w:ind w:right="900"/>
        <w:spacing w:after="0" w:line="282" w:lineRule="auto"/>
        <w:rPr>
          <w:sz w:val="20"/>
          <w:szCs w:val="20"/>
          <w:color w:val="auto"/>
        </w:rPr>
      </w:pPr>
      <w:r>
        <w:rPr>
          <w:rFonts w:ascii="Times New Roman" w:cs="Times New Roman" w:eastAsia="Times New Roman" w:hAnsi="Times New Roman"/>
          <w:sz w:val="18"/>
          <w:szCs w:val="18"/>
          <w:color w:val="auto"/>
        </w:rPr>
        <w:t>use, we may not be free to manufacture or market the product candidates as planned without obtaining a license, which may not be available on commercially reasonable terms or at all.</w:t>
      </w:r>
    </w:p>
    <w:p>
      <w:pPr>
        <w:spacing w:after="0" w:line="54"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2" w:name="page63"/>
    <w:bookmarkEnd w:id="62"/>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and the maintenance, enforcement or defense of our issued patents.</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75"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our business could be harmed.</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Haduvio for the treatment of chronic cough in IPF or RCC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intend to pursue FDA approval of Haduvio for the treatment of chronic cough in IPF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4" w:name="page65"/>
    <w:bookmarkEnd w:id="64"/>
    <w:p>
      <w:pPr>
        <w:ind w:firstLine="509"/>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chronic cough in IPF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67"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6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5" w:name="page66"/>
    <w:bookmarkEnd w:id="65"/>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may also require that NDA submissions for our product candidates include pediatric data. Under the Pediatric Research Equity Act, an NDA,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8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6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U.S. could have a significant adverse impact on us. Risks inherent in conducting international clinical trials include:</w:t>
      </w:r>
    </w:p>
    <w:p>
      <w:pPr>
        <w:spacing w:after="0" w:line="54"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6" w:name="page67"/>
    <w:bookmarkEnd w:id="66"/>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Further, we could face heightened risks with respect to obtaining marketing authorization in the U.K. as a result of the withdrawal of the U.K. from the E.U., commonly referred to as Brexit. The U.K. is no longer part of the European Single Market and E.U. Customs Union. As of January 1, 2021, the MHRA became responsible for supervising medicines and medical devices in Great Britain, comprising England, Scotland and Wales under domestic law, whereas under the terms of the Northern Ireland Protocol, Northern Ireland is currently subject to E.U. rules. The U.K. and E.U. have however agreed to the Windsor Framework which fundamentally changes the existing system under the Northern Ireland Protocol, including with respect to the regulation of medicinal products in the U.K. Once implemented, the changes introduced by the Windsor Framework will see the MHRA be responsible for approving all medicinal products destined for the U.K. market (i.e., Great Britain GB and Northern Ireland), and the EMA will no longer have any role in approving medicinal products destined for Northern Ireland.</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7" w:name="page68"/>
    <w:bookmarkEnd w:id="67"/>
    <w:p>
      <w:pPr>
        <w:ind w:right="400"/>
        <w:spacing w:after="0" w:line="312" w:lineRule="auto"/>
        <w:rPr>
          <w:sz w:val="20"/>
          <w:szCs w:val="20"/>
          <w:color w:val="auto"/>
        </w:rPr>
      </w:pPr>
      <w:r>
        <w:rPr>
          <w:rFonts w:ascii="Times New Roman" w:cs="Times New Roman" w:eastAsia="Times New Roman" w:hAnsi="Times New Roman"/>
          <w:sz w:val="17"/>
          <w:szCs w:val="17"/>
          <w:color w:val="auto"/>
        </w:rPr>
        <w:t>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3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clinical trials are successful, we intend to seek approval to market Haduvio for the treatment of chronic cough in IPF or RCC or for the treatment of prurigo nodularis. If we obtain regulatory approval to market Haduvio with an indication statement for the treatment of chronic cough in IPF or RCC,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8" w:name="page69"/>
    <w:bookmarkEnd w:id="68"/>
    <w:p>
      <w:pPr>
        <w:spacing w:after="0" w:line="256" w:lineRule="auto"/>
        <w:rPr>
          <w:sz w:val="20"/>
          <w:szCs w:val="20"/>
          <w:color w:val="auto"/>
        </w:rPr>
      </w:pPr>
      <w:r>
        <w:rPr>
          <w:rFonts w:ascii="Times New Roman" w:cs="Times New Roman" w:eastAsia="Times New Roman" w:hAnsi="Times New Roman"/>
          <w:sz w:val="18"/>
          <w:szCs w:val="18"/>
          <w:color w:val="auto"/>
        </w:rPr>
        <w:t>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4"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9" w:name="page70"/>
    <w:bookmarkEnd w:id="69"/>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ongoing litigation challenging the FDA’s approval of mifepristone. Specifically, on April 7, 2023, the U.S. District Court for the Northern District of Texas stayed the approval by the FDA of mifepristone, a drug product which was originally approved in 2000 and whose distribution is governed by various conditions adopted under a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the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NDA or establish requirements under a REMS based on a showing that the plaintiff or its members would be harmed to the extent that the FDA’s drug approval decision effectively compelled the plaintiffs to provide care for patients suffering adverse events caused by a given drug.</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or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Court of Appeals did hold that plaintiffs were likely to prevail in their claim that changes allowing for expanded access of mifepristone that FDA authorized in 2016 and 2021 were arbitrary and capricious. On September 8, 2023, the Justice Department and a manufacturer of mifepristone filed petitions for a writ of certiorari, requesting that asked the U.S. Supreme Court to review the Court of Appeals’ decision. On December 13, 2023, the Supreme Court granted these petitions for writ of certiorari for the Court of Appeals’ decision.</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national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disruptions may result that are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0" w:name="page71"/>
    <w:bookmarkEnd w:id="70"/>
    <w:p>
      <w:pPr>
        <w:ind w:right="320"/>
        <w:spacing w:after="0" w:line="282" w:lineRule="auto"/>
        <w:rPr>
          <w:sz w:val="20"/>
          <w:szCs w:val="20"/>
          <w:color w:val="auto"/>
        </w:rPr>
      </w:pPr>
      <w:r>
        <w:rPr>
          <w:rFonts w:ascii="Times New Roman" w:cs="Times New Roman" w:eastAsia="Times New Roman" w:hAnsi="Times New Roman"/>
          <w:sz w:val="18"/>
          <w:szCs w:val="18"/>
          <w:color w:val="auto"/>
        </w:rPr>
        <w:t>similar circumstances may adopt similar restrictions or other policy measures in response to a similar public health emergency and may also experience delays in their regulatory activities.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spacing w:after="0" w:line="75" w:lineRule="exact"/>
        <w:rPr>
          <w:sz w:val="20"/>
          <w:szCs w:val="20"/>
          <w:color w:val="auto"/>
        </w:rPr>
      </w:pPr>
    </w:p>
    <w:p>
      <w:pPr>
        <w:jc w:val="both"/>
        <w:ind w:right="60" w:firstLine="509"/>
        <w:spacing w:after="0" w:line="272"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8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1" w:name="page72"/>
    <w:bookmarkEnd w:id="71"/>
    <w:p>
      <w:pPr>
        <w:ind w:right="80"/>
        <w:spacing w:after="0" w:line="261" w:lineRule="auto"/>
        <w:rPr>
          <w:sz w:val="20"/>
          <w:szCs w:val="20"/>
          <w:color w:val="auto"/>
        </w:rPr>
      </w:pPr>
      <w:r>
        <w:rPr>
          <w:rFonts w:ascii="Times New Roman" w:cs="Times New Roman" w:eastAsia="Times New Roman" w:hAnsi="Times New Roman"/>
          <w:sz w:val="18"/>
          <w:szCs w:val="18"/>
          <w:color w:val="auto"/>
        </w:rPr>
        <w:t>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6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(Colorado, Florida, Maine, New Hampshire, New Mexico, North Dakota, Texas, Vermont and Wisconsin) have passed laws allowing for the importation of drugs from Canada. Certain of these states have submitted Section 804 Importation Program proposals and are awaiting FDA approval. On January 5, 2023, the FDA approved Florida’s plan for Canadian drug importation.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To address these costs, the Order directs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2" w:name="page73"/>
    <w:bookmarkEnd w:id="72"/>
    <w:p>
      <w:pPr>
        <w:ind w:right="20"/>
        <w:spacing w:after="0" w:line="256" w:lineRule="auto"/>
        <w:rPr>
          <w:sz w:val="20"/>
          <w:szCs w:val="20"/>
          <w:color w:val="auto"/>
        </w:rPr>
      </w:pPr>
      <w:r>
        <w:rPr>
          <w:rFonts w:ascii="Times New Roman" w:cs="Times New Roman" w:eastAsia="Times New Roman" w:hAnsi="Times New Roman"/>
          <w:sz w:val="18"/>
          <w:szCs w:val="18"/>
          <w:color w:val="auto"/>
        </w:rPr>
        <w:t>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the legislation patients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We expect that litigation involving these and other provisions of the IRA will continue, with unpredictable and uncertain results. 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7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3" w:name="page74"/>
    <w:bookmarkEnd w:id="73"/>
    <w:p>
      <w:pPr>
        <w:ind w:right="120"/>
        <w:spacing w:after="0" w:line="282" w:lineRule="auto"/>
        <w:rPr>
          <w:sz w:val="20"/>
          <w:szCs w:val="20"/>
          <w:color w:val="auto"/>
        </w:rPr>
      </w:pPr>
      <w:r>
        <w:rPr>
          <w:rFonts w:ascii="Times New Roman" w:cs="Times New Roman" w:eastAsia="Times New Roman" w:hAnsi="Times New Roman"/>
          <w:sz w:val="18"/>
          <w:szCs w:val="18"/>
          <w:color w:val="auto"/>
        </w:rPr>
        <w:t>avoiding, decreasing or concealing an obligation to pay money to the federal government, with potential liability including mandatory treble damages and significant per-claim penalties.</w:t>
      </w:r>
    </w:p>
    <w:p>
      <w:pPr>
        <w:spacing w:after="0" w:line="52"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7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7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pacing w:after="0" w:line="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4"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4" w:name="page75"/>
    <w:bookmarkEnd w:id="74"/>
    <w:p>
      <w:pPr>
        <w:ind w:right="80"/>
        <w:spacing w:after="0" w:line="255" w:lineRule="auto"/>
        <w:rPr>
          <w:sz w:val="20"/>
          <w:szCs w:val="20"/>
          <w:color w:val="auto"/>
        </w:rPr>
      </w:pPr>
      <w:r>
        <w:rPr>
          <w:rFonts w:ascii="Times New Roman" w:cs="Times New Roman" w:eastAsia="Times New Roman" w:hAnsi="Times New Roman"/>
          <w:sz w:val="18"/>
          <w:szCs w:val="18"/>
          <w:color w:val="auto"/>
        </w:rPr>
        <w:t>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82"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6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5" w:name="page76"/>
    <w:bookmarkEnd w:id="75"/>
    <w:p>
      <w:pPr>
        <w:ind w:right="240"/>
        <w:spacing w:after="0" w:line="282" w:lineRule="auto"/>
        <w:rPr>
          <w:sz w:val="20"/>
          <w:szCs w:val="20"/>
          <w:color w:val="auto"/>
        </w:rPr>
      </w:pPr>
      <w:r>
        <w:rPr>
          <w:rFonts w:ascii="Times New Roman" w:cs="Times New Roman" w:eastAsia="Times New Roman" w:hAnsi="Times New Roman"/>
          <w:sz w:val="18"/>
          <w:szCs w:val="18"/>
          <w:color w:val="auto"/>
        </w:rPr>
        <w:t>the CPRA. While clinical trial data is currently exempt from the current version of the CCPA, other personal information may be applicable and possible changes to the CCPA may broaden its scope.</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will regulate the collection and sharing of health information, and the law also has a private right of action, which further increases the relevant compliance risk. Connecticut and Nevada have also passed similar laws regulating consumer health data and additional states (including Vermont) are considering such legislation for 2024. These laws may impact our business activities, including our identification of research patients, relationships with business partners and ultimately the marketing and distribution of our products.</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6" w:name="page77"/>
    <w:bookmarkEnd w:id="76"/>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80"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6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commonly known as the Orange Book.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7" w:name="page78"/>
    <w:bookmarkEnd w:id="77"/>
    <w:p>
      <w:pPr>
        <w:ind w:right="120"/>
        <w:spacing w:after="0" w:line="255" w:lineRule="auto"/>
        <w:rPr>
          <w:sz w:val="20"/>
          <w:szCs w:val="20"/>
          <w:color w:val="auto"/>
        </w:rPr>
      </w:pPr>
      <w:r>
        <w:rPr>
          <w:rFonts w:ascii="Times New Roman" w:cs="Times New Roman" w:eastAsia="Times New Roman" w:hAnsi="Times New Roman"/>
          <w:sz w:val="18"/>
          <w:szCs w:val="18"/>
          <w:color w:val="auto"/>
        </w:rPr>
        <w:t>Manufacturers may seek approval of generic versions of reference-listed drugs through submission of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For the purposes of this provision, an NCE is a drug that contains an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8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6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highly dependent on Jennifer Good, our President and Chief Executive Officer; Thomas Sciascia, M.D., our Chief Scientific Officer; and David Clark, M.D., MRCP, our Chief Medical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8" w:name="page79"/>
    <w:bookmarkEnd w:id="78"/>
    <w:p>
      <w:pPr>
        <w:spacing w:after="0" w:line="258" w:lineRule="auto"/>
        <w:rPr>
          <w:sz w:val="20"/>
          <w:szCs w:val="20"/>
          <w:color w:val="auto"/>
        </w:rPr>
      </w:pPr>
      <w:r>
        <w:rPr>
          <w:rFonts w:ascii="Times New Roman" w:cs="Times New Roman" w:eastAsia="Times New Roman" w:hAnsi="Times New Roman"/>
          <w:sz w:val="18"/>
          <w:szCs w:val="18"/>
          <w:color w:val="auto"/>
        </w:rPr>
        <w:t>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expand our organization, we may encounter difficulties in managing our growth, which could disrupt our operations.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25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spacing w:after="0" w:line="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79" w:name="page80"/>
    <w:bookmarkEnd w:id="79"/>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March 16, 2022, we received a letter from the Staff indicating that, as a result of an increase in our stock price, we had regained compliance with the Bid Price Requirement as of such date.</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68"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Haduvio 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Haduvio or any future product candidates or competitors’ products and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of our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efforts to discover, develop, acquire or in-license additional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80" w:name="page81"/>
    <w:bookmarkEnd w:id="80"/>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estimated financial results or development timelines;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 the U.S. and other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recent adverse changes in the domestic and international financial markets and the impacts of inflation and government action in response thereto;</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considerations described in this “Risk Factors” section.</w:t>
      </w:r>
    </w:p>
    <w:p>
      <w:pPr>
        <w:spacing w:after="0" w:line="11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6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including by us, employees and significant stockholders, could negatively affect our stock price.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68"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81" w:name="page82"/>
    <w:bookmarkEnd w:id="81"/>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2023 ATM Sales Agreement, with Leerink Partners and filed a prospectus under our Shelf Registration Statement for the offer and sale of shares of our common stock having an aggregate offering price of up to $75.0 million pursuant to the 2023 ATM Sales Agreement. In accordance with the terms of the 2023 ATM Sales Agreement, our prior ATM sales agreement terminated upon effectiveness of the Shelf Registration Statement, at which point we were no longer able to issue and sell shares of our common stock under our prior ATM sales agreement. From time to time, we may offer and sell under the 2023 ATM Sales Agreement common stock registered under the Shelf Registration Statement pursuant to one or more “at-the-market” offerings. The extent to which we utilize the 2023 ATM Sales Agreement as a source of funding will depend on a number of factors, including the prevailing market price of our common stock, general market conditions and the extent to which we are able to secure funds from other sources.</w:t>
      </w:r>
    </w:p>
    <w:p>
      <w:pPr>
        <w:spacing w:after="0" w:line="8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March 20, 2024, warrants issued to the Initial Private Placement Investor to purchase 6,000,000 shares of common stock remained outstanding.</w:t>
      </w:r>
    </w:p>
    <w:p>
      <w:pPr>
        <w:spacing w:after="0" w:line="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March 20, 2024, all of the warrants issued to NEA remained outstanding.</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2" w:name="page83"/>
    <w:bookmarkEnd w:id="82"/>
    <w:p>
      <w:pPr>
        <w:ind w:right="40"/>
        <w:spacing w:after="0" w:line="254" w:lineRule="auto"/>
        <w:rPr>
          <w:sz w:val="20"/>
          <w:szCs w:val="20"/>
          <w:color w:val="auto"/>
        </w:rPr>
      </w:pPr>
      <w:r>
        <w:rPr>
          <w:rFonts w:ascii="Times New Roman" w:cs="Times New Roman" w:eastAsia="Times New Roman" w:hAnsi="Times New Roman"/>
          <w:sz w:val="18"/>
          <w:szCs w:val="18"/>
          <w:color w:val="auto"/>
        </w:rPr>
        <w:t>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March 20, 2024, pre-funded warrants that we issued and sold in the April 2022 Private Placement to purchase 17,282,760 shares of common stock remained outstanding.</w:t>
      </w:r>
    </w:p>
    <w:p>
      <w:pPr>
        <w:spacing w:after="0" w:line="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Finally, on September 27, 2022, we issued and sold an aggregate of 14,252,670 shares of our common stock, and, in lieu of common stock to certain investors, pre-funded warrants to purchase 14,247,330 shares of common stock, in a public offering, or the 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March 20, 2024, pre-funded warrants that we issued and sold in the September 2022 Offering to purchase 13,270,983 shares of common stock remained outstanding.</w:t>
      </w:r>
    </w:p>
    <w:p>
      <w:pPr>
        <w:spacing w:after="0" w:line="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or other securities by our stockholders, by us under the Shelf Registration Statement, whether pursuant to the 2023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had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of which pre-funded warrants to purchase 17,282,760 shares of common stock remained outstanding as of March 20, 2024. Finally, we issued pre-funded warrants to purchase up to an aggregate of 14,247,330 shares of our common stock at an exercise price of $0.001 per share to certain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3" w:name="page84"/>
    <w:bookmarkEnd w:id="83"/>
    <w:p>
      <w:pPr>
        <w:ind w:right="400"/>
        <w:spacing w:after="0" w:line="282" w:lineRule="auto"/>
        <w:rPr>
          <w:sz w:val="20"/>
          <w:szCs w:val="20"/>
          <w:color w:val="auto"/>
        </w:rPr>
      </w:pPr>
      <w:r>
        <w:rPr>
          <w:rFonts w:ascii="Times New Roman" w:cs="Times New Roman" w:eastAsia="Times New Roman" w:hAnsi="Times New Roman"/>
          <w:sz w:val="18"/>
          <w:szCs w:val="18"/>
          <w:color w:val="auto"/>
        </w:rPr>
        <w:t>purchasers in the September 2022 Offering, of which pre-funded warrants to purchase 13,270,983 shares of common stock remained outstanding as of March 20, 2024.</w:t>
      </w:r>
    </w:p>
    <w:p>
      <w:pPr>
        <w:spacing w:after="0" w:line="5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Given the amount and terms of these warrants, we may find it more difficult to raise additional equity capital on favorable terms or at all while these warrants are outstanding.</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our executive officers and directors and their affiliates, who have significant influence over our business, which may prevent new investors from influencing significant corporate decisions.</w:t>
      </w:r>
    </w:p>
    <w:p>
      <w:pPr>
        <w:spacing w:after="0" w:line="51" w:lineRule="exact"/>
        <w:rPr>
          <w:sz w:val="20"/>
          <w:szCs w:val="20"/>
          <w:color w:val="auto"/>
        </w:rPr>
      </w:pPr>
    </w:p>
    <w:p>
      <w:pPr>
        <w:jc w:val="both"/>
        <w:ind w:right="220" w:firstLine="509"/>
        <w:spacing w:after="0" w:line="289" w:lineRule="auto"/>
        <w:rPr>
          <w:sz w:val="20"/>
          <w:szCs w:val="20"/>
          <w:color w:val="auto"/>
        </w:rPr>
      </w:pPr>
      <w:r>
        <w:rPr>
          <w:rFonts w:ascii="Times New Roman" w:cs="Times New Roman" w:eastAsia="Times New Roman" w:hAnsi="Times New Roman"/>
          <w:sz w:val="17"/>
          <w:szCs w:val="17"/>
          <w:color w:val="auto"/>
        </w:rPr>
        <w:t>Our executive officers and directors and their respective affiliates, beneficially own, in the aggregate, shares representing approximately 24.9% of our common stock as of March 20, 2024.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spacing w:after="0" w:line="50"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7"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sale, other business combination or other significant corporate transaction involving us that other stockholders may desire.</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4" w:name="page85"/>
    <w:bookmarkEnd w:id="84"/>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for up to five years, or until December 31, 2024.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5" w:right="399" w:bottom="1440" w:gutter="0" w:footer="0" w:header="0"/>
        </w:sectPr>
      </w:pPr>
    </w:p>
    <w:bookmarkStart w:id="85" w:name="page86"/>
    <w:bookmarkEnd w:id="85"/>
    <w:p>
      <w:pPr>
        <w:ind w:right="40"/>
        <w:spacing w:after="0" w:line="253" w:lineRule="auto"/>
        <w:rPr>
          <w:sz w:val="20"/>
          <w:szCs w:val="20"/>
          <w:color w:val="auto"/>
        </w:rPr>
      </w:pPr>
      <w:r>
        <w:rPr>
          <w:rFonts w:ascii="Times New Roman" w:cs="Times New Roman" w:eastAsia="Times New Roman" w:hAnsi="Times New Roman"/>
          <w:sz w:val="18"/>
          <w:szCs w:val="18"/>
          <w:color w:val="auto"/>
        </w:rPr>
        <w:t>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$186.9 million and federal research and development tax credit carryforwards of $6.2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spacing w:after="0" w:line="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Recent changes in tax law may adversely affect our business or financial condition. On December 22, 2017, the U.S. government enacted the Tax Act, which significantly reformed the IRC. The Tax Act, as amended by the CARES Act, contained significant changes to corporate taxation, including a reduction of the corporate tax rate from a top marginal rate of 35% to a flat rate of 21% and the limitation of the deduction for net operating losses arising in taxable years beginning after December 31, 2017 to 80% of current year taxable income and elimination of net operating loss carrybacks for such losses (though any such NOLs may be carried forward indefinitely). In addition, beginning in 2022, the Tax Act eliminated the option to deduct research and development expenditures currently and generally requires corporations to capitalize and amortize them over five years or 15 years in the case of expenditures attributable to foreign research.</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CARES Act, as part of Congress’s response to the COVID-19 pandemic, economic relief legislation was enacted in 2020 and 2021 containing tax provisions. The IRA was also signed into law in August 2022. The IRA introduced new tax provisions, including a 1% excise tax imposed on certain stock repurchases by publicly traded companies. The 1% excise tax generally applies to any acquisition of stock by a publicly traded company (or certain of its affiliates) from a stockholder of the company in exchange for money or other property (other than stock of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itself), subject to a de minimis exception. Thus, the excise tax could apply to certain transactions that are not traditional stock repurchases.</w:t>
      </w:r>
    </w:p>
    <w:p>
      <w:pPr>
        <w:spacing w:after="0" w:line="11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Regulatory guidance under the Tax Act, the IRA, and such additional legislation is and continues to be forthcoming and such guidance could ultimately increase or lessen impact of these laws on our business and financial condition. In addition, it is uncertain if and to what extent various states will conform to the Tax Act, the IRA, and such additional legislation.</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jc w:val="both"/>
        <w:ind w:left="520" w:right="28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3" w:lineRule="exact"/>
        <w:rPr>
          <w:sz w:val="20"/>
          <w:szCs w:val="20"/>
          <w:color w:val="auto"/>
        </w:rPr>
      </w:pPr>
    </w:p>
    <w:p>
      <w:pPr>
        <w:ind w:right="180" w:firstLine="8"/>
        <w:spacing w:after="0" w:line="260"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or governed by the internal affairs doctrine. Our certificate of incorporation further provides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7" w:name="page88"/>
    <w:bookmarkEnd w:id="87"/>
    <w:p>
      <w:pPr>
        <w:spacing w:after="0" w:line="281" w:lineRule="auto"/>
        <w:rPr>
          <w:sz w:val="20"/>
          <w:szCs w:val="20"/>
          <w:color w:val="auto"/>
        </w:rPr>
      </w:pPr>
      <w:r>
        <w:rPr>
          <w:rFonts w:ascii="Times New Roman" w:cs="Times New Roman" w:eastAsia="Times New Roman" w:hAnsi="Times New Roman"/>
          <w:sz w:val="17"/>
          <w:szCs w:val="17"/>
          <w:color w:val="auto"/>
        </w:rPr>
        <w:t>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5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overall risk management program and information technology function and are designed to help protect our information assets and operations from cyber threats, protect employee and patient information from unauthorized access or attack, as well as secure our networks and systems. Such processes include physical, procedural and technical safeguards, and routine review of our operations to identify risks and enhance our practices. We engage certain external parties, including consultants and computer security firms, to enhance our cybersecurity oversight. We consider the internal risk oversight programs of third-party service providers when engaging them in order to help protect us from any related vulnerabilities.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does not believe that there are currently any known risks from cybersecurity threats that are reasonably likely to materially affect us or our business strategy, results of operations or financial condition.</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direct oversight over cybersecurity risk and provides updates to the board of directors regarding such oversight. The audit committee receives periodic updates from management regarding cybersecurity matters and is notified between such updates regarding significant new cybersecurity threats or incidents.</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also established a Cybersecurity Committee that meets on a quarterly basis to review and agree on actions to address cybersecurity risks. The Cybersecurity Committee is led by our chief information officer, or CIO, who is a part-time consultant and includes our chief executive officer and chief financial officer. Our CIO, who reports to our chief financial officer, is responsible for the strategic leadership of our cybersecurity programs, identification of cybersecurity risks and the mitigation plans that address these risks. With over 25 years of experience in information technology, the CIO works alongside individuals across other functions, such as clinical operations, legal and quality compliance, to establish and implement our cybersecurity strategy. Our CIO has a bachelor’s degree in Technology and an M.B.A. along with over 10 years of experience in information technology in the life sciences industry.</w:t>
      </w:r>
    </w:p>
    <w:p>
      <w:pPr>
        <w:spacing w:after="0" w:line="8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including part-time and temporary employees, with a data protection, cybersecurity training and compliance program, which covers timely and relevant topics, including social engineering, phishing, password protection, confidential data protection, and asset use, and educates employees on the importance of reporting all incidents immediately. We conduct frequent phishing simulations requiring employees to identify and report simulated phishing emails. We also use technology-based tools to mitigate cybersecurity risks and to bolster our employee-based cybersecurity programs.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headquarters is currently located in New Haven, Connecticut, and consists of approximately 12,500 square feet of leased office space under a lease that expires in February 2028 and under which we have an option to extend the lease by a five-year term. We believe that our existing facilities are adequate for our current needs; however, we may require additional space and facilities as our business expands.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18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42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Our common stock is listed on the Nasdaq Stock Market LLC under the symbol “TRVI.” </w:t>
      </w:r>
      <w:r>
        <w:rPr>
          <w:rFonts w:ascii="Times New Roman" w:cs="Times New Roman" w:eastAsia="Times New Roman" w:hAnsi="Times New Roman"/>
          <w:sz w:val="18"/>
          <w:szCs w:val="18"/>
          <w:b w:val="1"/>
          <w:bCs w:val="1"/>
          <w:color w:val="auto"/>
        </w:rPr>
        <w:t>Stockholders</w:t>
      </w:r>
    </w:p>
    <w:p>
      <w:pPr>
        <w:spacing w:after="0" w:line="1"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As of March 20, 2024, there were approximately 20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concerning our equity compensation plan is incorporated by reference from the information in our Proxy Statement for our 2024 Annual Meeting of Stockholders, which we will file with the SEC within 120 days of the end of the fiscal year to which this Annual Report on Form 10-K relates.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I-Item 1A “Risk Factors” and our other filings with the SEC.</w:t>
      </w:r>
    </w:p>
    <w:p>
      <w:pPr>
        <w:spacing w:after="0" w:line="6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for the treatment of chronic cough in idiopathic pulmonary fibrosis, or IPF, and refractory chronic cough, or RCC.</w:t>
      </w:r>
    </w:p>
    <w:p>
      <w:pPr>
        <w:spacing w:after="0" w:line="5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IPF Program. </w:t>
      </w:r>
      <w:r>
        <w:rPr>
          <w:rFonts w:ascii="Times New Roman" w:cs="Times New Roman" w:eastAsia="Times New Roman" w:hAnsi="Times New Roman"/>
          <w:sz w:val="18"/>
          <w:szCs w:val="18"/>
          <w:color w:val="auto"/>
        </w:rPr>
        <w:t>In September 2022, we announced positive data from the full set of patients in our Phase 2 clinical trial of Haduvio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chronic cough in IPF, which we refer to as the Phase 2 CANAL trial. The Phase 2 CANAL trial was a randomized, double-blind, placebo controlled, two-treatment, two-period, crossover study that was designed to evaluate the efficacy, safety, tolerability and dosing of Haduvio for chronic cough in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we initiated our Phase 2b CORAL clinical trial, which is a dose-ranging study evaluating the efficacy, safety and tolerability of Haduvio for chronic cough in IPF. This trial is expected to be conducted at multiple sites in up to 11 countries and uses a randomized, double-blind, placebo-controlled, parallel-arm design, which evaluates three doses of Haduvio over six weeks as compared to placebo. The primary efficacy endpoint for the trial is the relative change in 24-hour cough frequency at the end of week six versus baseline for Haduvio compared to placebo, as measured via an objective cough monitor. We expect the trial to enroll approximately 160 patients. The protocol for the Phase 2b CORAL clinical trial provides for a sample size re-estimation, or SSRE, analysis once approximately 50% of the patients in the trial are evaluable for the primary endpoint. The SSRE is expected to occur in the second half of 2024, and topline data from the full trial are expected to be available in the first half of 2025 assuming there are no adjustments made to the sample size.</w:t>
      </w:r>
    </w:p>
    <w:p>
      <w:pPr>
        <w:spacing w:after="0" w:line="8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expect to have an active investigational new drug application for our planned Phase 1b clinical trial to evaluate the effect of Haduvio on respiratory physiology in patients with IPF of varying disease severity in the first half of 2024. We expect the objective for this clinical trial will be to further characterize the safety of Haduvio in this specific patient population. Subject to agreement with the U.S. Food and Drug Administration, or FDA, and other international regulatory authorities, we intend to initiate this trial in the first half of 2024.</w:t>
      </w:r>
    </w:p>
    <w:p>
      <w:pPr>
        <w:spacing w:after="0" w:line="7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RCC Program. </w:t>
      </w:r>
      <w:r>
        <w:rPr>
          <w:rFonts w:ascii="Times New Roman" w:cs="Times New Roman" w:eastAsia="Times New Roman" w:hAnsi="Times New Roman"/>
          <w:sz w:val="18"/>
          <w:szCs w:val="18"/>
          <w:color w:val="auto"/>
        </w:rPr>
        <w:t>We are also developing Haduvio for the treatment of RCC. In November 2023, we initiated our Phase 2a clinical trial of Haduvio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RCC, which we refer to as the Phase 2a RIVER trial. The Phase 2a RIVER trial is a randomized, double-blind, placebo-controlled, two-treatment, two-period, crossover study that is designed to evaluate the efficacy, safety, tolerability and dosing of Haduvio for the treatment of RCC. We are conducting this trial at multiple sites in the United Kingdom and Canada. The trial was designed to enroll approximately 60 adult patients. The primary endpoint of the study is a mean change in 24-hour cough frequency using an objective cough monitor in the overall population. Patients are randomized with a 1:1 stratification between those with 10-19 coughs/hour (moderate 24-hour cough frequency) and those with at least 20 coughs/hour (high 24-hour cough frequency). The study will also explore secondary endpoints, including patient reported outcome measures for cough frequency and severity. We expect to report topline efficacy and safety data in the second half of 2024.</w:t>
      </w:r>
    </w:p>
    <w:p>
      <w:pPr>
        <w:spacing w:after="0" w:line="7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Human Abuse Potential. </w:t>
      </w:r>
      <w:r>
        <w:rPr>
          <w:rFonts w:ascii="Times New Roman" w:cs="Times New Roman" w:eastAsia="Times New Roman" w:hAnsi="Times New Roman"/>
          <w:sz w:val="18"/>
          <w:szCs w:val="18"/>
          <w:color w:val="auto"/>
        </w:rPr>
        <w:t>We initiated a human abuse potential, or HAP, study in the fourth quarter of 2022 to compare the abuse potential of oral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nalbuphine to intravenous, or IV, butorphanol. The injectable version of nalbuphine is currently unscheduled in the U.S. by the Drug Enforcement Agency. The study follows a randomized, double-blind, active and placebo-controlled five-way crossover design. The study is being conducted in two parts. The first part of the study characterized various IV butorphanol doses in order to select a dose to be studied. The second part of the study is designed to utilize the selected dose and compare oral nalbuphine relative to IV butorphanol using the study metrics. We have completed the first part of the study. The FDA requested that we submit the data from the first part of the study in support of our IV butorphanol dose selection for their review and comment prior to commencing the second part of the study. We submitted this data to the FDA and the FDA agreed with the selected dose for IV butorphanol. We initiated dosing in the second part of the study in January 2024, and, as of March 11, 2024, the study was over 50% enrolled. We expect to report topline data from the study in the second half of 2024.</w:t>
      </w:r>
    </w:p>
    <w:p>
      <w:pPr>
        <w:spacing w:after="0" w:line="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Prurigo Nodularis Program. </w:t>
      </w:r>
      <w:r>
        <w:rPr>
          <w:rFonts w:ascii="Times New Roman" w:cs="Times New Roman" w:eastAsia="Times New Roman" w:hAnsi="Times New Roman"/>
          <w:sz w:val="18"/>
          <w:szCs w:val="18"/>
          <w:color w:val="auto"/>
        </w:rPr>
        <w:t>We also have a development program for the use of Haduvio for the treatment of prurigo nodularis. In June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positive results in our Phase 2b/3 clinical trial of Haduvio in patients with prurigo nodularis, which we refer to as the Phase 2b/3 PRISM trial. The Phase 2b/3 PRISM trial was a randomized, double-blind, placebo controlled, two-arm treatment study that was designed to evaluate the safety and efficacy of Haduvio in patients with prurigo nodularis in the United States and Europe. In total we enrolled 353 patients in the study. In the Phase 2b/3 PRISM trial, Haduvio demonstrated statistically significant results on the primary and all three key secondary endpoints. The safety results of the trial were generally consistent with the known safety profile of Haduvio from previous trials in other patient populations.</w:t>
      </w:r>
    </w:p>
    <w:p>
      <w:pPr>
        <w:spacing w:after="0" w:line="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October 2023, we reported the preliminary analysis of the 52-week data from the open-label extension portion of the Phase 2b/3 PRISM trial. Following the completion of the initial 14-week portion of the trial, patients were eligible to enroll into an additional 38-week open-label extension period during which all participants received Haduvio 162mg twice a day (BID). Post hoc analyses demonstrated continued reduction in mean Worst Itch Numerical Rating Scale for those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90" w:name="page91"/>
    <w:bookmarkEnd w:id="90"/>
    <w:p>
      <w:pPr>
        <w:ind w:right="20"/>
        <w:spacing w:after="0" w:line="256" w:lineRule="auto"/>
        <w:rPr>
          <w:sz w:val="20"/>
          <w:szCs w:val="20"/>
          <w:color w:val="auto"/>
        </w:rPr>
      </w:pPr>
      <w:r>
        <w:rPr>
          <w:rFonts w:ascii="Times New Roman" w:cs="Times New Roman" w:eastAsia="Times New Roman" w:hAnsi="Times New Roman"/>
          <w:sz w:val="18"/>
          <w:szCs w:val="18"/>
          <w:color w:val="auto"/>
        </w:rPr>
        <w:t>participants who remained on Haduvio through 52 weeks. 151 patients completed the open-label extension portion of the trial, adding to the safety database for Haduvio. The safety data were generally consistent with the safety profile of Haduvio observed in the 14-week portion of the Phase 2b/3 PRISM trial and previous trials of Haduvio. Adverse events reported with a frequency greater than five percent in the 38-week open-label period included nausea, dizziness, vomiting, fatigue, and somnolence. Study discontinuation due to treatment-related adverse events occurred in 13% of patients during the 38-week open-label period, and serious adverse events were reported for 13 patients, although only two of these events were considered potentially treatment related.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we will need to conduct an additional Phase 3 clinical trial to support the submission of a new drug application, or NDA, to the FDA, a marketing authorization application, or MAA, to the European Medicines Agency and an MAA to the Medicines and Healthcare Products Regulatory Agency in the United Kingdom for Haduvio for the treatment of prurigo nodularis, and plan to request an end of Phase 2 meeting with the FDA. Following discussions with the FDA and other regulatory authorities, we plan to determine next steps with respect to our prurigo nodularis program, including with respect to the conduct of any future Phase 3 clinical trial. We may seek to enter into a strategic collaboration for the continued development of this program.</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December 31, 2023, we had an accumulated deficit of $239.1 million, primarily as a result of research and development and general and administrative expenses. We do not expect to generate product revenue unless and until we obtain marketing approval for and commercialize Haduvio for the treatment of chronic cough in IPF and RCC or for the treatment of prurigo nodularis and we can provide no assurance that we will ever generate significant revenue or profits.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2020, we entered into a sales agreement with SVB Securities LLC (formerly SVB Leerink LLC), or SVB Securities, which we refer to as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of 1933, as amended. We were not obligated to make any sales of our common stock under the ATM Sales Agreement. We began making sales pursuant to the ATM Sales Agreement in July 2020, and as of August 15, 2023, the date of termination of the ATM Sales Agreement, we had issued and sold an aggregate of 4,333,394 shares of common stock for gross proceeds of $12.7 million pursuant to the ATM Sales Agreement, before deducting estimated commissions and allocated fees of $1.0 million.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a new sales agreement with Leerink Partners, LLC (formerly SVB Securities), or Leerink Partners, which we refer to as the 2023 ATM Sales Agreement, under which we may issue and sell shares of common stock, from time to time by any method that is deemed an “at-the-market” offering as defined in Rule 415(a)(4) under the Securities Act of 1933, as amended.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December 31, 2023, we had not made any sales pursuant to the 2023 ATM Sales Agreement.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5, 2021 and October 18, 2021, we issued and sold in two private placements, or the October 2021 Private Placements, in the aggregate</w:t>
      </w:r>
    </w:p>
    <w:p>
      <w:pPr>
        <w:spacing w:after="0" w:line="27" w:lineRule="exact"/>
        <w:rPr>
          <w:sz w:val="20"/>
          <w:szCs w:val="20"/>
          <w:color w:val="auto"/>
        </w:rPr>
      </w:pPr>
    </w:p>
    <w:p>
      <w:pPr>
        <w:ind w:right="40" w:firstLine="8"/>
        <w:spacing w:after="0" w:line="252" w:lineRule="auto"/>
        <w:tabs>
          <w:tab w:leader="none" w:pos="2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Of the accompanying common stock warrants, we issued warrants to purchase an aggregate of 9,151,122 shares that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1" w:name="page92"/>
    <w:bookmarkEnd w:id="91"/>
    <w:p>
      <w:pPr>
        <w:spacing w:after="0" w:line="261" w:lineRule="auto"/>
        <w:rPr>
          <w:sz w:val="20"/>
          <w:szCs w:val="20"/>
          <w:color w:val="auto"/>
        </w:rPr>
      </w:pPr>
      <w:r>
        <w:rPr>
          <w:rFonts w:ascii="Times New Roman" w:cs="Times New Roman" w:eastAsia="Times New Roman" w:hAnsi="Times New Roman"/>
          <w:sz w:val="18"/>
          <w:szCs w:val="18"/>
          <w:color w:val="auto"/>
        </w:rPr>
        <w:t>are to expire in April 2025 and warrants to purchase an aggregate of 9,151,122 shares that are to expire in October 2028. The accompanying common stock warrants have an exercise price of $1.37 per share and became exercisable immediately upon issuance. As of March 20, 2024, warrants to purchase 1,851,852 shares of common stock that are to expire in April 2025 and warrants to purchase 7,851,852 shares of common stock that are to expire in October 2028 remained outstanding.</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 As of March 20, 2024, pre-funded warrants to purchase 17,282,760 shares of common stock that we issued and sold in the April 2022 Private Placement remained outstanding.</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is exercisable immediately and will be exercisable until the pre-funded warrant is exercised in full. Under the terms of the Underwriting Agreement, we agreed not to issue and sell additional shares until after November 21, 2022 except in certain circumstances, including the issuance and sale of additional shares pursuant to the Underwriting Agreement.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 As of March 20, 2024, pre-funded warrants to purchase 13,270,983 shares of common stock that we issued and sold in the September 2022 Offering remained outstanding.</w:t>
      </w:r>
    </w:p>
    <w:p>
      <w:pPr>
        <w:spacing w:after="0" w:line="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May 9, 2023, we paid the remaining amount due under the loan and security agreement, or the SVB Loan Agreement, that we originally entered into with Silicon Valley Bank, or SVB, in August 2020, resulting in the full extinguishment of the term loan thereunder, or the SVB Term Loan. The total payoff amount was $6.5 million, consisting of the remaining principal amount due of $5.2 million, the final payment fee of $1.2 million, and $0.1 million of accrued interest and prepayment premium. In August 2020, we entered into the SVB Loan Agreement with SVB, pursuant to which SVB provided the SVB Term Loan to us in the original principal amount of $14.0 million. On the first business day of each month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For further discussion of the SVB Term Loan, see “—Liquidity and Capital Resources.”</w:t>
      </w:r>
    </w:p>
    <w:p>
      <w:pPr>
        <w:spacing w:after="0" w:line="10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had cash, cash equivalents and marketable securities of $83.0 million. We believe that our existing cash, cash equivalents and marketable securities will enable us to fund our operating expenses and capital expenditure requirements for at least 12 months from the date of issuance of the Consolidated Financial Statements included in this Annual Report on Form 10-K.</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Phase 2b CORAL clinical trial for the treatment of chronic cough in IPF, our Phase 2a RIVER clinical trial of Haduvio for the treatment of RCC, our planned Phase 1b respiratory physiology clinical trial for the treatment of chronic cough in IPF and the second part of our HAP study to compare the abuse potential of oral nalbuphine to IV butorphanol.</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contract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68"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and expanded infrastructure.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primarily on our cash, cash equivalents and marketable securities as well as accretion of discounts/amortization of premiums on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income related to an employee retention tax credit under the Coronavirus Aid, Relief, and Economic Security Act, foreign currency transaction gains and losses as well as an immaterial effect from early extinguishment of debt in connection with us paying the remaining amounts due under the SVB Loan Agreement.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August 2020, we entered into the SVB Loan Agreement pursuant to which we borrowed $14.0 million under the SVB Term Loan. In connection with the SVB Term Loan, we recognized interest expense which included amortization of deferred financing charges, accretion of loan discount-financing costs, accrual of the final payment fee, amortization of the term loan discount-interest and the stated interest on the SVB Term Loan. Prior to the Third Amendment to the SVB Loan Agreement that we entered into with SVB in April 2022, or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would have been adjusted to a floating rate equal to the greater of (A) the prime rate plus 3.00% and (B) 6.25%.</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Under the Third Amendment, SVB agreed that amounts outstanding under the SVB Loan Agreement would accrue interest at a floating per annum rate equal to (i) the greater of (A) the prime rate plus 1.00% and (B) 4.25%, prior to raising $45.0 million in net proceeds from the sale of equity securities, which we refer to as the 2022 Equity Event, and (ii) upon and after the occurrence of the 2022 Equity Event, the greater of (A) the prime rate plus 3.00% and (B) 6.25%. The closing of the April 2022 Private Placement constituted the 2022 Equity Event.</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SVB Term Loan required interest-only payments until March 2022. Commencing on March 1, 2022, we were required to repay the SVB Term Loan in 24 consecutive installments of principal plus monthly payments of accrued interest. All outstanding principal and accrued and unpaid interest under the SVB Term Loan and all other outstanding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93" w:name="page94"/>
    <w:bookmarkEnd w:id="93"/>
    <w:p>
      <w:pPr>
        <w:ind w:right="240"/>
        <w:spacing w:after="0" w:line="289" w:lineRule="auto"/>
        <w:rPr>
          <w:sz w:val="20"/>
          <w:szCs w:val="20"/>
          <w:color w:val="auto"/>
        </w:rPr>
      </w:pPr>
      <w:r>
        <w:rPr>
          <w:rFonts w:ascii="Times New Roman" w:cs="Times New Roman" w:eastAsia="Times New Roman" w:hAnsi="Times New Roman"/>
          <w:sz w:val="17"/>
          <w:szCs w:val="17"/>
          <w:color w:val="auto"/>
        </w:rPr>
        <w:t>obligations with respect to the SVB Term Loan were due and payable in full on February 1, 2024.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Term Loan Derivative Liability</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Before it was amended by the Third Amendment, the SVB Loan Agreement provided that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and therefore, we recorded a term loan derivative liability for the contingent interest rate increase at its fair value. We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liability to fair value at each reporting date it remained outstanding. We recognized changes in the fair value of this term loan derivative in our statements of comprehensive loss as a component of other income (expense), net.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r>
      <w:tr>
        <w:trPr>
          <w:trHeight w:val="237"/>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(33,923 )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(29,907 )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(4,016 )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(1,163 )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(147 )</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r>
      <w:tr>
        <w:trPr>
          <w:trHeight w:val="236"/>
        </w:trPr>
        <w:tc>
          <w:tcPr>
            <w:tcW w:w="6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Borders>
              <w:top w:val="single" w:sz="8" w:color="CFF0FC"/>
            </w:tcBorders>
          </w:tcPr>
          <w:p>
            <w:pPr>
              <w:spacing w:after="0"/>
              <w:rPr>
                <w:sz w:val="20"/>
                <w:szCs w:val="20"/>
                <w:color w:val="auto"/>
              </w:rPr>
            </w:pP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(29,097 )</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(29,188 )</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(29,065 )</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(29,152 )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2"/>
                <w:szCs w:val="22"/>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-1602105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-1602105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-668020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-668020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Consultant services in support of clinical development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r>
      <w:tr>
        <w:trPr>
          <w:trHeight w:val="24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-187960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2023 increased $3.8 million, or 19.4%, to $23.7 million from $19.8 million for the year ended December 31, 2022, primarily due to increased clinical trial costs in our Phase 2b CORAL trial and our Phase 2a RIVER trial, both of which started in 2023. Consultant services and personnel-related expenses in support of these studies also increased. These increases were partially offset by decreased clinical trial costs in our completed Phase 2b/3 PRISM and Phase 2 CANAL trials as well as decreased purchases of active drug substance. For the years ended December 31, 2023 and 2022, all of our research and development expenses related to our development activity for Haduvio.</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2023 increased $0.1 million, or 1.7%, to $10.2 million from $10.1 million for the year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for the year ended December 31, 2023 increased by $4.1 million, or 571.2% to $4.8 million from $0.7 million for the year ended December 31, 2022. The increase was primarily due to an increase in interest income of $3.0 million due to higher cash equivalent and marketable securities balances and higher interest rate yields. Contributing to the increase was a reduction in interest expense of $0.8 million due to the early payoff of the SVB Term Loan in May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a prior term loan.</w:t>
      </w:r>
    </w:p>
    <w:p>
      <w:pPr>
        <w:spacing w:after="0" w:line="7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2020, we entered into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of 1933, as amended. We were not obligated to make any sales of our common stock under the ATM Sales Agreement. We began making sales pursuant to the ATM Sales Agreement in July 2020 and through August 15, 2023, the date of termination of the ATM Sales Agreement, we had issued and sold an aggregate of 4,333,394 shares of common stock for gross proceeds of $12.7 million, before deducting estimated commissions and allocated fees of $1.0 million.</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the 2023 ATM Sales Agreement with Leerink Partners, under which we may issue and sell shares of common stock, from time to time by any method that is deemed an “at-the-market” offering as defined in Rule 415(a)(4) under the Securities Act of 1933, as amended.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December 31, 2023, we had not made any sales pursuant to the 2023 ATM Sales Agreement.</w:t>
      </w:r>
    </w:p>
    <w:p>
      <w:pPr>
        <w:spacing w:after="0" w:line="86"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On June 18, 2021, we entered into the LPC Purchase Agreement with Lincoln Park for an equity line financing. The LPC Purchase Agreement provided that, subject to the terms and conditions set forth therein, we had the right, but not the obligation, to sell to Lincoln Park and Lincoln Park was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We issued 170,088 shares of our common stock to Lincoln Park as consideration for its commitment to purchase shares of our common stock under the LPC Purchase Agreement. As of July 23, 2023, no shares had been sold to Lincoln Park and the LPC Purchase Agreement terminated by its terms.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7" w:right="37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5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9"/>
                <w:szCs w:val="19"/>
                <w:color w:val="auto"/>
              </w:rPr>
            </w:pPr>
          </w:p>
        </w:tc>
      </w:tr>
      <w:tr>
        <w:trPr>
          <w:trHeight w:val="23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(31,710 )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(3,535 )</w:t>
            </w: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59,428</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(107,373 )</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166,801</w:t>
            </w:r>
          </w:p>
        </w:tc>
        <w:tc>
          <w:tcPr>
            <w:tcW w:w="100" w:type="dxa"/>
            <w:vAlign w:val="bottom"/>
          </w:tcPr>
          <w:p>
            <w:pPr>
              <w:spacing w:after="0"/>
              <w:rPr>
                <w:sz w:val="20"/>
                <w:szCs w:val="20"/>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(7,910 )</w:t>
            </w: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111,307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(119,217 )</w:t>
            </w:r>
          </w:p>
        </w:tc>
      </w:tr>
      <w:tr>
        <w:trPr>
          <w:trHeight w:val="20"/>
        </w:trPr>
        <w:tc>
          <w:tcPr>
            <w:tcW w:w="55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(24,241 )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44,049</w:t>
            </w:r>
          </w:p>
        </w:tc>
        <w:tc>
          <w:tcPr>
            <w:tcW w:w="10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-187960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$31.7 million of net cash, resulting from our net loss of $29.1 million and changes in our operating assets and liabilities of $3.8 million, partially offset by net non-cash charges of $1.2 million. Changes in our operating assets and liabilities for the year ended December 31, 2023 consisted primarily of a $2.9 million increase in prepaid expenses and other current assets and a $1.0 million decrease in accounts payable. The increase in prepaid expenses and other current assets was primarily due to an increase in prepayments related to our clinical trial work performed by our CROs. The decrease in accounts payable was primarily due to the timing of vendor invoices. The non-cash charges consisted primarily of stock-based compensation expense of $2.2 million, $0.4 million for the write off of deferred offering costs, $0.4 million change in value of our operating lease right-of-use assets and liabilities and $0.2 million of accretion/accrual of term loan discounts and debt issuance costs, which were partially offset by $2.1 million of accretion of our available-for-sale marketable securities.</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$28.2 million of net cash, resulting from our net loss of $29.2 million, changes in our operating assets and liabilities of $1.2 million partially offset by non-cash charges of $2.2 million. Changes in our operating assets and liabilities for the year ended December 31, 2022 consisted of a $0.6 million increase in prepaid expenses and other current assets and a $0.6 million decrease in accrued expenses and other liabilities. The increase in prepaid expenses and other current assets was primarily due to an increase in interest income receivable related to our marketable securities. The decrease in accrued expenses and other liabilities was primarily due to decreased accruals for research, development and clinical trial work performed by our CROs. The non-cash charges for the year ended December 31, 2022 consisted primarily of stock-based compensation expense of $2.3 million and $0.5 million of accretion/accrual of term loan discounts and debt issuance costs offset by $0.8 million of accretion of our available-for-sale marketable securities.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investing activities was $59.4 million, consisting of $69.5 million of proceeds from maturities of available-for-sale marketable securities partially offset by $9.9 million of purchases of available-for-sale marketable securities and $0.1 million of purchases of property, equipment and leasehold improvements.</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net cash used in investing activities was $107.4 million, primarily related to purchases of and proceeds from maturities of available-for-sale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net cash used in financing activities was $7.9 million, consisting of repayments of $9.4 million on the SVB Term Loan including payment of the final payment fee and prepayment premium, both associated with the payoff of the SVB Term Loan, payments of offering costs of $0.3 million and payments of $0.1 million on our finance lease. These cash outflows were partially offset by gross cash proceeds of $1.7 million, net of commissions from sales of our common stock under the ATM Sales Agreement, $0.1 million of cash proceeds from the exercise of stock options and $0.1 million of cash proceeds from sales under our 2019 Employee Stock Purchase Plan.</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$111.3 million, primarily consisting of net cash proceeds from our April 2022 Private Placement and our September 2022 Offering of $105.4 million, cash proceeds of $11.8 million from the exercise of warrants and cash proceeds from the exercise of stock options of $0.1 million, partially offset by repayments of $5.8 million on the SVB Term Loan and payments of offering costs of $0.2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54"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2b CORAL clinical trial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Phase 1b clinical trial to evaluate the effect of Haduvio on respiratory physiology in patients with IPF of varying disease severity;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2a RIVER clinical trial of Haduvio for the treatment of RCC;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part of our ongoing HAP study to further characterize the abuse potential of oral nalbuphine.</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costs associated with operating as a public company, including significant legal, accounting, investor relations and other expenses.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72" w:lineRule="exact"/>
        <w:rPr>
          <w:sz w:val="20"/>
          <w:szCs w:val="20"/>
          <w:color w:val="auto"/>
        </w:rPr>
      </w:pPr>
    </w:p>
    <w:p>
      <w:pPr>
        <w:ind w:left="520" w:hanging="512"/>
        <w:spacing w:after="0" w:line="289" w:lineRule="auto"/>
        <w:tabs>
          <w:tab w:leader="none" w:pos="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timing, costs and results of clinical trials of Haduvio, including our Phase 2b CORAL clinical trial of Haduvio for the treatment of chronic cough in IPF, our planned Phase 1b trial to evaluate the effect of Haduvio on respiratory physiology in patients with IPF of varying disease severity, our Phase 2a RIVER clinical trial in RCC, and the second part of our HAP study, as well as trials for any future product candidates;</w:t>
      </w:r>
    </w:p>
    <w:p>
      <w:pPr>
        <w:spacing w:after="0" w:line="49" w:lineRule="exact"/>
        <w:rPr>
          <w:rFonts w:ascii="Times New Roman" w:cs="Times New Roman" w:eastAsia="Times New Roman" w:hAnsi="Times New Roman"/>
          <w:sz w:val="17"/>
          <w:szCs w:val="17"/>
          <w:color w:val="auto"/>
        </w:rPr>
      </w:pPr>
    </w:p>
    <w:p>
      <w:pPr>
        <w:ind w:left="520" w:right="8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our HAP study and a potential TQT study;</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IPF or RCC or for the treatment of prurigo nodularis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IPF or RCC or for the treatment of prurigo nodularis or from any future product candidates;</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IPF or RCC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Pharmaceuticals Inc., or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establish a commercial infrastructure;</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97" w:name="page98"/>
    <w:bookmarkEnd w:id="97"/>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spacing w:after="0" w:line="3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IPF or RCC or for the treatment of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spacing w:after="0" w:line="8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60 days' prior written notice to the CRO, and therefore we believe that our non-cancelable obligations under these agreements are not material.</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information related to our future commitments relating to our lease and licensing agreements, see Note 5, “Leases” and Note 12, “Collaborative and Licensing Agreements” of our Consolidated Financial Statements.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estimates and assumptions involved in the accounting policy described below may have the greatest potential impact on our Consolidated Financial Statements and, therefore, consider this to be our critical accounting policy.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6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agreements with CROs, contract manufacturing organizations and other companies that provide services in connection with our research and development activities. Our research and development accruals are estimated based on the level of services performed, progress of the studies, including the phase or completion of events, and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98" w:name="page99"/>
    <w:bookmarkEnd w:id="98"/>
    <w:p>
      <w:pPr>
        <w:ind w:right="80"/>
        <w:spacing w:after="0" w:line="261" w:lineRule="auto"/>
        <w:rPr>
          <w:sz w:val="20"/>
          <w:szCs w:val="20"/>
          <w:color w:val="auto"/>
        </w:rPr>
      </w:pPr>
      <w:r>
        <w:rPr>
          <w:rFonts w:ascii="Times New Roman" w:cs="Times New Roman" w:eastAsia="Times New Roman" w:hAnsi="Times New Roman"/>
          <w:sz w:val="18"/>
          <w:szCs w:val="18"/>
          <w:color w:val="auto"/>
        </w:rPr>
        <w:t>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2023.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2023.</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due to an exemption established by the Jumpstart Our Business Startups Act of 2012 for emerging growth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December 31, 2023 that has materially affected, or is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Consolidated Financial Statements are filed as part of this Annual Report on Form 10-K.</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00042)</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507"/>
        </w:trPr>
        <w:tc>
          <w:tcPr>
            <w:tcW w:w="424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60" w:type="dxa"/>
            <w:vAlign w:val="bottom"/>
            <w:gridSpan w:val="11"/>
          </w:tcPr>
          <w:p>
            <w:pPr>
              <w:ind w:left="20"/>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8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EE"/>
            </w:tcBorders>
            <w:gridSpan w:val="4"/>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9"/>
                <w:szCs w:val="19"/>
                <w:color w:val="auto"/>
              </w:rPr>
            </w:pPr>
          </w:p>
        </w:tc>
        <w:tc>
          <w:tcPr>
            <w:tcW w:w="228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228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960" w:type="dxa"/>
            <w:vAlign w:val="bottom"/>
            <w:gridSpan w:val="5"/>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23"/>
        </w:trPr>
        <w:tc>
          <w:tcPr>
            <w:tcW w:w="5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EE"/>
            </w:tcBorders>
            <w:gridSpan w:val="4"/>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4"/>
                <w:szCs w:val="24"/>
                <w:color w:val="auto"/>
              </w:rPr>
            </w:pPr>
          </w:p>
        </w:tc>
        <w:tc>
          <w:tcPr>
            <w:tcW w:w="109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w:t>
            </w:r>
          </w:p>
        </w:tc>
        <w:tc>
          <w:tcPr>
            <w:tcW w:w="0" w:type="dxa"/>
            <w:vAlign w:val="bottom"/>
          </w:tcPr>
          <w:p>
            <w:pPr>
              <w:spacing w:after="0"/>
              <w:rPr>
                <w:sz w:val="1"/>
                <w:szCs w:val="1"/>
                <w:color w:val="auto"/>
              </w:rPr>
            </w:pPr>
          </w:p>
        </w:tc>
      </w:tr>
      <w:tr>
        <w:trPr>
          <w:trHeight w:val="234"/>
        </w:trPr>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financial statements or the notes thereto.</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09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5560" w:type="dxa"/>
            <w:vAlign w:val="bottom"/>
            <w:gridSpan w:val="10"/>
          </w:tcPr>
          <w:p>
            <w:pPr>
              <w:jc w:val="center"/>
              <w:ind w:right="49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8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5560" w:type="dxa"/>
            <w:vAlign w:val="bottom"/>
            <w:gridSpan w:val="10"/>
          </w:tcPr>
          <w:p>
            <w:pPr>
              <w:jc w:val="center"/>
              <w:ind w:right="49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8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80" w:type="dxa"/>
            <w:vAlign w:val="bottom"/>
            <w:tcBorders>
              <w:top w:val="single" w:sz="8" w:color="auto"/>
              <w:bottom w:val="single" w:sz="8" w:color="0000FF"/>
            </w:tcBorders>
            <w:gridSpan w:val="15"/>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Restated Certificate of Incorporation of Trevi Therapeutics, Inc., as amended (incorporated by reference to Exhibit 3.1 to the Registrant’s</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Quarterly Report on Form 10-Q (File No. 001-38886) filed with the SEC on August 10, 2023)</w:t>
              </w:r>
            </w:hyperlink>
          </w:p>
        </w:tc>
        <w:tc>
          <w:tcPr>
            <w:tcW w:w="20" w:type="dxa"/>
            <w:vAlign w:val="bottom"/>
            <w:tcBorders>
              <w:bottom w:val="single" w:sz="8" w:color="0000EE"/>
            </w:tcBorders>
          </w:tcPr>
          <w:p>
            <w:pPr>
              <w:spacing w:after="0"/>
              <w:rPr>
                <w:sz w:val="17"/>
                <w:szCs w:val="17"/>
                <w:color w:val="auto"/>
              </w:rPr>
            </w:pPr>
          </w:p>
        </w:tc>
        <w:tc>
          <w:tcPr>
            <w:tcW w:w="3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Amended and Restated Bylaws of Trevi Therapeutics, Inc. (incorporated by reference to Exhibit 3.1 to the Registrant’s Current Report</w:t>
              </w:r>
            </w:hyperlink>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on Form 8-K (File No. 001-38886) filed with the SEC on April 14, 2023)</w:t>
              </w:r>
            </w:hyperlink>
          </w:p>
        </w:tc>
        <w:tc>
          <w:tcPr>
            <w:tcW w:w="20" w:type="dxa"/>
            <w:vAlign w:val="bottom"/>
            <w:tcBorders>
              <w:bottom w:val="single" w:sz="8" w:color="0000EE"/>
            </w:tcBorders>
          </w:tcPr>
          <w:p>
            <w:pPr>
              <w:spacing w:after="0"/>
              <w:rPr>
                <w:sz w:val="17"/>
                <w:szCs w:val="17"/>
                <w:color w:val="auto"/>
              </w:rPr>
            </w:pPr>
          </w:p>
        </w:tc>
        <w:tc>
          <w:tcPr>
            <w:tcW w:w="4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Specimen Stock Certificate evidencing the shares of common stock (incorporated by reference to Exhibit 4.1 to the Registrant’s</w:t>
              </w:r>
            </w:hyperlink>
          </w:p>
        </w:tc>
        <w:tc>
          <w:tcPr>
            <w:tcW w:w="6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Registration Statement on Form S-1 (File No. 333-230745) filed with the SEC on April 5, 2019)</w:t>
              </w:r>
            </w:hyperlink>
          </w:p>
        </w:tc>
        <w:tc>
          <w:tcPr>
            <w:tcW w:w="29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5560" w:type="dxa"/>
            <w:vAlign w:val="bottom"/>
            <w:gridSpan w:val="10"/>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054"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90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900" w:type="dxa"/>
            <w:vAlign w:val="bottom"/>
            <w:tcBorders>
              <w:bottom w:val="single" w:sz="8" w:color="0000FF"/>
            </w:tcBorders>
            <w:gridSpan w:val="48"/>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Form of Pre-Funded Warrant dated October 5, 2021 (incorporated by reference to Exhibit 4.1 to the Registrant’s Current Report on Form</w:t>
              </w:r>
            </w:hyperlink>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8-K (File No. 001-38886) filed with the SEC on October 1, 2021)</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95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Form of 7-Year Common Stock Warrant dated October 5, 2021 (incorporated by reference to Exhibit 4.2 to the Registrant’s Current</w:t>
              </w:r>
            </w:hyperlink>
          </w:p>
        </w:tc>
        <w:tc>
          <w:tcPr>
            <w:tcW w:w="380" w:type="dxa"/>
            <w:vAlign w:val="bottom"/>
            <w:gridSpan w:val="15"/>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59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Report on Form 8-K (File No. 001-38886) filed with the SEC on October 1, 2021)</w:t>
              </w:r>
            </w:hyperlink>
          </w:p>
        </w:tc>
        <w:tc>
          <w:tcPr>
            <w:tcW w:w="3980" w:type="dxa"/>
            <w:vAlign w:val="bottom"/>
            <w:gridSpan w:val="33"/>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66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Form of 3.5-Year Common Stock Warrant dated October 5, 2021 (incorporated by reference to Exhibit 4.3 to the Registrant’s Current</w:t>
              </w:r>
            </w:hyperlink>
          </w:p>
        </w:tc>
        <w:tc>
          <w:tcPr>
            <w:tcW w:w="240" w:type="dxa"/>
            <w:vAlign w:val="bottom"/>
            <w:gridSpan w:val="10"/>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59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60" w:type="dxa"/>
            <w:vAlign w:val="bottom"/>
            <w:gridSpan w:val="32"/>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96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of 7-Year Common Stock Warrant dated October 18, 2021 (incorporated by reference to Exhibit 4.1 to the Registrant’s Current</w:t>
              </w:r>
            </w:hyperlink>
          </w:p>
        </w:tc>
        <w:tc>
          <w:tcPr>
            <w:tcW w:w="280" w:type="dxa"/>
            <w:vAlign w:val="bottom"/>
            <w:gridSpan w:val="12"/>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Report on Form 8-K (File No. 001-38886) filed with the SEC on October 19, 2021)</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97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3.5-Year Common Stock Warrant dated October 18, 2021 (incorporated by reference to Exhibit 4.2 to the Registrant’s Current</w:t>
              </w:r>
            </w:hyperlink>
          </w:p>
        </w:tc>
        <w:tc>
          <w:tcPr>
            <w:tcW w:w="160" w:type="dxa"/>
            <w:vAlign w:val="bottom"/>
            <w:gridSpan w:val="8"/>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Report on Form 8-K (File No. 001-38886) filed with the SEC on October 19, 2021)</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9900" w:type="dxa"/>
            <w:vAlign w:val="bottom"/>
            <w:gridSpan w:val="4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r>
      <w:tr>
        <w:trPr>
          <w:trHeight w:val="196"/>
        </w:trPr>
        <w:tc>
          <w:tcPr>
            <w:tcW w:w="134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38886) filed with the SEC on April 7, 2022)</w:t>
              </w:r>
            </w:hyperlink>
          </w:p>
        </w:tc>
        <w:tc>
          <w:tcPr>
            <w:tcW w:w="6420" w:type="dxa"/>
            <w:vAlign w:val="bottom"/>
            <w:tcBorders>
              <w:top w:val="single" w:sz="8" w:color="0000FF"/>
            </w:tcBorders>
            <w:gridSpan w:val="29"/>
          </w:tcPr>
          <w:p>
            <w:pPr>
              <w:spacing w:after="0"/>
              <w:rPr>
                <w:sz w:val="17"/>
                <w:szCs w:val="17"/>
                <w:color w:val="auto"/>
              </w:rPr>
            </w:pPr>
          </w:p>
        </w:tc>
        <w:tc>
          <w:tcPr>
            <w:tcW w:w="300" w:type="dxa"/>
            <w:vAlign w:val="bottom"/>
            <w:gridSpan w:val="13"/>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9900" w:type="dxa"/>
            <w:vAlign w:val="bottom"/>
            <w:gridSpan w:val="4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r>
      <w:tr>
        <w:trPr>
          <w:trHeight w:val="196"/>
        </w:trPr>
        <w:tc>
          <w:tcPr>
            <w:tcW w:w="13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38886) filed with the SEC on September 23,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5920" w:type="dxa"/>
            <w:vAlign w:val="bottom"/>
            <w:tcBorders>
              <w:top w:val="single" w:sz="8" w:color="0000FF"/>
            </w:tcBorders>
            <w:gridSpan w:val="26"/>
          </w:tcPr>
          <w:p>
            <w:pPr>
              <w:spacing w:after="0"/>
              <w:rPr>
                <w:sz w:val="17"/>
                <w:szCs w:val="17"/>
                <w:color w:val="auto"/>
              </w:rPr>
            </w:pPr>
          </w:p>
        </w:tc>
        <w:tc>
          <w:tcPr>
            <w:tcW w:w="300" w:type="dxa"/>
            <w:vAlign w:val="bottom"/>
            <w:gridSpan w:val="13"/>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Second Amended and Restated Investors’ Rights Agreement dated as of July 14, 2017 (incorporated by reference to Exhibit 10.1 to the</w:t>
              </w:r>
            </w:hyperlink>
          </w:p>
        </w:tc>
        <w:tc>
          <w:tcPr>
            <w:tcW w:w="120" w:type="dxa"/>
            <w:vAlign w:val="bottom"/>
            <w:gridSpan w:val="6"/>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78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Registrant’s Registration Statement on Form S-1 (File No. 333-230745) filed with the SEC on April 5, 2019)</w:t>
              </w:r>
            </w:hyperlink>
          </w:p>
        </w:tc>
        <w:tc>
          <w:tcPr>
            <w:tcW w:w="2060" w:type="dxa"/>
            <w:vAlign w:val="bottom"/>
            <w:gridSpan w:val="24"/>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80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2012 Stock Incentive Plan, as amended (incorporated by reference to Exhibit 10.2 to the Registrant’s Registration Statement on Form S-</w:t>
              </w:r>
            </w:hyperlink>
          </w:p>
        </w:tc>
        <w:tc>
          <w:tcPr>
            <w:tcW w:w="100" w:type="dxa"/>
            <w:vAlign w:val="bottom"/>
            <w:gridSpan w:val="5"/>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 (File No. 333-230745) filed with the SEC on April 5, 2019)</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6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Nonstatutory Stock Option Agreement under the 2012 Stock Incentive Plan (incorporated by reference to Exhibit 10.3 to the</w:t>
              </w:r>
            </w:hyperlink>
          </w:p>
        </w:tc>
        <w:tc>
          <w:tcPr>
            <w:tcW w:w="280" w:type="dxa"/>
            <w:vAlign w:val="bottom"/>
            <w:gridSpan w:val="12"/>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78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Registrant’s Registration Statement on Form S-1 (File No. 333-230745) filed with the SEC on April 5, 2019)</w:t>
              </w:r>
            </w:hyperlink>
          </w:p>
        </w:tc>
        <w:tc>
          <w:tcPr>
            <w:tcW w:w="2060" w:type="dxa"/>
            <w:vAlign w:val="bottom"/>
            <w:gridSpan w:val="24"/>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2019 Stock Incentive Plan (incorporated by reference to Exhibit 10.4 to the Registrant’s Registration Statement on Form S-1 (File No.</w:t>
              </w:r>
            </w:hyperlink>
          </w:p>
        </w:tc>
        <w:tc>
          <w:tcPr>
            <w:tcW w:w="200" w:type="dxa"/>
            <w:vAlign w:val="bottom"/>
            <w:gridSpan w:val="9"/>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36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333-230745) filed with the SEC on April 5, 2019)</w:t>
              </w:r>
            </w:hyperlink>
          </w:p>
        </w:tc>
        <w:tc>
          <w:tcPr>
            <w:tcW w:w="6300" w:type="dxa"/>
            <w:vAlign w:val="bottom"/>
            <w:gridSpan w:val="41"/>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5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of Stock Option Agreement under the 2019 Stock Incentive Plan (incorporated by reference to Exhibit 10.5 to the Registrant’s</w:t>
              </w:r>
            </w:hyperlink>
          </w:p>
        </w:tc>
        <w:tc>
          <w:tcPr>
            <w:tcW w:w="360" w:type="dxa"/>
            <w:vAlign w:val="bottom"/>
            <w:gridSpan w:val="14"/>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69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Registration Statement on Form S-1 (File No. 333-230745) filed with the SEC on April 5, 2019)</w:t>
              </w:r>
            </w:hyperlink>
          </w:p>
        </w:tc>
        <w:tc>
          <w:tcPr>
            <w:tcW w:w="20" w:type="dxa"/>
            <w:vAlign w:val="bottom"/>
            <w:tcBorders>
              <w:bottom w:val="single" w:sz="8" w:color="0000EE"/>
            </w:tcBorders>
          </w:tcPr>
          <w:p>
            <w:pPr>
              <w:spacing w:after="0"/>
              <w:rPr>
                <w:sz w:val="17"/>
                <w:szCs w:val="17"/>
                <w:color w:val="auto"/>
              </w:rPr>
            </w:pPr>
          </w:p>
        </w:tc>
        <w:tc>
          <w:tcPr>
            <w:tcW w:w="2940" w:type="dxa"/>
            <w:vAlign w:val="bottom"/>
            <w:gridSpan w:val="28"/>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76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2019 Employee Stock Purchase Plan (incorporated by reference to Exhibit 10.6 to the Registrant’s Registration Statement on Form S-1</w:t>
              </w:r>
            </w:hyperlink>
          </w:p>
        </w:tc>
        <w:tc>
          <w:tcPr>
            <w:tcW w:w="140" w:type="dxa"/>
            <w:vAlign w:val="bottom"/>
            <w:gridSpan w:val="7"/>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(File No. 333-230745) filed with the SEC on April 5, 2019)</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EE"/>
            </w:tcBorders>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900" w:type="dxa"/>
            <w:vAlign w:val="bottom"/>
            <w:gridSpan w:val="4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Non-Employee Director Compensation Policy (incorporated by reference to Exhibit 10.7 to the Registrant’s Annual Report on Form 10-</w:t>
              </w:r>
            </w:hyperlink>
          </w:p>
        </w:tc>
      </w:tr>
      <w:tr>
        <w:trPr>
          <w:trHeight w:val="196"/>
        </w:trPr>
        <w:tc>
          <w:tcPr>
            <w:tcW w:w="1340" w:type="dxa"/>
            <w:vAlign w:val="bottom"/>
          </w:tcPr>
          <w:p>
            <w:pPr>
              <w:spacing w:after="0"/>
              <w:rPr>
                <w:sz w:val="17"/>
                <w:szCs w:val="17"/>
                <w:color w:val="auto"/>
              </w:rPr>
            </w:pPr>
          </w:p>
        </w:tc>
        <w:tc>
          <w:tcPr>
            <w:tcW w:w="456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K (File No. 001-38886) filed with the SEC on March 25, 2021)</w:t>
              </w:r>
            </w:hyperlink>
          </w:p>
        </w:tc>
        <w:tc>
          <w:tcPr>
            <w:tcW w:w="20" w:type="dxa"/>
            <w:vAlign w:val="bottom"/>
            <w:tcBorders>
              <w:top w:val="single" w:sz="8" w:color="0000FF"/>
              <w:bottom w:val="single" w:sz="8" w:color="0000EE"/>
            </w:tcBorders>
          </w:tcPr>
          <w:p>
            <w:pPr>
              <w:spacing w:after="0"/>
              <w:rPr>
                <w:sz w:val="17"/>
                <w:szCs w:val="17"/>
                <w:color w:val="auto"/>
              </w:rPr>
            </w:pPr>
          </w:p>
        </w:tc>
        <w:tc>
          <w:tcPr>
            <w:tcW w:w="5220" w:type="dxa"/>
            <w:vAlign w:val="bottom"/>
            <w:tcBorders>
              <w:top w:val="single" w:sz="8" w:color="0000FF"/>
            </w:tcBorders>
            <w:gridSpan w:val="30"/>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82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Trevi Therapeutics, Inc. Executive Separation Benefits and Retention Plan (incorporated by reference to Exhibit 10.1 to the Registrant’s</w:t>
              </w:r>
            </w:hyperlink>
          </w:p>
        </w:tc>
        <w:tc>
          <w:tcPr>
            <w:tcW w:w="80" w:type="dxa"/>
            <w:vAlign w:val="bottom"/>
            <w:gridSpan w:val="4"/>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68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Current Report on Form 8-K (File No. 001-38886) filed with the SEC on September 24, 2019)</w:t>
              </w:r>
            </w:hyperlink>
          </w:p>
        </w:tc>
        <w:tc>
          <w:tcPr>
            <w:tcW w:w="3100" w:type="dxa"/>
            <w:vAlign w:val="bottom"/>
            <w:gridSpan w:val="30"/>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64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Employment Agreement, dated December 4, 2012, by and between the Registrant and Jennifer L. Good (incorporated by reference to</w:t>
              </w:r>
            </w:hyperlink>
          </w:p>
        </w:tc>
        <w:tc>
          <w:tcPr>
            <w:tcW w:w="260" w:type="dxa"/>
            <w:vAlign w:val="bottom"/>
            <w:gridSpan w:val="11"/>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Exhibit 10.8 to the Registrant’s Registration Statement on Form S-1 (File No. 333-230745) filed with the SEC on April 5, 2019)</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40" w:type="dxa"/>
            <w:vAlign w:val="bottom"/>
            <w:tcBorders>
              <w:right w:val="single" w:sz="8" w:color="0000FF"/>
            </w:tcBorders>
            <w:gridSpan w:val="1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Offer Letter, dated December 4, 2012, by and between the Registrant and Thomas R. Sciascia (incorporated by referred to Exhibit 10.10</w:t>
              </w:r>
            </w:hyperlink>
          </w:p>
        </w:tc>
        <w:tc>
          <w:tcPr>
            <w:tcW w:w="60" w:type="dxa"/>
            <w:vAlign w:val="bottom"/>
            <w:gridSpan w:val="3"/>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79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to the Registrant’s Annual Report on Form 10-K (File No. 001-38886) filed with the SEC on March 16, 2020)</w:t>
              </w:r>
            </w:hyperlink>
          </w:p>
        </w:tc>
        <w:tc>
          <w:tcPr>
            <w:tcW w:w="20" w:type="dxa"/>
            <w:vAlign w:val="bottom"/>
            <w:tcBorders>
              <w:bottom w:val="single" w:sz="8" w:color="0000EE"/>
            </w:tcBorders>
          </w:tcPr>
          <w:p>
            <w:pPr>
              <w:spacing w:after="0"/>
              <w:rPr>
                <w:sz w:val="17"/>
                <w:szCs w:val="17"/>
                <w:color w:val="auto"/>
              </w:rPr>
            </w:pPr>
          </w:p>
        </w:tc>
        <w:tc>
          <w:tcPr>
            <w:tcW w:w="1960" w:type="dxa"/>
            <w:vAlign w:val="bottom"/>
            <w:gridSpan w:val="22"/>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FF"/>
            </w:tcBorders>
            <w:gridSpan w:val="4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Offer Letter, dated November 4, 2022, by and between the Registrant and David Clark (incorporated by reference to Exhibit 10.11 to the</w:t>
              </w:r>
            </w:hyperlink>
          </w:p>
        </w:tc>
        <w:tc>
          <w:tcPr>
            <w:tcW w:w="20" w:type="dxa"/>
            <w:vAlign w:val="bottom"/>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Registrant’s Annual Report on Form 10-K (File No. 001-38886) filed with the SEC on March 16, 2023)</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40" w:type="dxa"/>
            <w:vAlign w:val="bottom"/>
            <w:tcBorders>
              <w:right w:val="single" w:sz="8" w:color="0000EE"/>
            </w:tcBorders>
            <w:gridSpan w:val="1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4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Offer Letter, dated June 17, 2021, by and between the Registrant and Lisa Delfini (incorporated by reference to Exhibit 10.5 to the</w:t>
              </w:r>
            </w:hyperlink>
          </w:p>
        </w:tc>
        <w:tc>
          <w:tcPr>
            <w:tcW w:w="480" w:type="dxa"/>
            <w:vAlign w:val="bottom"/>
            <w:gridSpan w:val="16"/>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76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Registrant’s Quarterly Report on Form 10-Q (File No. 001-38886) filed with the SEC on August 12, 2021)</w:t>
              </w:r>
            </w:hyperlink>
          </w:p>
        </w:tc>
        <w:tc>
          <w:tcPr>
            <w:tcW w:w="20" w:type="dxa"/>
            <w:vAlign w:val="bottom"/>
            <w:tcBorders>
              <w:bottom w:val="single" w:sz="8" w:color="0000EE"/>
            </w:tcBorders>
          </w:tcPr>
          <w:p>
            <w:pPr>
              <w:spacing w:after="0"/>
              <w:rPr>
                <w:sz w:val="17"/>
                <w:szCs w:val="17"/>
                <w:color w:val="auto"/>
              </w:rPr>
            </w:pPr>
          </w:p>
        </w:tc>
        <w:tc>
          <w:tcPr>
            <w:tcW w:w="2200" w:type="dxa"/>
            <w:vAlign w:val="bottom"/>
            <w:gridSpan w:val="25"/>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tcBorders>
              <w:bottom w:val="single" w:sz="8" w:color="0000FF"/>
            </w:tcBorders>
            <w:gridSpan w:val="4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Indemnification Agreement between the Registrant and each of its directors and executive officers (incorporated by reference to</w:t>
              </w:r>
            </w:hyperlink>
          </w:p>
        </w:tc>
      </w:tr>
      <w:tr>
        <w:trPr>
          <w:trHeight w:val="196"/>
        </w:trPr>
        <w:tc>
          <w:tcPr>
            <w:tcW w:w="1340" w:type="dxa"/>
            <w:vAlign w:val="bottom"/>
          </w:tcPr>
          <w:p>
            <w:pPr>
              <w:spacing w:after="0"/>
              <w:rPr>
                <w:sz w:val="17"/>
                <w:szCs w:val="17"/>
                <w:color w:val="auto"/>
              </w:rPr>
            </w:pPr>
          </w:p>
        </w:tc>
        <w:tc>
          <w:tcPr>
            <w:tcW w:w="93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Exhibit 10.12 to the Registrant’s Registration Statement on Form S-1 (File No. 333-230745) filed with the SEC on April 5, 2019)</w:t>
              </w:r>
            </w:hyperlink>
          </w:p>
        </w:tc>
        <w:tc>
          <w:tcPr>
            <w:tcW w:w="20" w:type="dxa"/>
            <w:vAlign w:val="bottom"/>
            <w:tcBorders>
              <w:bottom w:val="single" w:sz="8" w:color="0000EE"/>
            </w:tcBorders>
          </w:tcPr>
          <w:p>
            <w:pPr>
              <w:spacing w:after="0"/>
              <w:rPr>
                <w:sz w:val="17"/>
                <w:szCs w:val="17"/>
                <w:color w:val="auto"/>
              </w:rPr>
            </w:pPr>
          </w:p>
        </w:tc>
        <w:tc>
          <w:tcPr>
            <w:tcW w:w="560" w:type="dxa"/>
            <w:vAlign w:val="bottom"/>
            <w:gridSpan w:val="17"/>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70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Indenture of Lease, dated February 6, 2013, by and between First Niagara Bank, N.A. and the Registrant (incorporated by reference to</w:t>
              </w:r>
            </w:hyperlink>
          </w:p>
        </w:tc>
        <w:tc>
          <w:tcPr>
            <w:tcW w:w="200" w:type="dxa"/>
            <w:vAlign w:val="bottom"/>
            <w:gridSpan w:val="9"/>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3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Exhibit 10.13 to the Registrant’s Registration Statement on Form S-1 (File No. 333-230745) filed with the SEC on April 5, 2019)</w:t>
              </w:r>
            </w:hyperlink>
          </w:p>
        </w:tc>
        <w:tc>
          <w:tcPr>
            <w:tcW w:w="580" w:type="dxa"/>
            <w:vAlign w:val="bottom"/>
            <w:gridSpan w:val="18"/>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9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First Amendment to Lease, dated December 5, 2017, by and between the Registrant and 195 Church Street Associates, LLC</w:t>
              </w:r>
            </w:hyperlink>
          </w:p>
        </w:tc>
        <w:tc>
          <w:tcPr>
            <w:tcW w:w="940" w:type="dxa"/>
            <w:vAlign w:val="bottom"/>
            <w:gridSpan w:val="21"/>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820" w:type="dxa"/>
            <w:vAlign w:val="bottom"/>
            <w:tcBorders>
              <w:bottom w:val="single" w:sz="8" w:color="0000FF"/>
            </w:tcBorders>
            <w:gridSpan w:val="44"/>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(incorporated by reference to Exhibit 10.14 to the Registrant’s Registration Statement on Form S-1 (File No. 333-230745) filed with the</w:t>
              </w:r>
            </w:hyperlink>
          </w:p>
        </w:tc>
        <w:tc>
          <w:tcPr>
            <w:tcW w:w="8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6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SEC on April 5, 2019)</w:t>
              </w:r>
            </w:hyperlink>
          </w:p>
        </w:tc>
        <w:tc>
          <w:tcPr>
            <w:tcW w:w="20" w:type="dxa"/>
            <w:vAlign w:val="bottom"/>
            <w:tcBorders>
              <w:bottom w:val="single" w:sz="8" w:color="0000EE"/>
            </w:tcBorders>
          </w:tcPr>
          <w:p>
            <w:pPr>
              <w:spacing w:after="0"/>
              <w:rPr>
                <w:sz w:val="17"/>
                <w:szCs w:val="17"/>
                <w:color w:val="auto"/>
              </w:rPr>
            </w:pPr>
          </w:p>
        </w:tc>
        <w:tc>
          <w:tcPr>
            <w:tcW w:w="8260" w:type="dxa"/>
            <w:vAlign w:val="bottom"/>
            <w:gridSpan w:val="44"/>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2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Second Amendment to Lease, dated November 21, 2022, by and between the Registrant and 195 Church Street Associates, LLC</w:t>
              </w:r>
            </w:hyperlink>
          </w:p>
        </w:tc>
        <w:tc>
          <w:tcPr>
            <w:tcW w:w="620" w:type="dxa"/>
            <w:vAlign w:val="bottom"/>
            <w:gridSpan w:val="19"/>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47"/>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10.16 to the Registrant’s Annual Report on Form 10-K (File No. 001-38886) filed with the SEC on</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2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March 16, 2023)</w:t>
              </w:r>
            </w:hyperlink>
          </w:p>
        </w:tc>
        <w:tc>
          <w:tcPr>
            <w:tcW w:w="8700" w:type="dxa"/>
            <w:vAlign w:val="bottom"/>
            <w:gridSpan w:val="46"/>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Exclusive License Agreement, dated as of May 13, 2011, by and between the Registrant and Penwest Pharmaceuticals Co. (incorporated</w:t>
              </w:r>
            </w:hyperlink>
          </w:p>
        </w:tc>
        <w:tc>
          <w:tcPr>
            <w:tcW w:w="40" w:type="dxa"/>
            <w:vAlign w:val="bottom"/>
            <w:gridSpan w:val="2"/>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8"/>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by reference to Exhibit 10.15 to the Registrant’s Registration Statement on Form S-1 (File No. 333-230745) filed with the SEC on April</w:t>
              </w:r>
            </w:hyperlink>
          </w:p>
        </w:tc>
      </w:tr>
      <w:tr>
        <w:trPr>
          <w:trHeight w:val="196"/>
        </w:trPr>
        <w:tc>
          <w:tcPr>
            <w:tcW w:w="134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67">
              <w:r>
                <w:rPr>
                  <w:rFonts w:ascii="Times New Roman" w:cs="Times New Roman" w:eastAsia="Times New Roman" w:hAnsi="Times New Roman"/>
                  <w:sz w:val="18"/>
                  <w:szCs w:val="18"/>
                  <w:color w:val="0000FF"/>
                  <w:w w:val="96"/>
                </w:rPr>
                <w:t>5, 2019)</w:t>
              </w:r>
            </w:hyperlink>
          </w:p>
        </w:tc>
        <w:tc>
          <w:tcPr>
            <w:tcW w:w="6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340" w:type="dxa"/>
            <w:vAlign w:val="bottom"/>
          </w:tcPr>
          <w:p>
            <w:pPr>
              <w:spacing w:after="0"/>
              <w:rPr>
                <w:sz w:val="24"/>
                <w:szCs w:val="24"/>
                <w:color w:val="auto"/>
              </w:rPr>
            </w:pPr>
          </w:p>
        </w:tc>
        <w:tc>
          <w:tcPr>
            <w:tcW w:w="4420" w:type="dxa"/>
            <w:vAlign w:val="bottom"/>
            <w:gridSpan w:val="11"/>
          </w:tcPr>
          <w:p>
            <w:pPr>
              <w:ind w:left="420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9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Share Purchase Agreement, dated as of May 6, 2019, by and between the Registrant and New Enterprise Associates 16, L.P.</w:t>
              </w:r>
            </w:hyperlink>
          </w:p>
        </w:tc>
        <w:tc>
          <w:tcPr>
            <w:tcW w:w="900" w:type="dxa"/>
            <w:vAlign w:val="bottom"/>
            <w:gridSpan w:val="11"/>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4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(incorporated by reference to Exhibit 10.17 to Amendment No. 3 to Registrant’s Registration Statement on Form S-1 (File No. 333-</w:t>
              </w:r>
            </w:hyperlink>
          </w:p>
        </w:tc>
        <w:tc>
          <w:tcPr>
            <w:tcW w:w="380" w:type="dxa"/>
            <w:vAlign w:val="bottom"/>
            <w:gridSpan w:val="10"/>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230745) filed with the SEC on May 7, 2019)</w:t>
              </w:r>
            </w:hyperlink>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Securities Purchase Agreement dated September 30, 2021 (incorporated by reference to Exhibit 99.1 to the Registrant’s Current</w:t>
              </w:r>
            </w:hyperlink>
          </w:p>
        </w:tc>
      </w:tr>
      <w:tr>
        <w:trPr>
          <w:trHeight w:val="196"/>
        </w:trPr>
        <w:tc>
          <w:tcPr>
            <w:tcW w:w="1320" w:type="dxa"/>
            <w:vAlign w:val="bottom"/>
          </w:tcPr>
          <w:p>
            <w:pPr>
              <w:spacing w:after="0"/>
              <w:rPr>
                <w:sz w:val="17"/>
                <w:szCs w:val="17"/>
                <w:color w:val="auto"/>
              </w:rPr>
            </w:pPr>
          </w:p>
        </w:tc>
        <w:tc>
          <w:tcPr>
            <w:tcW w:w="5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20" w:type="dxa"/>
            <w:vAlign w:val="bottom"/>
            <w:gridSpan w:val="13"/>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Form of Registration Rights Agreement dated September 30, 2021 (incorporated by reference to Exhibit 99.2 to the Registrant’s Current</w:t>
              </w:r>
            </w:hyperlink>
          </w:p>
        </w:tc>
        <w:tc>
          <w:tcPr>
            <w:tcW w:w="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5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20" w:type="dxa"/>
            <w:vAlign w:val="bottom"/>
            <w:gridSpan w:val="13"/>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7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Securities Purchase Agreement dated October 15, 2021 (incorporated by reference to Exhibit 99.1 to the Registrant’s Current</w:t>
              </w:r>
            </w:hyperlink>
          </w:p>
        </w:tc>
        <w:tc>
          <w:tcPr>
            <w:tcW w:w="160" w:type="dxa"/>
            <w:vAlign w:val="bottom"/>
            <w:gridSpan w:val="2"/>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Report on Form 8-K (File No. 001-38886) filed with the SEC on October 19, 2021)</w:t>
              </w:r>
            </w:hyperlink>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6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Registration Rights Agreement dated October 15, 2021 (incorporated by reference to Exhibit 99.2 to the Registrant’s Current</w:t>
              </w:r>
            </w:hyperlink>
          </w:p>
        </w:tc>
        <w:tc>
          <w:tcPr>
            <w:tcW w:w="180" w:type="dxa"/>
            <w:vAlign w:val="bottom"/>
            <w:gridSpan w:val="3"/>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Report on Form 8-K (File No. 001-38886) filed with the SEC on October 19, 2021)</w:t>
              </w:r>
            </w:hyperlink>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6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Securities Purchase Agreement, dated April 6, 2022, by and among the Registrant and the Purchasers named therein (incorporated by</w:t>
              </w:r>
            </w:hyperlink>
          </w:p>
        </w:tc>
        <w:tc>
          <w:tcPr>
            <w:tcW w:w="200" w:type="dxa"/>
            <w:vAlign w:val="bottom"/>
            <w:gridSpan w:val="4"/>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reference to Exhibit 99.1 to the Registrant’s Current Report on Form 8-K (File No. 001-38886) filed with the SEC on April 7, 2022)</w:t>
              </w:r>
            </w:hyperlink>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4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Registration Rights Agreement, dated April 6, 2022, by and among the Registrant and the Purchasers named therein (incorporated by</w:t>
              </w:r>
            </w:hyperlink>
          </w:p>
        </w:tc>
        <w:tc>
          <w:tcPr>
            <w:tcW w:w="220" w:type="dxa"/>
            <w:vAlign w:val="bottom"/>
            <w:gridSpan w:val="5"/>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reference to Exhibit 99.2 to the Registrant’s Current Report on Form 8-K (File No. 001-38886) filed with the SEC on April 7, 2022)</w:t>
              </w:r>
            </w:hyperlink>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4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List of Subsidiaries (incorporated by reference to Exhibit 21.1 to the Registrant’s Registration Statement on Form S-1 (File No. 333-</w:t>
              </w:r>
            </w:hyperlink>
          </w:p>
        </w:tc>
        <w:tc>
          <w:tcPr>
            <w:tcW w:w="320" w:type="dxa"/>
            <w:vAlign w:val="bottom"/>
            <w:gridSpan w:val="8"/>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230745) filed with the SEC on April 5, 2019)</w:t>
              </w:r>
            </w:hyperlink>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 independent registered public accounting firm</w:t>
            </w:r>
          </w:p>
        </w:tc>
        <w:tc>
          <w:tcPr>
            <w:tcW w:w="20" w:type="dxa"/>
            <w:vAlign w:val="bottom"/>
            <w:tcBorders>
              <w:bottom w:val="single" w:sz="8" w:color="0000EE"/>
            </w:tcBorders>
          </w:tcPr>
          <w:p>
            <w:pPr>
              <w:spacing w:after="0"/>
              <w:rPr>
                <w:sz w:val="19"/>
                <w:szCs w:val="19"/>
                <w:color w:val="auto"/>
              </w:rPr>
            </w:pPr>
          </w:p>
        </w:tc>
        <w:tc>
          <w:tcPr>
            <w:tcW w:w="4180" w:type="dxa"/>
            <w:vAlign w:val="bottom"/>
            <w:gridSpan w:val="15"/>
          </w:tcPr>
          <w:p>
            <w:pPr>
              <w:spacing w:after="0"/>
              <w:rPr>
                <w:sz w:val="19"/>
                <w:szCs w:val="19"/>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00" w:type="dxa"/>
            <w:vAlign w:val="bottom"/>
            <w:gridSpan w:val="4"/>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240" w:type="dxa"/>
            <w:vAlign w:val="bottom"/>
            <w:gridSpan w:val="6"/>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98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60" w:type="dxa"/>
            <w:vAlign w:val="bottom"/>
            <w:gridSpan w:val="7"/>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20" w:type="dxa"/>
            <w:vAlign w:val="bottom"/>
            <w:tcBorders>
              <w:bottom w:val="single" w:sz="8" w:color="0000EE"/>
            </w:tcBorders>
          </w:tcPr>
          <w:p>
            <w:pPr>
              <w:spacing w:after="0"/>
              <w:rPr>
                <w:sz w:val="17"/>
                <w:szCs w:val="17"/>
                <w:color w:val="auto"/>
              </w:rPr>
            </w:pPr>
          </w:p>
        </w:tc>
        <w:tc>
          <w:tcPr>
            <w:tcW w:w="8500" w:type="dxa"/>
            <w:vAlign w:val="bottom"/>
            <w:gridSpan w:val="19"/>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2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80" w:type="dxa"/>
            <w:vAlign w:val="bottom"/>
            <w:tcBorders>
              <w:top w:val="single" w:sz="8" w:color="0000FF"/>
            </w:tcBorders>
            <w:gridSpan w:val="11"/>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3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Dodd-Frank Compensation Recovery Policy</w:t>
            </w:r>
          </w:p>
        </w:tc>
        <w:tc>
          <w:tcPr>
            <w:tcW w:w="6640" w:type="dxa"/>
            <w:vAlign w:val="bottom"/>
            <w:gridSpan w:val="18"/>
          </w:tcPr>
          <w:p>
            <w:pPr>
              <w:spacing w:after="0"/>
              <w:rPr>
                <w:sz w:val="19"/>
                <w:szCs w:val="19"/>
                <w:color w:val="auto"/>
              </w:rPr>
            </w:pPr>
          </w:p>
        </w:tc>
      </w:tr>
      <w:tr>
        <w:trPr>
          <w:trHeight w:val="26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9" w:lineRule="exact"/>
        <w:rPr>
          <w:sz w:val="20"/>
          <w:szCs w:val="20"/>
          <w:color w:val="auto"/>
        </w:rPr>
      </w:pPr>
    </w:p>
    <w:p>
      <w:pPr>
        <w:ind w:left="1340" w:hanging="1319"/>
        <w:spacing w:after="0"/>
        <w:tabs>
          <w:tab w:leader="none" w:pos="13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50" w:lineRule="exact"/>
        <w:rPr>
          <w:sz w:val="20"/>
          <w:szCs w:val="20"/>
          <w:color w:val="auto"/>
        </w:rPr>
      </w:pPr>
    </w:p>
    <w:p>
      <w:pPr>
        <w:ind w:left="520" w:right="200" w:hanging="512"/>
        <w:spacing w:after="0" w:line="282" w:lineRule="auto"/>
        <w:tabs>
          <w:tab w:leader="none" w:pos="1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which portions have been omitted and filed separately with the Securities and Exchange Commission.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TREVI THERAPEUTICS, INC.</w:t>
      </w:r>
    </w:p>
    <w:p>
      <w:pPr>
        <w:spacing w:after="0" w:line="25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Jennifer Good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6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157" w:right="339" w:bottom="1440" w:gutter="0" w:footer="0" w:header="0"/>
        </w:sectPr>
      </w:pPr>
    </w:p>
    <w:p>
      <w:pPr>
        <w:spacing w:after="0" w:line="19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571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Jennifer Good</w:t>
      </w:r>
    </w:p>
    <w:p>
      <w:pPr>
        <w:spacing w:after="0" w:line="3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Lisa Delfini</w:t>
      </w:r>
    </w:p>
    <w:p>
      <w:pPr>
        <w:spacing w:after="0" w:line="3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Christopher Galletta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Christopher Galletta</w:t>
      </w:r>
    </w:p>
    <w:p>
      <w:pPr>
        <w:spacing w:after="0" w:line="3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David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David Meeker, M.D.</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James V. Cassella,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James V. Cassella, Ph.D.</w:t>
      </w:r>
    </w:p>
    <w:p>
      <w:pPr>
        <w:spacing w:after="0" w:line="2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Dominick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Dominick Colangelo</w:t>
      </w:r>
    </w:p>
    <w:p>
      <w:pPr>
        <w:spacing w:after="0" w:line="200" w:lineRule="exact"/>
        <w:rPr>
          <w:sz w:val="20"/>
          <w:szCs w:val="20"/>
          <w:color w:val="auto"/>
        </w:rPr>
      </w:pPr>
    </w:p>
    <w:p>
      <w:pPr>
        <w:spacing w:after="0" w:line="20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Michael Heffernan</w:t>
      </w:r>
    </w:p>
    <w:p>
      <w:pPr>
        <w:spacing w:after="0" w:line="200" w:lineRule="exact"/>
        <w:rPr>
          <w:sz w:val="20"/>
          <w:szCs w:val="20"/>
          <w:color w:val="auto"/>
        </w:rPr>
      </w:pPr>
    </w:p>
    <w:p>
      <w:pPr>
        <w:spacing w:after="0" w:line="20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Edward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Edward Mathers</w:t>
      </w:r>
    </w:p>
    <w:p>
      <w:pPr>
        <w:spacing w:after="0" w:line="200" w:lineRule="exact"/>
        <w:rPr>
          <w:sz w:val="20"/>
          <w:szCs w:val="20"/>
          <w:color w:val="auto"/>
        </w:rPr>
      </w:pPr>
    </w:p>
    <w:p>
      <w:pPr>
        <w:spacing w:after="0" w:line="20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Anne VanLent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Anne VanLent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85"/>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24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24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Controller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24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86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675"/>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878"/>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86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r>
        <w:trPr>
          <w:trHeight w:val="86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r>
    </w:tbl>
    <w:p>
      <w:pPr>
        <w:spacing w:after="0" w:line="411" w:lineRule="exact"/>
        <w:rPr>
          <w:sz w:val="20"/>
          <w:szCs w:val="20"/>
          <w:color w:val="auto"/>
        </w:rPr>
      </w:pPr>
    </w:p>
    <w:p>
      <w:pPr>
        <w:sectPr>
          <w:pgSz w:w="11900" w:h="16838" w:orient="portrait"/>
          <w:cols w:equalWidth="0" w:num="2">
            <w:col w:w="3120" w:space="720"/>
            <w:col w:w="7400"/>
          </w:cols>
          <w:pgMar w:left="320" w:top="1157"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03" w:name="page104"/>
    <w:bookmarkEnd w:id="103"/>
    <w:p>
      <w:pPr>
        <w:ind w:left="468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6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F-2</w:t>
            </w:r>
          </w:p>
        </w:tc>
      </w:tr>
      <w:tr>
        <w:trPr>
          <w:trHeight w:val="507"/>
        </w:trPr>
        <w:tc>
          <w:tcPr>
            <w:tcW w:w="36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662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426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620" w:type="dxa"/>
            <w:vAlign w:val="bottom"/>
          </w:tcPr>
          <w:p>
            <w:pPr>
              <w:ind w:left="6020"/>
              <w:spacing w:after="0" w:line="202"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36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3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66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F-4</w:t>
            </w:r>
          </w:p>
        </w:tc>
      </w:tr>
      <w:tr>
        <w:trPr>
          <w:trHeight w:val="223"/>
        </w:trPr>
        <w:tc>
          <w:tcPr>
            <w:tcW w:w="360" w:type="dxa"/>
            <w:vAlign w:val="bottom"/>
          </w:tcPr>
          <w:p>
            <w:pPr>
              <w:spacing w:after="0"/>
              <w:rPr>
                <w:sz w:val="19"/>
                <w:szCs w:val="19"/>
                <w:color w:val="auto"/>
              </w:rPr>
            </w:pPr>
          </w:p>
        </w:tc>
        <w:tc>
          <w:tcPr>
            <w:tcW w:w="3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700" w:type="dxa"/>
            <w:vAlign w:val="bottom"/>
          </w:tcPr>
          <w:p>
            <w:pPr>
              <w:spacing w:after="0"/>
              <w:rPr>
                <w:sz w:val="19"/>
                <w:szCs w:val="19"/>
                <w:color w:val="auto"/>
              </w:rPr>
            </w:pPr>
          </w:p>
        </w:tc>
        <w:tc>
          <w:tcPr>
            <w:tcW w:w="66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F-5</w:t>
            </w:r>
          </w:p>
        </w:tc>
      </w:tr>
      <w:tr>
        <w:trPr>
          <w:trHeight w:val="223"/>
        </w:trPr>
        <w:tc>
          <w:tcPr>
            <w:tcW w:w="360" w:type="dxa"/>
            <w:vAlign w:val="bottom"/>
          </w:tcPr>
          <w:p>
            <w:pPr>
              <w:spacing w:after="0"/>
              <w:rPr>
                <w:sz w:val="19"/>
                <w:szCs w:val="19"/>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6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36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F-7</w:t>
            </w:r>
          </w:p>
        </w:tc>
      </w:tr>
      <w:tr>
        <w:trPr>
          <w:trHeight w:val="696"/>
        </w:trPr>
        <w:tc>
          <w:tcPr>
            <w:tcW w:w="36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F-1</w:t>
            </w:r>
          </w:p>
        </w:tc>
      </w:tr>
      <w:tr>
        <w:trPr>
          <w:trHeight w:val="763"/>
        </w:trPr>
        <w:tc>
          <w:tcPr>
            <w:tcW w:w="3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4" w:name="page105"/>
    <w:bookmarkEnd w:id="104"/>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Trevi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Trevi Therapeutics, Inc. (the Company) as of December 31, 2023 and 2022, the related consolidated statements of comprehensive loss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equipment and leasehold improvements,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123,015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Term loan</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8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Preferred stock: $0.001 par value; 5,000,000 shares authorized at December 31, 2023 and December 31,</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2022; no shares issued or outstanding at December 31, 2023 and December 31, 2022.</w:t>
            </w:r>
          </w:p>
        </w:tc>
        <w:tc>
          <w:tcPr>
            <w:tcW w:w="24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Common stock: $0.001 par value; 200,000,000 shares authorized at December 31, 2023 and December</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31, 2022; and 68,283,699 and 59,943,430 shares issued and outstanding at December 31, 2023 and</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December 31, 2022, respectively.</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321,642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(29 )</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(122 )</w:t>
            </w: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(239,134 )</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(210,069 )</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82,547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107,459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2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-3809365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-2609215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-2609215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-1717675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-1717675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-149225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-149225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4445</wp:posOffset>
            </wp:positionV>
            <wp:extent cx="21945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-127635</wp:posOffset>
            </wp:positionV>
            <wp:extent cx="21945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(33,923 )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(29,907 )</w:t>
            </w:r>
          </w:p>
        </w:tc>
        <w:tc>
          <w:tcPr>
            <w:tcW w:w="0" w:type="dxa"/>
            <w:vAlign w:val="bottom"/>
          </w:tcPr>
          <w:p>
            <w:pPr>
              <w:spacing w:after="0"/>
              <w:rPr>
                <w:sz w:val="1"/>
                <w:szCs w:val="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(1,163 )</w:t>
            </w:r>
          </w:p>
        </w:tc>
        <w:tc>
          <w:tcPr>
            <w:tcW w:w="0" w:type="dxa"/>
            <w:vAlign w:val="bottom"/>
          </w:tcPr>
          <w:p>
            <w:pPr>
              <w:spacing w:after="0"/>
              <w:rPr>
                <w:sz w:val="1"/>
                <w:szCs w:val="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3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(29,097 )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(29,188 )</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(29,065 )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(29,152 )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(0.45 )</w:t>
            </w:r>
          </w:p>
        </w:tc>
        <w:tc>
          <w:tcPr>
            <w:tcW w:w="0" w:type="dxa"/>
            <w:vAlign w:val="bottom"/>
          </w:tcPr>
          <w:p>
            <w:pPr>
              <w:spacing w:after="0"/>
              <w:rPr>
                <w:sz w:val="1"/>
                <w:szCs w:val="1"/>
                <w:color w:val="auto"/>
              </w:rPr>
            </w:pPr>
          </w:p>
        </w:tc>
      </w:tr>
      <w:tr>
        <w:trPr>
          <w:trHeight w:val="196"/>
        </w:trPr>
        <w:tc>
          <w:tcPr>
            <w:tcW w:w="77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99,033,373</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64,541,911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(29,065 )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(29,152 )</w:t>
            </w:r>
          </w:p>
        </w:tc>
        <w:tc>
          <w:tcPr>
            <w:tcW w:w="0" w:type="dxa"/>
            <w:vAlign w:val="bottom"/>
          </w:tcPr>
          <w:p>
            <w:pPr>
              <w:spacing w:after="0"/>
              <w:rPr>
                <w:sz w:val="1"/>
                <w:szCs w:val="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gains (losses) on available-for-sale marketable securities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(28,972 )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(29,274 )</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color w:val="auto"/>
              </w:rPr>
              <w:t>See accompanying notes.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74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-3950970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-2691130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-2374265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-2031365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-2013585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-1096645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58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5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28,505,804</w:t>
            </w:r>
          </w:p>
        </w:tc>
        <w:tc>
          <w:tcPr>
            <w:tcW w:w="5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197,963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(180,917 )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51,005</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the at-the-market sales agreement, net of</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8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commissions and allocated fees</w:t>
            </w: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warrants under public offering and private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20,433,624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placement, less issuance costs</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warrant exercise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10,898,540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11,772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losses on available-for-sale marketable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(122 )</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(29,152 )</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(29,152 )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59,943,430</w:t>
            </w:r>
          </w:p>
        </w:tc>
        <w:tc>
          <w:tcPr>
            <w:tcW w:w="24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317,590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(210,069 )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146,081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Employee Stock Purchase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50,091</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the at-the-market sales agreement, net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and allocated fees</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pre-funded warrant exercise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7,394,097</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gains on available-for-sale marketable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(29,065 )</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(29,065 )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68,283,699</w:t>
            </w:r>
          </w:p>
        </w:tc>
        <w:tc>
          <w:tcPr>
            <w:tcW w:w="24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321,642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(239,134 )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-1139190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-1139190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-1139190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-1139190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-1139190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-145415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-145415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-145415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-145415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-145415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4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(29,065 )</w:t>
            </w:r>
          </w:p>
        </w:tc>
        <w:tc>
          <w:tcPr>
            <w:tcW w:w="66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(29,152 )</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Write off of deferred offering costs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Accretion/accrual of term loan discounts and debt issuance costs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disposal of property, equipment and leasehold improvements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Accretion of available-for-sale marketable securities, net</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(2,125 )</w:t>
            </w:r>
          </w:p>
        </w:tc>
        <w:tc>
          <w:tcPr>
            <w:tcW w:w="6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(829 )</w:t>
            </w: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term loan derivative liability</w:t>
            </w:r>
          </w:p>
        </w:tc>
        <w:tc>
          <w:tcPr>
            <w:tcW w:w="10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(2,850 )</w:t>
            </w: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(601 )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(1,049 )</w:t>
            </w: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(639 )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(31,710 )</w:t>
            </w:r>
          </w:p>
        </w:tc>
        <w:tc>
          <w:tcPr>
            <w:tcW w:w="6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(28,175 )</w:t>
            </w:r>
          </w:p>
        </w:tc>
        <w:tc>
          <w:tcPr>
            <w:tcW w:w="0" w:type="dxa"/>
            <w:vAlign w:val="bottom"/>
          </w:tcPr>
          <w:p>
            <w:pPr>
              <w:spacing w:after="0"/>
              <w:rPr>
                <w:sz w:val="1"/>
                <w:szCs w:val="1"/>
                <w:color w:val="auto"/>
              </w:rPr>
            </w:pPr>
          </w:p>
        </w:tc>
      </w:tr>
      <w:tr>
        <w:trPr>
          <w:trHeight w:val="225"/>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0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of available-for-sale marketable securities</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69,497</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10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(9,932 )</w:t>
            </w: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(126,215 )</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property, equipment and leasehold improvements</w:t>
            </w: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(137 )</w:t>
            </w:r>
          </w:p>
        </w:tc>
        <w:tc>
          <w:tcPr>
            <w:tcW w:w="6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(159 )</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59,428</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(107,373 )</w:t>
            </w:r>
          </w:p>
        </w:tc>
        <w:tc>
          <w:tcPr>
            <w:tcW w:w="0" w:type="dxa"/>
            <w:vAlign w:val="bottom"/>
          </w:tcPr>
          <w:p>
            <w:pPr>
              <w:spacing w:after="0"/>
              <w:rPr>
                <w:sz w:val="1"/>
                <w:szCs w:val="1"/>
                <w:color w:val="auto"/>
              </w:rPr>
            </w:pPr>
          </w:p>
        </w:tc>
      </w:tr>
      <w:tr>
        <w:trPr>
          <w:trHeight w:val="22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0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at-the-market sales, net of commissions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Repayments of term loan, term loan final fee and prepayment premium</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(9,409 )</w:t>
            </w:r>
          </w:p>
        </w:tc>
        <w:tc>
          <w:tcPr>
            <w:tcW w:w="6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(5,833 )</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0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(258 )</w:t>
            </w: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(226 )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of finance lease</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(95 )</w:t>
            </w:r>
          </w:p>
        </w:tc>
        <w:tc>
          <w:tcPr>
            <w:tcW w:w="6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7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Proceeds from sale of common stock and warrants in public offering and private placement, net of</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costs</w:t>
            </w:r>
          </w:p>
        </w:tc>
        <w:tc>
          <w:tcPr>
            <w:tcW w:w="10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exercises of warrants</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financing costs of term loan</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(7,910 )</w:t>
            </w: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19,808</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(24,241 )</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0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12,589</w:t>
            </w:r>
          </w:p>
        </w:tc>
        <w:tc>
          <w:tcPr>
            <w:tcW w:w="3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0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(331 )</w:t>
            </w: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(594 )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State research tax credits exchanged for cash</w:t>
            </w:r>
          </w:p>
        </w:tc>
        <w:tc>
          <w:tcPr>
            <w:tcW w:w="104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activities: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Offering costs included in accrued expenses</w:t>
            </w:r>
          </w:p>
        </w:tc>
        <w:tc>
          <w:tcPr>
            <w:tcW w:w="104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-3702685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-3110865</wp:posOffset>
            </wp:positionV>
            <wp:extent cx="76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-1208405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-908050</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17"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Trevi Therapeutics, Inc. (“Trevi” or the “Company”) is a clinical-stage biopharmaceutical company focused on the development and commercialization of the investigational therapy Haduvio (oral nalbuphine ER) for the treatment of chronic cough in idiopathic pulmonary fibrosis (“IPF”) and refractory chronic cough.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cough and itch. Nalbuphine’s mechanism of action also mitigates the risk of abuse associated with μ-opioid agonists because it antagonizes or blocks, the μ-opioid receptor. Parenteral nalbuphine is not scheduled as a controlled substance in the U.S. and most of Europe.</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and commitments in the ordinary course of business. The Company has financed its operations to date primarily through private placements of its redeemable convertible preferred stock and convertible notes prior to its initial public offering (“IPO”), borrowings under its prior term loan facility, proceeds from its IPO and concurrent private placement completed in May 2019, sales of its common stock pursuant to the at-the-market Sales Agreement (the “ATM Sales Agreement”) (Note 9) with SVB Securities LLC (formerly SVB Leerink LLC) (“SVB Securities”) that the Company entered into in June 2020, the term loan facility with Silicon Valley Bank (“SVB”) that the Company entered into in August 2020 (Note 8), proceeds from the private placements completed in October 2021 and April 2022 (Note 9), proceeds from the exercise of common stock warrants that were issued in the October 2021 private placements and proceeds from the public offering completed in October 2022 (Note 9). The Company has incurred recurring losses since inception, including net losses of $29.1 million and $29.2 million for the years ended December 31, 2023 and 2022, respectively. As of December 31, 2023, the Company had cash, cash equivalents and marketable securities of $83.0 million compared to $120.5 million of cash, cash equivalents and marketable securities as of December 31, 2022. The Company had incurred losses and negative cash flows from operations and had an accumulated deficit of $239.1 million as of December 31, 2023. The Company expects to continue to incur losses for the foreseeable future. As of March 20, 2024, the date of issuance of these Consolidated Financial Statements, the Company believes that its cash, cash equivalents and marketable securities as of December 31, 2023, will be sufficient to fund its operating expenses and capital expenditure requirements for 12 months from the date of issuance of these Consolidated Financial Statements.</w:t>
      </w:r>
    </w:p>
    <w:p>
      <w:pPr>
        <w:spacing w:after="0" w:line="84" w:lineRule="exact"/>
        <w:rPr>
          <w:sz w:val="20"/>
          <w:szCs w:val="20"/>
          <w:color w:val="auto"/>
        </w:rPr>
      </w:pPr>
    </w:p>
    <w:p>
      <w:pPr>
        <w:ind w:left="520" w:right="7300" w:hanging="512"/>
        <w:spacing w:after="0" w:line="378" w:lineRule="auto"/>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Trevi Therapeutics, Inc. and its wholly-owned subsidiary Trevi Therapeutics Limited. Intercompany balances and transactions have been eliminated.</w:t>
      </w:r>
    </w:p>
    <w:p>
      <w:pPr>
        <w:spacing w:after="0" w:line="5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amounts presented are in thousands of dollars, except share and per share amounts, unless noted otherwise. The Company has evaluated events occurring subsequent to December 31, 2023 for potential recognition or disclosure in the Consolidated Financial Statements and concluded there were no subsequent events that required recognition or disclosure.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short-term, highly liquid investments with an original term of three months or less at the date of purchase as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 to intermediate-term fixed income securities. Such investments are included in cash and cash equivalents or marketable securities on the Consolidated Balance Sheet.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Consolidated Statements of Comprehensive Loss. The amortized cost of debt securities is adjusted for amortization of premiums and accretion of discounts to maturity, which is included in interest income, net on the Consolidated Statements of Comprehensive Loss. Realized gains and losses, if any, on marketable securities are included in interest income, net on the Consolidated Statements of Comprehensive Loss. The cost of securities sold is determined using specific identification.</w:t>
      </w:r>
    </w:p>
    <w:p>
      <w:pPr>
        <w:spacing w:after="0" w:line="8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evaluates whether declines in the fair values of its marketable securities below their amortized cost are credit losses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approximated its fair value due to its floating market-based interest rate. The fair value of the term loan derivative liability was estimated utilizing a probability-weighted cash flow approach. The warrants to acquire the Company’s common stock are not required to be accounted for at fair value.</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6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Level 3—Unobservable inputs—includes amounts derived from valuation models where one or more significant inputs are unobservable and require the company to develop relevant assumptions.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Techniques - Level 2 Inputs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its financial instruments categorized as level 2 in the fair value hierarchy, including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observable inputs. The Company obtains a single price for each financial instrument and does not adjust the prices obtained from the pricing service.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Consolidated Statements of Comprehensive Loss.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and non-current assets on the Consolidated Balance Sheets.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Expenses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R&amp;D Expenses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then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2" w:name="page113"/>
    <w:bookmarkEnd w:id="1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arrangements with employees and non-employees for consultancy services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Changes in the variables can materially affect the fair value and ultimately how much stock-based compensation expense is recognized. These inputs are subjective and generally require analysis and judgment to develop.</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yield available on U.S. Treasury zero-coupon issues similar in duration to the expected term of the stock-based award.</w:t>
      </w:r>
    </w:p>
    <w:p>
      <w:pPr>
        <w:spacing w:after="0" w:line="5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0"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 </w:t>
      </w:r>
      <w:r>
        <w:rPr>
          <w:rFonts w:ascii="Times New Roman" w:cs="Times New Roman" w:eastAsia="Times New Roman" w:hAnsi="Times New Roman"/>
          <w:sz w:val="18"/>
          <w:szCs w:val="18"/>
          <w:i w:val="1"/>
          <w:iCs w:val="1"/>
          <w:color w:val="auto"/>
        </w:rPr>
        <w:t>Income Taxe</w:t>
      </w:r>
      <w:r>
        <w:rPr>
          <w:rFonts w:ascii="Times New Roman" w:cs="Times New Roman" w:eastAsia="Times New Roman" w:hAnsi="Times New Roman"/>
          <w:sz w:val="18"/>
          <w:szCs w:val="18"/>
          <w:color w:val="auto"/>
        </w:rPr>
        <w:t>s (“ASC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December 31, 2023 and December 31, 2022. The Company does not have any interest or penalties accrued related to tax positions as it does not have any unrecognized tax benefits.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lease liability represents the Company’s obligation to make lease payments arising from the lease.</w:t>
      </w:r>
    </w:p>
    <w:p>
      <w:pPr>
        <w:spacing w:after="0" w:line="7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If the Company’s leases do not provide an implicit rate within the lease, the Company uses its incremental borrowing rate, based on information available at the commencement date of the lease to determine the present value of the lease payments.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3" w:name="page114"/>
    <w:bookmarkEnd w:id="113"/>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68"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reporting segment which is also the Company’s only operating segment. Management uses one measurement of profitability and does not segregate its business for internal reporting. All long-lived assets are maintained in the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adopted during the year ended December 31, 2023, which materially impacted the Company’s Consolidated Financial Statements.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on an interim and annual basis. ASU 2023-07 is effective for fiscal years beginning after December 15, 2023, and for interim periods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2024, with early adoption permitted. The Company is currently evaluating the impact of adopting ASU 2023-07.</w:t>
      </w:r>
    </w:p>
    <w:p>
      <w:pPr>
        <w:spacing w:after="0" w:line="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of adopting ASU 2023-09.</w:t>
      </w:r>
    </w:p>
    <w:p>
      <w:pPr>
        <w:spacing w:after="0" w:line="70"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available-for-sale marketable securities by major security type are presented in the following tables as of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c>
          <w:tcPr>
            <w:tcW w:w="100" w:type="dxa"/>
            <w:vAlign w:val="bottom"/>
          </w:tcPr>
          <w:p>
            <w:pPr>
              <w:spacing w:after="0"/>
              <w:rPr>
                <w:sz w:val="21"/>
                <w:szCs w:val="21"/>
                <w:color w:val="auto"/>
              </w:rPr>
            </w:pPr>
          </w:p>
        </w:tc>
      </w:tr>
      <w:tr>
        <w:trPr>
          <w:trHeight w:val="243"/>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(53 )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0"/>
                <w:szCs w:val="20"/>
                <w:color w:val="auto"/>
              </w:rPr>
            </w:pPr>
          </w:p>
        </w:tc>
      </w:tr>
      <w:tr>
        <w:trPr>
          <w:trHeight w:val="277"/>
        </w:trPr>
        <w:tc>
          <w:tcPr>
            <w:tcW w:w="450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36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top w:val="single" w:sz="8" w:color="CFF0FC"/>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633"/>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4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-916305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-899160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-1079500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-916305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-899160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-1079500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-899160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-1079500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50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39"/>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62,573</w:t>
            </w:r>
          </w:p>
        </w:tc>
        <w:tc>
          <w:tcPr>
            <w:tcW w:w="36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83</w:t>
            </w:r>
          </w:p>
        </w:tc>
        <w:tc>
          <w:tcPr>
            <w:tcW w:w="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tcPr>
          <w:p>
            <w:pPr>
              <w:spacing w:after="0"/>
              <w:rPr>
                <w:sz w:val="20"/>
                <w:szCs w:val="20"/>
                <w:color w:val="auto"/>
              </w:rPr>
            </w:pPr>
          </w:p>
        </w:tc>
      </w:tr>
      <w:tr>
        <w:trPr>
          <w:trHeight w:val="247"/>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(62 )</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tcPr>
          <w:p>
            <w:pPr>
              <w:spacing w:after="0"/>
              <w:rPr>
                <w:sz w:val="20"/>
                <w:szCs w:val="20"/>
                <w:color w:val="auto"/>
              </w:rPr>
            </w:pPr>
          </w:p>
        </w:tc>
      </w:tr>
      <w:tr>
        <w:trPr>
          <w:trHeight w:val="247"/>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(4 )</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20"/>
                <w:szCs w:val="20"/>
                <w:color w:val="auto"/>
              </w:rPr>
            </w:pPr>
          </w:p>
        </w:tc>
      </w:tr>
      <w:tr>
        <w:trPr>
          <w:trHeight w:val="257"/>
        </w:trPr>
        <w:tc>
          <w:tcPr>
            <w:tcW w:w="4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3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87</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(209 )</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107,921</w:t>
            </w:r>
          </w:p>
        </w:tc>
        <w:tc>
          <w:tcPr>
            <w:tcW w:w="100" w:type="dxa"/>
            <w:vAlign w:val="bottom"/>
            <w:shd w:val="clear" w:color="auto" w:fill="CFF0FC"/>
          </w:tcPr>
          <w:p>
            <w:pPr>
              <w:spacing w:after="0"/>
              <w:rPr>
                <w:sz w:val="22"/>
                <w:szCs w:val="22"/>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net amortized cost and fair value of available-for-sale marketable securities are presented in the following table (in thousands) as of the period presented by contractual maturity. Actual maturities may differ from contractual maturities because securities may be restructured, called or prepaid, or the Company may intend to sell a security prior to maturity.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0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20" w:type="dxa"/>
            <w:vAlign w:val="bottom"/>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1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0"/>
                <w:szCs w:val="20"/>
                <w:color w:val="auto"/>
              </w:rPr>
            </w:pPr>
          </w:p>
        </w:tc>
      </w:tr>
      <w:tr>
        <w:trPr>
          <w:trHeight w:val="277"/>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4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0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00" w:type="dxa"/>
            <w:vAlign w:val="bottom"/>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69,527</w:t>
            </w:r>
          </w:p>
        </w:tc>
        <w:tc>
          <w:tcPr>
            <w:tcW w:w="11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69,367</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38,516</w:t>
            </w: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38,554</w:t>
            </w:r>
          </w:p>
        </w:tc>
        <w:tc>
          <w:tcPr>
            <w:tcW w:w="100" w:type="dxa"/>
            <w:vAlign w:val="bottom"/>
          </w:tcPr>
          <w:p>
            <w:pPr>
              <w:spacing w:after="0"/>
              <w:rPr>
                <w:sz w:val="20"/>
                <w:szCs w:val="20"/>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4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realized gains or losses on available-for-sale marketable securities.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the years ended December 31, 2023 and 2022, no marketable securities had been in a continuous unrealized loss position for more than 12 months and the Company considered the loss to be temporary in nature. The Company reviewed the securities in the table above and considered the decline in market value for these securities to be primarily attributable to economic and market conditions. As of the periods noted in the table above, the Company did not intend to sell these securities and did not believe it was more likely than not that it would be required to sell these securities before recovery of their amortized cost basis. Accordingly, the Company did not recognize any credit losses related to its marketable securities in an unrealized loss position.</w:t>
      </w:r>
    </w:p>
    <w:p>
      <w:pPr>
        <w:spacing w:after="0" w:line="71"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financial liabilities measured at fair value on a recurring basis and the basis for that measurement, by level within the fair value hierarchy as follows (in thousands):</w:t>
      </w: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3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color w:val="auto"/>
              </w:rPr>
              <w:t>F-12</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2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4"/>
        </w:trPr>
        <w:tc>
          <w:tcPr>
            <w:tcW w:w="2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00" w:type="dxa"/>
            <w:vAlign w:val="bottom"/>
          </w:tcPr>
          <w:p>
            <w:pPr>
              <w:spacing w:after="0"/>
              <w:rPr>
                <w:sz w:val="21"/>
                <w:szCs w:val="21"/>
                <w:color w:val="auto"/>
              </w:rPr>
            </w:pPr>
          </w:p>
        </w:tc>
      </w:tr>
      <w:tr>
        <w:trPr>
          <w:trHeight w:val="250"/>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tcPr>
          <w:p>
            <w:pPr>
              <w:spacing w:after="0"/>
              <w:rPr>
                <w:sz w:val="20"/>
                <w:szCs w:val="20"/>
                <w:color w:val="auto"/>
              </w:rPr>
            </w:pPr>
          </w:p>
        </w:tc>
      </w:tr>
      <w:tr>
        <w:trPr>
          <w:trHeight w:val="247"/>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0"/>
                <w:szCs w:val="20"/>
                <w:color w:val="auto"/>
              </w:rPr>
            </w:pPr>
          </w:p>
        </w:tc>
      </w:tr>
      <w:tr>
        <w:trPr>
          <w:trHeight w:val="243"/>
        </w:trPr>
        <w:tc>
          <w:tcPr>
            <w:tcW w:w="2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98,069</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119,510</w:t>
            </w:r>
          </w:p>
        </w:tc>
        <w:tc>
          <w:tcPr>
            <w:tcW w:w="10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-187960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fair value of Level 3 instruments (significant unobservable inputs)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8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90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4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47"/>
        </w:trPr>
        <w:tc>
          <w:tcPr>
            <w:tcW w:w="8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44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r>
      <w:tr>
        <w:trPr>
          <w:trHeight w:val="239"/>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settlements (see Note 8)</w:t>
            </w:r>
          </w:p>
        </w:tc>
        <w:tc>
          <w:tcPr>
            <w:tcW w:w="440" w:type="dxa"/>
            <w:vAlign w:val="bottom"/>
          </w:tcPr>
          <w:p>
            <w:pPr>
              <w:spacing w:after="0"/>
              <w:rPr>
                <w:sz w:val="20"/>
                <w:szCs w:val="20"/>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r>
      <w:tr>
        <w:trPr>
          <w:trHeight w:val="276"/>
        </w:trPr>
        <w:tc>
          <w:tcPr>
            <w:tcW w:w="8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spacing w:after="0" w:line="8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December 2022, the Company entered into a 24 month lease for the financing of the furniture installed in the Company’s new office space. The furniture lease requires monthly payments of approximately $11 starting in March 2023. The Company also entered into an immaterial office equipment lease during 2022 that has a term of 36 months.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the Company’s lease-related assets and liabilities as presented on its Consolidated Balance Sheets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Condensed Consolidated Balance Sheet</w:t>
            </w:r>
          </w:p>
        </w:tc>
        <w:tc>
          <w:tcPr>
            <w:tcW w:w="18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55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6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assets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5500" w:type="dxa"/>
            <w:vAlign w:val="bottom"/>
            <w:shd w:val="clear" w:color="auto" w:fill="CFF0FC"/>
          </w:tcPr>
          <w:p>
            <w:pPr>
              <w:spacing w:after="0"/>
              <w:rPr>
                <w:sz w:val="23"/>
                <w:szCs w:val="23"/>
                <w:color w:val="auto"/>
              </w:rPr>
            </w:pPr>
          </w:p>
        </w:tc>
        <w:tc>
          <w:tcPr>
            <w:tcW w:w="66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5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66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 portion</w:t>
            </w: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55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-1293495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-1276350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related to the Company’s lease expense for the periods shown (in thousands):</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6" w:name="page117"/>
    <w:bookmarkEnd w:id="116"/>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7"/>
        </w:trPr>
        <w:tc>
          <w:tcPr>
            <w:tcW w:w="7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9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from December 31, 2023 until the expiration of the leases are as follows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w:t>
            </w:r>
          </w:p>
        </w:tc>
        <w:tc>
          <w:tcPr>
            <w:tcW w:w="360" w:type="dxa"/>
            <w:vAlign w:val="bottom"/>
            <w:tcBorders>
              <w:top w:val="single" w:sz="8" w:color="CFF0FC"/>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FF0FC"/>
            </w:tcBorders>
          </w:tcPr>
          <w:p>
            <w:pPr>
              <w:spacing w:after="0"/>
              <w:rPr>
                <w:sz w:val="20"/>
                <w:szCs w:val="20"/>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(307 )</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37"/>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w:t>
            </w:r>
          </w:p>
        </w:tc>
        <w:tc>
          <w:tcPr>
            <w:tcW w:w="3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FF0FC"/>
            </w:tcBorders>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-1842135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-1824990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-504825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the lease terms and discount rates for the Company's leases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500" w:type="dxa"/>
            <w:vAlign w:val="bottom"/>
          </w:tcPr>
          <w:p>
            <w:pPr>
              <w:spacing w:after="0"/>
              <w:rPr>
                <w:sz w:val="14"/>
                <w:szCs w:val="14"/>
                <w:color w:val="auto"/>
              </w:rPr>
            </w:pPr>
          </w:p>
        </w:tc>
        <w:tc>
          <w:tcPr>
            <w:tcW w:w="1700" w:type="dxa"/>
            <w:vAlign w:val="bottom"/>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4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7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250"/>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7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4.3 years</w:t>
            </w: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 years</w:t>
            </w:r>
          </w:p>
        </w:tc>
      </w:tr>
      <w:tr>
        <w:trPr>
          <w:trHeight w:val="239"/>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7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 years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47"/>
        </w:trPr>
        <w:tc>
          <w:tcPr>
            <w:tcW w:w="65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180" w:type="dxa"/>
            <w:vAlign w:val="bottom"/>
            <w:shd w:val="clear" w:color="auto" w:fill="CFF0FC"/>
          </w:tcPr>
          <w:p>
            <w:pPr>
              <w:spacing w:after="0"/>
              <w:rPr>
                <w:sz w:val="21"/>
                <w:szCs w:val="21"/>
                <w:color w:val="auto"/>
              </w:rPr>
            </w:pPr>
          </w:p>
        </w:tc>
      </w:tr>
      <w:tr>
        <w:trPr>
          <w:trHeight w:val="23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47"/>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700" w:type="dxa"/>
            <w:vAlign w:val="bottom"/>
            <w:shd w:val="clear" w:color="auto" w:fill="CFF0FC"/>
          </w:tcPr>
          <w:p>
            <w:pPr>
              <w:jc w:val="center"/>
              <w:ind w:left="474"/>
              <w:spacing w:after="0"/>
              <w:rPr>
                <w:sz w:val="20"/>
                <w:szCs w:val="20"/>
                <w:color w:val="auto"/>
              </w:rPr>
            </w:pPr>
            <w:r>
              <w:rPr>
                <w:rFonts w:ascii="Times New Roman" w:cs="Times New Roman" w:eastAsia="Times New Roman" w:hAnsi="Times New Roman"/>
                <w:sz w:val="18"/>
                <w:szCs w:val="18"/>
                <w:color w:val="auto"/>
                <w:w w:val="97"/>
              </w:rPr>
              <w:t>11.00%</w:t>
            </w:r>
          </w:p>
        </w:tc>
        <w:tc>
          <w:tcPr>
            <w:tcW w:w="3040" w:type="dxa"/>
            <w:vAlign w:val="bottom"/>
            <w:gridSpan w:val="3"/>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13.00%</w:t>
            </w:r>
          </w:p>
        </w:tc>
      </w:tr>
      <w:tr>
        <w:trPr>
          <w:trHeight w:val="234"/>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70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w w:val="98"/>
              </w:rPr>
              <w:t>4.37%</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leases for the periods shown (in thousands):</w:t>
      </w:r>
    </w:p>
    <w:p>
      <w:pPr>
        <w:spacing w:after="0" w:line="22"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9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8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outflows relating to operating leases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r>
      <w:tr>
        <w:trPr>
          <w:trHeight w:val="239"/>
        </w:trPr>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payments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8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Leasehold Improvements,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leasehold improvements, net consist of the following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website development and office equipment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20"/>
                <w:szCs w:val="20"/>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41"/>
        </w:trPr>
        <w:tc>
          <w:tcPr>
            <w:tcW w:w="68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20"/>
                <w:szCs w:val="20"/>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(134 )</w:t>
            </w:r>
          </w:p>
        </w:tc>
        <w:tc>
          <w:tcPr>
            <w:tcW w:w="56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r>
      <w:tr>
        <w:trPr>
          <w:trHeight w:val="27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leasehold improvements, net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was $81 and $43 for the years ended December 31, 2023 and 2022,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117" w:name="page118"/>
    <w:bookmarkEnd w:id="117"/>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1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R&amp;D projects</w:t>
            </w:r>
          </w:p>
        </w:tc>
        <w:tc>
          <w:tcPr>
            <w:tcW w:w="1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1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0"/>
                <w:szCs w:val="20"/>
                <w:color w:val="auto"/>
              </w:rPr>
            </w:pPr>
          </w:p>
        </w:tc>
      </w:tr>
      <w:tr>
        <w:trPr>
          <w:trHeight w:val="281"/>
        </w:trPr>
        <w:tc>
          <w:tcPr>
            <w:tcW w:w="7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1300" w:type="dxa"/>
            <w:vAlign w:val="bottom"/>
            <w:tcBorders>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3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Silicon Valley Bank Term Loan</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On May 9, 2023, the Company paid the remaining amount due under the SVB Loan Agreement, resulting in the full extinguishment of the SVB Term Loan (as described below). The total payoff amount was $6.5 million, consisting of the remaining principal amount due of $5.2 million, the final payment fee of $1.2 million, and $0.1 million of accrued interest and prepayment premium.</w:t>
      </w:r>
    </w:p>
    <w:p>
      <w:pPr>
        <w:spacing w:after="0" w:line="6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August 13, 2020 (the “Effective Date”), the Company entered into a loan and security agreement (the “SVB Loan Agreement”) with Silicon Valley Bank (“SVB”), as lender, pursuant to which SVB provided a term loan to the Company in the original principal amount of $14.0 million (the “SVB Term Loan”). The SVB Term Loan bore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w:t>
      </w:r>
    </w:p>
    <w:p>
      <w:pPr>
        <w:spacing w:after="0" w:line="5" w:lineRule="exact"/>
        <w:rPr>
          <w:sz w:val="20"/>
          <w:szCs w:val="20"/>
          <w:color w:val="auto"/>
        </w:rPr>
      </w:pPr>
    </w:p>
    <w:p>
      <w:pPr>
        <w:ind w:right="40" w:firstLine="8"/>
        <w:spacing w:after="0" w:line="251" w:lineRule="auto"/>
        <w:tabs>
          <w:tab w:leader="none" w:pos="2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3.00% and (B) 6.25% (see term loan derivative liability discussion below). Commencing on March 1, 2022 and on the first business day of each month thereafter, the Company was required to make monthly interest payments and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was required to pay a final payment fee equal to $1.2 million. The SVB Term Loan and related obligations under the SVB Loan Agreement were secured by substantially all of the Company’s properties, rights and assets, except for its intellectual property (which was subject to a negative pledge under the SVB Loan Agreement).</w:t>
      </w:r>
    </w:p>
    <w:p>
      <w:pPr>
        <w:spacing w:after="0" w:line="84"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have been required to deposit unrestricted and unencumbered cash equal to 100% of all outstanding amounts owed to SVB in a cash collateral account with SVB, which could have been used by SVB to prepay the SVB Term Loan at any time. In addition, the Loan Amendment provided that if the Company failed to maintain at least $20.0 million in unrestricted and unencumbered cash in its accounts with SVB at any time prior to the satisfaction of all the Milestone Conditions (the “Minimum Required Cash”), the Company would have been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at-the-market sales agreement entered into with SVB Securities LLC (formerly SVB Leerink LLC) (“SVB Securities”) in June 2020 (the “ATM Sales Agreement”) and two private placements, which took place in October 2021 (see Note 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8" w:name="page119"/>
    <w:bookmarkEnd w:id="118"/>
    <w:p>
      <w:pPr>
        <w:ind w:firstLine="578"/>
        <w:spacing w:after="0" w:line="253" w:lineRule="auto"/>
        <w:rPr>
          <w:sz w:val="20"/>
          <w:szCs w:val="20"/>
          <w:color w:val="auto"/>
        </w:rPr>
      </w:pPr>
      <w:r>
        <w:rPr>
          <w:rFonts w:ascii="Times New Roman" w:cs="Times New Roman" w:eastAsia="Times New Roman" w:hAnsi="Times New Roman"/>
          <w:sz w:val="18"/>
          <w:szCs w:val="18"/>
          <w:color w:val="auto"/>
        </w:rPr>
        <w:t>On April 6, 2022, the Company and SVB entered into a Third Amendment (the “Third Amendment”) to the SVB Loan Agreement. The Third Amendment principally modified the conditions under which the Company would have been required to cash collateralize all outstanding amounts owed to SVB under the SVB Loan Agreement. Under the terms of the Third Amendment, if the Company raised $45.0 million in net proceeds from the sale of equity securities (the “2022 Equity Event”), the Company’s obligations to achieve the Milestone Conditions and maintain the Minimum Required Cash would have terminated and the sole remaining trigger for cash collateralization would have been if the Company did not receive positive final data by December 31, 2022 from either its Phase 2b/3 PRISM trial of Haduvio for prurigo nodularis or its Phase 2 CANAL trial of Haduvio for the treatment of chronic cough in IPF. In addition, the Third Amendment modified the interest rate on the principal amount outstanding under the SVB Loan Agreement. As a result of the Third Amendment, amounts outstanding under the SVB Loan Agreement accrued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spacing w:after="0" w:line="79" w:lineRule="exact"/>
        <w:rPr>
          <w:sz w:val="20"/>
          <w:szCs w:val="20"/>
          <w:color w:val="auto"/>
        </w:rPr>
      </w:pPr>
    </w:p>
    <w:p>
      <w:pPr>
        <w:ind w:right="120" w:firstLine="578"/>
        <w:spacing w:after="0" w:line="256" w:lineRule="auto"/>
        <w:rPr>
          <w:sz w:val="20"/>
          <w:szCs w:val="20"/>
          <w:color w:val="auto"/>
        </w:rPr>
      </w:pPr>
      <w:r>
        <w:rPr>
          <w:rFonts w:ascii="Times New Roman" w:cs="Times New Roman" w:eastAsia="Times New Roman" w:hAnsi="Times New Roman"/>
          <w:sz w:val="18"/>
          <w:szCs w:val="18"/>
          <w:color w:val="auto"/>
        </w:rPr>
        <w:t>The SVB Loan Agreement contained customary representations, warranties, events of default and covenants. The occurrence and continuation of an event of default could have caused interest to be charged at the rate that was otherwise applicable plus 5.00% (unless SVB selected to impose a smaller increase) and would have provided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restricted the payment of dividends on the Company’s common stock.</w:t>
      </w:r>
    </w:p>
    <w:p>
      <w:pPr>
        <w:spacing w:after="0" w:line="79"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In August 2020, in connection with the SVB Term Loan, the Company paid $57 in financing costs to a third-party, which were recorded as deferred charges and were amortized over the life of the SVB Term Loan using the effective interest method. In connection with the Loan Amendment, the Company paid $68 in financing costs to a third-party, which were recorded as deferred charges and were amortized over the life of the SVB Term Loan using the effective interest method. In connection with the Third Amendment, the Company paid $21 in financing costs to a third-party, which were recorded as deferred charges and were amortized over the life of the SVB Term Loan using the effective interest method.</w:t>
      </w:r>
    </w:p>
    <w:p>
      <w:pPr>
        <w:spacing w:after="0" w:line="75" w:lineRule="exact"/>
        <w:rPr>
          <w:sz w:val="20"/>
          <w:szCs w:val="20"/>
          <w:color w:val="auto"/>
        </w:rPr>
      </w:pPr>
    </w:p>
    <w:p>
      <w:pPr>
        <w:jc w:val="both"/>
        <w:ind w:right="420" w:firstLine="578"/>
        <w:spacing w:after="0" w:line="266" w:lineRule="auto"/>
        <w:rPr>
          <w:sz w:val="20"/>
          <w:szCs w:val="20"/>
          <w:color w:val="auto"/>
        </w:rPr>
      </w:pPr>
      <w:r>
        <w:rPr>
          <w:rFonts w:ascii="Times New Roman" w:cs="Times New Roman" w:eastAsia="Times New Roman" w:hAnsi="Times New Roman"/>
          <w:sz w:val="18"/>
          <w:szCs w:val="18"/>
          <w:color w:val="auto"/>
        </w:rPr>
        <w:t>In August 2020, in connection with the execution of the SVB Loan Agreement, the Company paid $27 in financing costs to SVB, which were recorded as loan discounts. These loan discounts were included as a reduction in the balance of the term loan payable on the Company’s Consolidated Balance Sheets and were accreted over the life of the SVB Term Loan using the effective interest method.</w:t>
      </w:r>
    </w:p>
    <w:p>
      <w:pPr>
        <w:spacing w:after="0" w:line="68"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In connection with the SVB Loan Agreement, the Company was obligated to pay a final payment fee of $1.2 million upon repayment in full of the SVB Term Loan. The final payment fee was accrued over the life of the SVB Term Loan using the effective interest method and was included as an increase in the balance of the term loan payable on the Company’s Consolidated Balance Sheets. The Company paid this final payment fee of $1.2 million on May 9, 2023 in connection with the payoff in full of the SVB Term Loan.</w:t>
      </w:r>
    </w:p>
    <w:p>
      <w:pPr>
        <w:spacing w:after="0" w:line="72" w:lineRule="exact"/>
        <w:rPr>
          <w:sz w:val="20"/>
          <w:szCs w:val="20"/>
          <w:color w:val="auto"/>
        </w:rPr>
      </w:pPr>
    </w:p>
    <w:p>
      <w:pPr>
        <w:ind w:right="20" w:firstLine="578"/>
        <w:spacing w:after="0" w:line="252" w:lineRule="auto"/>
        <w:rPr>
          <w:sz w:val="20"/>
          <w:szCs w:val="20"/>
          <w:color w:val="auto"/>
        </w:rPr>
      </w:pPr>
      <w:r>
        <w:rPr>
          <w:rFonts w:ascii="Times New Roman" w:cs="Times New Roman" w:eastAsia="Times New Roman" w:hAnsi="Times New Roman"/>
          <w:sz w:val="18"/>
          <w:szCs w:val="18"/>
          <w:color w:val="auto"/>
        </w:rPr>
        <w:t xml:space="preserve">Prior to the Third Amendment, the SVB Loan Agreement provided that upon SVB receiving evidence satisfactory to it that the Company had (i) received positive data for the Phase 2b/3 PRISM trial sufficient to advance Haduvio into a second Phase 3 clinical trial for prurigo nodularis and (ii) raised sufficient financing to fund such Phase 3 clinical trial and the Company’s operations, the interest rate on the SVB Term Loan would increase by 2.00% (the “Contingent Interest Rate Increase”) as described above. The Contingent Interest Rate Increase represented a free-standing financial instrument. Accordingly, the Company accounted for the Contingent Interest Rate Increase as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therefore, recorded a term loan derivative liability for the Contingent Interest Rate Increase at its fair value of $187 on the Effective Date of the SVB Loan Agreement. The Company adjusted this liability to fair value at each reporting date it remained outstanding, with such adjustments recorded as non-cash charges in other income (expense), net in the Company’s Consolidated Statements of Comprehensive Loss. The term loan derivative liability was previously presented as a current liability on the Company’s Consolidated Balance Sheets. Upon recording such term loan derivative liability, the Company also recorded an offsetting term loan discount – interest, that was amortized to interest expense in the Company’s Consolidated Statements of Comprehensive Loss through the SVB Term Loan’s maturity date using the effective interest method. Upon entering into the Third Amendment, the Contingent Interest Rate Increase became effective and the Company recorded an increase to the total fair value of the term loan derivative liability in</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2022. The term loan derivative liability was then settled and reclassified to both current and non-current interest payable, which were presented as accrued liabilities and other non-current liabilities on the Company’s Consolidated Balance Sheet.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19" w:name="page120"/>
    <w:bookmarkEnd w:id="119"/>
    <w:p>
      <w:pPr>
        <w:jc w:val="both"/>
        <w:ind w:right="160" w:firstLine="57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an immaterial effect from early extinguishment of debt was recorded in connection with the Company paying the remaining amounts due under the SVB Loan Agreement, which was included in other income, net on the Company’s Consolidated Statements of Comprehensive Loss.</w:t>
      </w:r>
    </w:p>
    <w:p>
      <w:pPr>
        <w:spacing w:after="0" w:line="68"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no outstanding borrowings, and as of December 31, 2022, the Company had outstanding borrowings of $8.2 million, under the SVB Term Loan and the term loan payable balance as presented in the Company’s Consolidated Balance Sheet was comprised as shown below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outstanding under term loan</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shd w:val="clear" w:color="auto" w:fill="CFF0FC"/>
          </w:tcPr>
          <w:p>
            <w:pPr>
              <w:spacing w:after="0"/>
              <w:rPr>
                <w:sz w:val="20"/>
                <w:szCs w:val="20"/>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discount-interest</w:t>
            </w:r>
          </w:p>
        </w:tc>
        <w:tc>
          <w:tcPr>
            <w:tcW w:w="30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discount-unamortized deferred charges</w:t>
            </w:r>
          </w:p>
        </w:tc>
        <w:tc>
          <w:tcPr>
            <w:tcW w:w="30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discount-financing costs, net of accretion</w:t>
            </w:r>
          </w:p>
        </w:tc>
        <w:tc>
          <w:tcPr>
            <w:tcW w:w="30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7"/>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loan-final payment fee</w:t>
            </w:r>
          </w:p>
        </w:tc>
        <w:tc>
          <w:tcPr>
            <w:tcW w:w="30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20"/>
                <w:szCs w:val="20"/>
                <w:color w:val="auto"/>
              </w:rPr>
            </w:pPr>
          </w:p>
        </w:tc>
      </w:tr>
      <w:tr>
        <w:trPr>
          <w:trHeight w:val="247"/>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payable, non-current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r>
      <w:tr>
        <w:trPr>
          <w:trHeight w:val="20"/>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Interest expense on the SVB Term Loan, which is comprised of interest payments, accretion and amortization of term loan discounts and the accrual of the final payment fee, is shown below (in thousands). As of December 31, 2022, the weighted average interest rate applicable to borrowings under the SVB Term Loan was 5.36%.</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6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FF0FC"/>
          </w:tcPr>
          <w:p>
            <w:pPr>
              <w:spacing w:after="0"/>
              <w:rPr>
                <w:sz w:val="20"/>
                <w:szCs w:val="20"/>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the final payment fee</w:t>
            </w: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r>
      <w:tr>
        <w:trPr>
          <w:trHeight w:val="24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term loan discounts</w:t>
            </w:r>
          </w:p>
        </w:tc>
        <w:tc>
          <w:tcPr>
            <w:tcW w:w="1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80" w:type="dxa"/>
            <w:vAlign w:val="bottom"/>
          </w:tcPr>
          <w:p>
            <w:pPr>
              <w:spacing w:after="0"/>
              <w:rPr>
                <w:sz w:val="20"/>
                <w:szCs w:val="20"/>
                <w:color w:val="auto"/>
              </w:rPr>
            </w:pP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0"/>
                <w:szCs w:val="20"/>
                <w:color w:val="auto"/>
              </w:rPr>
            </w:pPr>
          </w:p>
        </w:tc>
      </w:tr>
      <w:tr>
        <w:trPr>
          <w:trHeight w:val="20"/>
        </w:trPr>
        <w:tc>
          <w:tcPr>
            <w:tcW w:w="7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-187960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20" w:right="9100" w:hanging="512"/>
        <w:spacing w:after="0" w:line="400" w:lineRule="auto"/>
        <w:tabs>
          <w:tab w:leader="none" w:pos="5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Preferred Stock</w:t>
      </w: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Company’s restated certificate of incorporation authorized the Company to issue 5,000,000 shares of preferred stock, with a par value of $0.001 per share.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Company’s restated certificate of incorporation authorized the Company to issue 200,000,000 shares of common stock, with a par value of $0.001 per share.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reserved shares of common stock for future issuance as shown in the table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9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5"/>
        </w:trPr>
        <w:tc>
          <w:tcPr>
            <w:tcW w:w="832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Shares of common stock reserved for future issuance upon exercise of outstanding warrants and pre-funded</w:t>
            </w: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48,330,707</w:t>
            </w:r>
          </w:p>
        </w:tc>
        <w:tc>
          <w:tcPr>
            <w:tcW w:w="100" w:type="dxa"/>
            <w:vAlign w:val="bottom"/>
            <w:shd w:val="clear" w:color="auto" w:fill="CFF0FC"/>
          </w:tcPr>
          <w:p>
            <w:pPr>
              <w:spacing w:after="0"/>
              <w:rPr>
                <w:sz w:val="21"/>
                <w:szCs w:val="21"/>
                <w:color w:val="auto"/>
              </w:rPr>
            </w:pPr>
          </w:p>
        </w:tc>
      </w:tr>
      <w:tr>
        <w:trPr>
          <w:trHeight w:val="23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 Stock Incentive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6,549,183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4,553,202</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1,177,456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701,232</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2012</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565,792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602,231</w:t>
            </w:r>
          </w:p>
        </w:tc>
        <w:tc>
          <w:tcPr>
            <w:tcW w:w="100" w:type="dxa"/>
            <w:vAlign w:val="bottom"/>
          </w:tcPr>
          <w:p>
            <w:pPr>
              <w:spacing w:after="0"/>
              <w:rPr>
                <w:sz w:val="20"/>
                <w:szCs w:val="20"/>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to be issued upon sales under the LPC Purchase Agreement</w:t>
            </w:r>
          </w:p>
        </w:tc>
        <w:tc>
          <w:tcPr>
            <w:tcW w:w="3340" w:type="dxa"/>
            <w:vAlign w:val="bottom"/>
            <w:shd w:val="clear" w:color="auto" w:fill="CFF0FC"/>
          </w:tcPr>
          <w:p>
            <w:pPr>
              <w:spacing w:after="0"/>
              <w:rPr>
                <w:sz w:val="21"/>
                <w:szCs w:val="21"/>
                <w:color w:val="auto"/>
              </w:rPr>
            </w:pPr>
          </w:p>
        </w:tc>
        <w:tc>
          <w:tcPr>
            <w:tcW w:w="190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shd w:val="clear" w:color="auto" w:fill="CFF0FC"/>
          </w:tcPr>
          <w:p>
            <w:pPr>
              <w:spacing w:after="0"/>
              <w:rPr>
                <w:sz w:val="21"/>
                <w:szCs w:val="21"/>
                <w:color w:val="auto"/>
              </w:rPr>
            </w:pPr>
          </w:p>
        </w:tc>
      </w:tr>
      <w:tr>
        <w:trPr>
          <w:trHeight w:val="236"/>
        </w:trPr>
        <w:tc>
          <w:tcPr>
            <w:tcW w:w="4980" w:type="dxa"/>
            <w:vAlign w:val="bottom"/>
            <w:tcBorders>
              <w:top w:val="single" w:sz="8" w:color="CFF0FC"/>
            </w:tcBorders>
          </w:tcPr>
          <w:p>
            <w:pPr>
              <w:spacing w:after="0"/>
              <w:rPr>
                <w:sz w:val="20"/>
                <w:szCs w:val="20"/>
                <w:color w:val="auto"/>
              </w:rPr>
            </w:pPr>
          </w:p>
        </w:tc>
        <w:tc>
          <w:tcPr>
            <w:tcW w:w="3340" w:type="dxa"/>
            <w:vAlign w:val="bottom"/>
            <w:tcBorders>
              <w:top w:val="single" w:sz="8" w:color="CFF0FC"/>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49,223,937</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84,187,372</w:t>
            </w:r>
          </w:p>
        </w:tc>
        <w:tc>
          <w:tcPr>
            <w:tcW w:w="100" w:type="dxa"/>
            <w:vAlign w:val="bottom"/>
            <w:tcBorders>
              <w:top w:val="single" w:sz="8" w:color="CFF0FC"/>
            </w:tcBorders>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-187960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ATM Sales Agreement with SVB Securities, under which the Company was able to issue and sell shares of its common stock, from time to time, having an aggregate offering price of up to $12.0 million. In May 2022, the Company and SVB Securities amended the ATM Sales Agreement to increase the maximum aggregate offering price of common stock that it was able to issue and sell from time to time under the ATM Sales Agreement by $50.0 million, from $12.0 million to up to $62.0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0" w:name="page121"/>
    <w:bookmarkEnd w:id="120"/>
    <w:p>
      <w:pPr>
        <w:ind w:firstLine="509"/>
        <w:spacing w:after="0" w:line="258" w:lineRule="auto"/>
        <w:rPr>
          <w:sz w:val="20"/>
          <w:szCs w:val="20"/>
          <w:color w:val="auto"/>
        </w:rPr>
      </w:pPr>
      <w:r>
        <w:rPr>
          <w:rFonts w:ascii="Times New Roman" w:cs="Times New Roman" w:eastAsia="Times New Roman" w:hAnsi="Times New Roman"/>
          <w:sz w:val="18"/>
          <w:szCs w:val="18"/>
          <w:color w:val="auto"/>
        </w:rPr>
        <w:t>Sales of common stock under the ATM Sales Agreement were able to be made by any method that was deemed an “at-the-market” offering as defined in Rule 415(a)(4) under the Securities Act of 1933, as amended. The Company was not obligated to make any sales of its common stock under the ATM Sales Agreement. The Company began making sales pursuant to the ATM Sales Agreement in July 2020. As of August 15, 2023, the date of termination of the ATM Sales Agreement, the Company had issued and sold an aggregate of 4,333,394 shares of common stock for gross proceeds of $12.7 million pursuant to the ATM Sales Agreement, before deducting estimated commissions and allocated fees of $1.0 million.</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2023, the Company filed with the SEC a universal shelf registration statement on Form S-3 (the “Shelf Registration Statement”), which allows the Company to offer and sell up to $200.0 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2023 ATM sales agreement with Leerink Partners, LLC (formerly SVB Securities) (the “2023 ATM Sales Agreement”), under which the Company may issue and sell shares of common stock, from time to time by any method that is deemed an “at-the-market” offering as defined in Rule 415(a)(4) under the Securities Act of 1933, as amended. The Company is not obligated to make any sales of its common stock under the 2023 ATM Sales Agreement. The Company filed a prospectus under the Shelf Registration Statement for the offer and sale of shares of the Company’s common stock having an aggregate offering price of up to $75.0 million pursuant to the 2023 ATM Sales Agreement. In accordance with the terms of the 2023 ATM Sales Agreement, the ATM Sales Agreement terminated upon effectiveness of the Shelf Registration Statement, at which point the Company was no longer able to issue and sell shares of its common stock under the ATM Sales Agreement. As of December 31, 2023, the Company had not made any sales pursuant to the 2023 ATM Sales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June 18, 2021, the Company entered into a common stock purchase agreement (“LPC Purchase Agreement”) with Lincoln Park Capital Fund, LLC (“Lincoln Park”). The LPC Purchase Agreement provided that, subject to the terms and conditions therein, the Company had the right, but not the obligation, to sell, at its discretion, to Lincoln Park up to $15.0 million of shares of common stock over a 24-month period commencing on July 23, 2021. The Company issued 170,088 shares of common stock to Lincoln Park as consideration for Lincoln Park’s commitment to purchase shares of the Company’s common stock under the LPC Purchase Agreement. As of July 23, 2023, no shares had been sold to Lincoln Park and the LPC Purchase Agreement terminated by its terms.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Of the accompanying common stock warrants, warrants to purchase an aggregate of 7,299,270 shares will expire on April 5, 2025, and warrants to purchase an aggregate of 7,299,270 shares will expire on October 5, 2028. The accompanying common stock warrants have an exercise price of $1.37 per share and became exercisable immediately upon issuance.</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Of the accompanying common stock warrants, warrants to purchase an aggregate of 1,851,852 shares of the Company’s common stock will expire on April 18, 2025, and warrants to purchase an aggregate of 1,851,852 shares of the Company’s common stock will expire on October 18, 2028. The accompanying common stock warrants have an exercise price of $1.37 per share and became exercisable immediately upon issuance.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proceeds from the two October 2021 private placements were $13.7 million, after deducting issuance costs of $1.1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21" w:name="page122"/>
    <w:bookmarkEnd w:id="121"/>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is exercisable immediately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is exercisable immediately and will be exercisable until the pre-funded warrant is exercised in full. Under the terms of the Underwriting Agreement, the Company agreed not to issue and sell additional shares until after November 21, 2022 except in certain circumstances, including the issuance and sale of additional shares pursuant to the Underwriting Agreement.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 activity, including activity related to pre-funded warrants, is shown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Pre-funded Warrant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2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38,627,003</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48,330,707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(7,399,201 )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(7,399,201 )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31,227,802</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2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Plan and the 2012 Plan was 7,114,975 and 5,155,433 as of December 31, 2023 and 2022, respectively, of which 1,802,675 and 705,150 shares remained available for grant under the 2019 Plan, respectively.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2" w:name="page123"/>
    <w:bookmarkEnd w:id="122"/>
    <w:p>
      <w:pPr>
        <w:ind w:right="280"/>
        <w:spacing w:after="0" w:line="261" w:lineRule="auto"/>
        <w:rPr>
          <w:sz w:val="20"/>
          <w:szCs w:val="20"/>
          <w:color w:val="auto"/>
        </w:rPr>
      </w:pPr>
      <w:r>
        <w:rPr>
          <w:rFonts w:ascii="Times New Roman" w:cs="Times New Roman" w:eastAsia="Times New Roman" w:hAnsi="Times New Roman"/>
          <w:sz w:val="18"/>
          <w:szCs w:val="18"/>
          <w:color w:val="auto"/>
        </w:rPr>
        <w:t>the number of outstanding shares of the Company’s common stock on such date, and (c) an amount determined by the Company’s board of directors. Effective January 1, 2023 and January 1, 2022, respectively, the number of shares reserved for issuance under the 2019 Plan increased, pursuant to the terms of the 2019 Plan, by an additional 2,105,623 shares and 1,140,232 shares, equal to the 2019 Plan determined maximum and 4% of the Company’s then-outstanding common stock, respectively.</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common shares. As of December 31, 2023 and 2022, respectively, options to purchase 4,746,508 and 3,848,052 shares of common stock were granted and outstanding, net of cancellations, under the 2019 Plan. As of December 31, 2023 and 2022, respectively, options to purchase 565,792 and 602,231 shares of common stock were granted and outstanding, net of cancellations, under the 2012 Plan.</w:t>
      </w:r>
    </w:p>
    <w:p>
      <w:pPr>
        <w:spacing w:after="0" w:line="8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832,250 stock options with performance-based vesting (“PSOs”) to employees of the Company. The PSOs granted in February 2024 vest based on the timing and results of the Company’s clinical trials.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combined stock option activity for the 2019 Plan and the 2012 Plan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4,450,283</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1,563,500</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(318,075 )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Expired</w:t>
            </w: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(237,327 )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2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(146,081 )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5,312,300</w:t>
            </w:r>
          </w:p>
        </w:tc>
        <w:tc>
          <w:tcPr>
            <w:tcW w:w="3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3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2,805,959</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unvested as of December 31,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2,506,341</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-490855</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86" w:lineRule="exact"/>
        <w:rPr>
          <w:sz w:val="20"/>
          <w:szCs w:val="20"/>
          <w:color w:val="auto"/>
        </w:rPr>
      </w:pPr>
    </w:p>
    <w:p>
      <w:pPr>
        <w:jc w:val="both"/>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was $2.24 and $0.93 for the years ended December 31, 2023 and 2022, respectively.</w:t>
      </w:r>
    </w:p>
    <w:p>
      <w:pPr>
        <w:spacing w:after="0" w:line="5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aggregate fair value of stock options that vested during the years ended December 31, 2023 and 2022 was $1.7 million and $2.9 million, respectively.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2023 and 2022 was $173 and $33,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range of assumptions that the Company used to determine the fair value of the stock options granted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408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282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- 4.8%</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- 4.2%</w:t>
            </w:r>
          </w:p>
        </w:tc>
        <w:tc>
          <w:tcPr>
            <w:tcW w:w="100" w:type="dxa"/>
            <w:vAlign w:val="bottom"/>
            <w:shd w:val="clear" w:color="auto" w:fill="CFF0FC"/>
          </w:tcPr>
          <w:p>
            <w:pPr>
              <w:spacing w:after="0"/>
              <w:rPr>
                <w:sz w:val="20"/>
                <w:szCs w:val="20"/>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 - 147.1%</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 - 108.6%</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80" w:type="dxa"/>
            <w:vAlign w:val="bottom"/>
            <w:gridSpan w:val="3"/>
            <w:shd w:val="clear" w:color="auto" w:fill="CFF0FC"/>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5.5 - 7.0</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5.5 - 7.0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ESPP was 1,177,456 as of December 31, 2023.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3" w:name="page124"/>
    <w:bookmarkEnd w:id="123"/>
    <w:p>
      <w:pPr>
        <w:ind w:right="180"/>
        <w:spacing w:after="0" w:line="261" w:lineRule="auto"/>
        <w:rPr>
          <w:sz w:val="20"/>
          <w:szCs w:val="20"/>
          <w:color w:val="auto"/>
        </w:rPr>
      </w:pPr>
      <w:r>
        <w:rPr>
          <w:rFonts w:ascii="Times New Roman" w:cs="Times New Roman" w:eastAsia="Times New Roman" w:hAnsi="Times New Roman"/>
          <w:sz w:val="18"/>
          <w:szCs w:val="18"/>
          <w:color w:val="auto"/>
        </w:rPr>
        <w:t>outstanding shares of the Company’s common stock on such date and (c) an amount determined by the Company’s board of directors. Effective January 1, 2023 and January 1, 2022, respectively, the aggregate number of shares of the Company’s common stock that may be issued under the 2019 ESPP increased, pursuant to the terms of the 2019 ESPP, by an additional 526,315 shares and 285,058 shares, equal in each case to the lesser of the 2019 ESPP determined maximum and 1% of the Company’s then-outstanding common stock.</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classifications of stock-based compensation expenses for the 2012 Plan, the 2019 Plan and the 2019 ESPP recognized in the Consolidated Statements of Comprehensive Loss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15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580" w:type="dxa"/>
            <w:vAlign w:val="bottom"/>
            <w:shd w:val="clear" w:color="auto" w:fill="CFF0FC"/>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18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r>
      <w:tr>
        <w:trPr>
          <w:trHeight w:val="277"/>
        </w:trPr>
        <w:tc>
          <w:tcPr>
            <w:tcW w:w="596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the unvested share-based awards was $3.8 million, which is expected to be recognized over a weighted average period of 2.7 years.</w:t>
      </w:r>
    </w:p>
    <w:p>
      <w:pPr>
        <w:spacing w:after="0" w:line="50"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benefit related to state research and development tax credits. The components of the income tax benefit for the periods shown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7"/>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3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20"/>
                <w:szCs w:val="20"/>
                <w:color w:val="auto"/>
              </w:rPr>
            </w:pPr>
          </w:p>
        </w:tc>
        <w:tc>
          <w:tcPr>
            <w:tcW w:w="282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2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tcPr>
          <w:p>
            <w:pPr>
              <w:spacing w:after="0"/>
              <w:rPr>
                <w:sz w:val="20"/>
                <w:szCs w:val="20"/>
                <w:color w:val="auto"/>
              </w:rPr>
            </w:pPr>
          </w:p>
        </w:tc>
      </w:tr>
      <w:tr>
        <w:trPr>
          <w:trHeight w:val="232"/>
        </w:trPr>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p>
        </w:tc>
      </w:tr>
      <w:tr>
        <w:trPr>
          <w:trHeight w:val="25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(32 )</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tcPr>
          <w:p>
            <w:pPr>
              <w:spacing w:after="0"/>
              <w:rPr>
                <w:sz w:val="22"/>
                <w:szCs w:val="22"/>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8"/>
        </w:trPr>
        <w:tc>
          <w:tcPr>
            <w:tcW w:w="946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between income tax benefit and the expected tax benefit at the statutory rate:</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40" w:type="dxa"/>
            <w:vAlign w:val="bottom"/>
            <w:gridSpan w:val="8"/>
          </w:tcPr>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21.0 %</w:t>
            </w:r>
          </w:p>
        </w:tc>
        <w:tc>
          <w:tcPr>
            <w:tcW w:w="48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 benefit—net of federal tax</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R&amp;D tax credits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Refundable tax credit</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Permanent adjustments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c>
          <w:tcPr>
            <w:tcW w:w="4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(29.1 )</w:t>
            </w:r>
          </w:p>
        </w:tc>
        <w:tc>
          <w:tcPr>
            <w:tcW w:w="480" w:type="dxa"/>
            <w:vAlign w:val="bottom"/>
          </w:tcPr>
          <w:p>
            <w:pPr>
              <w:spacing w:after="0"/>
              <w:rPr>
                <w:sz w:val="21"/>
                <w:szCs w:val="21"/>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c>
          <w:tcPr>
            <w:tcW w:w="6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c>
          <w:tcPr>
            <w:tcW w:w="48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3"/>
          </w:tcPr>
          <w:p>
            <w:pPr>
              <w:jc w:val="right"/>
              <w:ind w:right="2308"/>
              <w:spacing w:after="0"/>
              <w:rPr>
                <w:sz w:val="20"/>
                <w:szCs w:val="20"/>
                <w:color w:val="auto"/>
              </w:rPr>
            </w:pPr>
            <w:r>
              <w:rPr>
                <w:rFonts w:ascii="Times New Roman" w:cs="Times New Roman" w:eastAsia="Times New Roman" w:hAnsi="Times New Roman"/>
                <w:sz w:val="18"/>
                <w:szCs w:val="18"/>
                <w:color w:val="auto"/>
              </w:rPr>
              <w:t>F-21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-3291205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-2493645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132320" cy="180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69" w:right="27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1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60" w:type="dxa"/>
            <w:vAlign w:val="bottom"/>
            <w:shd w:val="clear" w:color="auto" w:fill="CFF0FC"/>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50,305</w:t>
            </w:r>
          </w:p>
        </w:tc>
        <w:tc>
          <w:tcPr>
            <w:tcW w:w="3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48,030</w:t>
            </w:r>
          </w:p>
        </w:tc>
        <w:tc>
          <w:tcPr>
            <w:tcW w:w="100" w:type="dxa"/>
            <w:vAlign w:val="bottom"/>
            <w:shd w:val="clear" w:color="auto" w:fill="CFF0FC"/>
          </w:tcPr>
          <w:p>
            <w:pPr>
              <w:spacing w:after="0"/>
              <w:rPr>
                <w:sz w:val="20"/>
                <w:szCs w:val="20"/>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R&amp;D</w:t>
            </w:r>
          </w:p>
        </w:tc>
        <w:tc>
          <w:tcPr>
            <w:tcW w:w="17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17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3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20"/>
                <w:szCs w:val="20"/>
                <w:color w:val="auto"/>
              </w:rPr>
            </w:pPr>
          </w:p>
        </w:tc>
      </w:tr>
      <w:tr>
        <w:trPr>
          <w:trHeight w:val="23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7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70,054</w:t>
            </w:r>
          </w:p>
        </w:tc>
        <w:tc>
          <w:tcPr>
            <w:tcW w:w="3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(552 )</w:t>
            </w:r>
          </w:p>
        </w:tc>
        <w:tc>
          <w:tcPr>
            <w:tcW w:w="680" w:type="dxa"/>
            <w:vAlign w:val="bottom"/>
          </w:tcPr>
          <w:p>
            <w:pPr>
              <w:spacing w:after="0"/>
              <w:rPr>
                <w:sz w:val="24"/>
                <w:szCs w:val="24"/>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(220 )</w:t>
            </w:r>
          </w:p>
        </w:tc>
      </w:tr>
      <w:tr>
        <w:trPr>
          <w:trHeight w:val="20"/>
        </w:trPr>
        <w:tc>
          <w:tcPr>
            <w:tcW w:w="55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(552 )</w:t>
            </w:r>
          </w:p>
        </w:tc>
        <w:tc>
          <w:tcPr>
            <w:tcW w:w="68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(220 )</w:t>
            </w:r>
          </w:p>
        </w:tc>
      </w:tr>
      <w:tr>
        <w:trPr>
          <w:trHeight w:val="20"/>
        </w:trPr>
        <w:tc>
          <w:tcPr>
            <w:tcW w:w="550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47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76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(69,502 )</w:t>
            </w:r>
          </w:p>
        </w:tc>
        <w:tc>
          <w:tcPr>
            <w:tcW w:w="680" w:type="dxa"/>
            <w:vAlign w:val="bottom"/>
          </w:tcPr>
          <w:p>
            <w:pPr>
              <w:spacing w:after="0"/>
              <w:rPr>
                <w:sz w:val="24"/>
                <w:szCs w:val="24"/>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(61,072 )</w:t>
            </w:r>
          </w:p>
        </w:tc>
      </w:tr>
      <w:tr>
        <w:trPr>
          <w:trHeight w:val="279"/>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1760" w:type="dxa"/>
            <w:vAlign w:val="bottom"/>
            <w:tcBorders>
              <w:top w:val="single" w:sz="8" w:color="auto"/>
              <w:bottom w:val="single" w:sz="8" w:color="auto"/>
            </w:tcBorders>
            <w:shd w:val="clear" w:color="auto" w:fill="CFF0FC"/>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-985520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-505460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2023 and 2022, the Company generated federal and state net operating losses (“NOLs”) of approximately $8.1 million and $8.7 million, respectively. At December 31, 2023 and 2022, the federal and state net operating loss balances were approximately $186.9 million and $178.7 million, respectively. The federal operating losses generated prior to 2018 will expire in years 2031 through 2037, unless previously utilized. The federal operating losses generated in 2018 or later can be carried forward indefinitely, however will only offset 80% of taxable income in a carryforward year. The state operating losses generated will expire in years 2031 through 2043, unless previously utilized. The Company also generated federal R&amp;D tax credits for the years ended December 31, 2023 and 2022 of approximately $848 and $756, respectively. At December 31, 2023 and 2022, the federal R&amp;D tax credit carryforwards were approximately $6.2 million and $5.4 million, respectively. These credits will expire in years 2032 through 2043, unless previously utilized. The Company completed a detailed Section 382 analysis, and due to multiple historical ownership changes, the Company's NOLs as of December 31, 2022, in the amount of $178.4 million and R&amp;D tax credits in the amount of $5.4 million are subject to limitation. If a further ownership change occurs, the Company's ability to use its tax attributes might be further limited.</w:t>
      </w:r>
    </w:p>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also generated state research tax credits for the years ended December 31, 2023 and 2022 of approximately $265 and $118, respectively. At December 31, 2023 and 2022, the state R&amp;D tax credit carryforwards were approximately $275 and $244, respectively. The Company applied to exchange a portion of these credits for cash under a state-run program. These amounts, $32 and $36 for the years ended December 31, 2023 and 2022, respectively, were recognized as current income tax benefits in the Company’s Consolidated Statements of Comprehensive Loss. At each of December 31, 2023 and 2022, the Company’s Consolidated Balance Sheets reflect income tax receivables of $32 and $36 respectively, related to these credits. Because of the net operating loss and research credit carryforwards, tax years 2013 through 2022 remain open to U.S. federal and state tax examinations.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U.S. expenses over five years and non-U.S. expenses over fifteen years pursuant to Internal Revenue Code Section 174. In the future, Congress may consider legislation that would defer the amortization requirement to later years, possibly with retroactive effect. In the meantime, we expect to continue to capitalize research and development expenses under the current tax law. The impact of Section 174 on the Company's deferred tax assets depends on the amount of research and development expenditures incurred by the Company and whether the IRS issues guidance on the provision, which differs from the Company's current interpretation, among other things. For the for the years ended December 31, 2023 and 2022 , this provision resulted in deferred tax assets of $4,837 and $4,825, respectively.</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Income taxes are provided using the asset/liability method, in which deferred taxes are recognized for the tax consequences of temporary differences between the financial statement carrying amounts and tax bases of existing assets 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5" w:name="page126"/>
    <w:bookmarkEnd w:id="125"/>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determined that operating losses it incurred since its inception on March 17, 2011, represented negative evidence sufficient to conclude a valuation allowance was necessary. As such, the Company has recorded a valuation allowance of $69.5 million and $61.1 million at December 31, 2023 and 2022, respectively, as a reserve against its net deferred tax assets. These balances reflect increases in the valuation allowance of $8.4 million in each of 2023 and 2022, both representing an increase in net deferred tax assets.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2023 and 2022, the Company had no unrecognized tax benefits or related interest and penalties accrued. In the event the Company determines that accrual of interest or penalties are necessary in the future, the amount will be presented as a component of interest expense.</w:t>
      </w:r>
    </w:p>
    <w:p>
      <w:pPr>
        <w:spacing w:after="0" w:line="82"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(29,065 )</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(29,152 )</w:t>
            </w:r>
          </w:p>
        </w:tc>
        <w:tc>
          <w:tcPr>
            <w:tcW w:w="0" w:type="dxa"/>
            <w:vAlign w:val="bottom"/>
          </w:tcPr>
          <w:p>
            <w:pPr>
              <w:spacing w:after="0"/>
              <w:rPr>
                <w:sz w:val="1"/>
                <w:szCs w:val="1"/>
                <w:color w:val="auto"/>
              </w:rPr>
            </w:pP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 common</w:t>
            </w:r>
          </w:p>
        </w:tc>
        <w:tc>
          <w:tcPr>
            <w:tcW w:w="11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99,033,373</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64,541,911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(0.29 )</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(0.45 )</w:t>
            </w: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Basic shares outstanding includes the weighted average effect of the Company’s pre-funded warrants from the date of issuance, the exercise of which requires little or no consideration for the delivery of shares of common stock. As of December 31, 2023 and 2022, the Company had pre-funded warrants to purchase 31,227,802 and 38,627,003 shares of common stock outstanding, respectively, which were issued in the April 2022 Private Placement and the September 2022 Offering, which warrants are included in the weighted average common shares used in calculating the net loss per share attributable to common stockholders, basic and diluted, for the years ended December 31, 2023 and 2022.</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were excluded from the calculation of diluted net loss per share attributable to common stockholders for the periods indicated because including them would have had an anti-dilutive effect: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3600" w:type="dxa"/>
            <w:vAlign w:val="bottom"/>
            <w:tcBorders>
              <w:bottom w:val="single" w:sz="8" w:color="auto"/>
            </w:tcBorders>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Shares as of December 31,</w:t>
            </w: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242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00" w:type="dxa"/>
            <w:vAlign w:val="bottom"/>
            <w:shd w:val="clear" w:color="auto" w:fill="CFF0FC"/>
          </w:tcPr>
          <w:p>
            <w:pPr>
              <w:spacing w:after="0"/>
              <w:rPr>
                <w:sz w:val="20"/>
                <w:szCs w:val="20"/>
                <w:color w:val="auto"/>
              </w:rPr>
            </w:pPr>
          </w:p>
        </w:tc>
      </w:tr>
      <w:tr>
        <w:trPr>
          <w:trHeight w:val="23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5,312,300</w:t>
            </w: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4,450,283</w:t>
            </w:r>
          </w:p>
        </w:tc>
        <w:tc>
          <w:tcPr>
            <w:tcW w:w="100" w:type="dxa"/>
            <w:vAlign w:val="bottom"/>
          </w:tcPr>
          <w:p>
            <w:pPr>
              <w:spacing w:after="0"/>
              <w:rPr>
                <w:sz w:val="20"/>
                <w:szCs w:val="20"/>
                <w:color w:val="auto"/>
              </w:rPr>
            </w:pPr>
          </w:p>
        </w:tc>
      </w:tr>
      <w:tr>
        <w:trPr>
          <w:trHeight w:val="276"/>
        </w:trPr>
        <w:tc>
          <w:tcPr>
            <w:tcW w:w="5980" w:type="dxa"/>
            <w:vAlign w:val="bottom"/>
            <w:tcBorders>
              <w:bottom w:val="single" w:sz="8" w:color="CFF0FC"/>
            </w:tcBorders>
            <w:shd w:val="clear" w:color="auto" w:fill="CFF0FC"/>
          </w:tcPr>
          <w:p>
            <w:pPr>
              <w:spacing w:after="0"/>
              <w:rPr>
                <w:sz w:val="24"/>
                <w:szCs w:val="24"/>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15,016,004</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14,153,987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Collaborative and Licensing Agreements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enters into collaborative and licensing agreements with pharmaceutical companies to in-license, develop, manufacture and/or market products that fit within its business strategy.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Endo Pharmaceuticals Inc.</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May 2011, the Company entered into an agreement with Penwest Pharmaceuticals Co., which subsequently merged into its parent, Endo Pharmaceuticals Inc. (“Endo”), for an exclusive worldwide sublicensable license under certain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6" w:name="page127"/>
    <w:bookmarkEnd w:id="126"/>
    <w:p>
      <w:pPr>
        <w:ind w:right="580"/>
        <w:spacing w:after="0" w:line="282" w:lineRule="auto"/>
        <w:rPr>
          <w:sz w:val="20"/>
          <w:szCs w:val="20"/>
          <w:color w:val="auto"/>
        </w:rPr>
      </w:pPr>
      <w:r>
        <w:rPr>
          <w:rFonts w:ascii="Times New Roman" w:cs="Times New Roman" w:eastAsia="Times New Roman" w:hAnsi="Times New Roman"/>
          <w:sz w:val="18"/>
          <w:szCs w:val="18"/>
          <w:color w:val="auto"/>
        </w:rPr>
        <w:t>patent rights and know-how controlled by Endo to develop and commercialize products incorporating nalbuphine hydrochloride in any formulation, including an extended-release formulation such as Haduvio, in all fields and for any use.</w:t>
      </w:r>
    </w:p>
    <w:p>
      <w:pPr>
        <w:spacing w:after="0" w:line="5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6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71"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has commitments under lease and licensing agreements (Note 5 and Note 12).</w:t>
      </w:r>
    </w:p>
    <w:p>
      <w:pPr>
        <w:spacing w:after="0" w:line="113"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March 2013, the Company adopted and became a participating employer of a multiple employer defined contribution retirement plan that complies with Section 401(k) of the Code. All eligible employees of the Company are able to immediately participate in the plan (with an entry date of the first day of any month), with no minimum service requirement. The 401(k) plan provides that the Company make non-discretionary matching contributions of 50% of the first 6% of elective contributions. Participants are immediately vested in their contributions, as well as any earnings thereon. Vesting in the employer match contribution portion of their accounts, as well as any earnings thereon, is based on years of credited service, vesting over a four-year period, with 25% vesting per completed year. The Company’s expense under the 401(k) plan, representing its employer matching contributions and additional contributions in accordance with regulatory compliance requirements, totaled $126 and $90 for the years ended December 31, 2023 and 2022, respectively.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7" w:name="page128"/>
    <w:bookmarkEnd w:id="127"/>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55"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As of March 20, 2024, Trevi Therapeutics, Inc. (“we”, “us” or the “Company”) had one class of securities registered under Section 12 of the Securities Exchange Act of 1934, as amended (the “Exchange Act”): our common stock, $0.001 par value per share.</w:t>
      </w:r>
    </w:p>
    <w:p>
      <w:pPr>
        <w:spacing w:after="0" w:line="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following description of our capital stock is intended as a summary only and therefore is not a complete description of our capital stock. This description is based upon, and is qualified by reference to, our restated certificate of incorporation, as amended (the “certificate of incorporation”), our amended and restated bylaws (the “bylaws”), and applicable provisions of Delaware corporate law. You should read our certificate of incorporation and our bylaws, which are filed as exhibits to the Annual Report on Form 10-K of which this exhibit is a part, for the provisions that are important to you.</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pacing w:after="0" w:line="129"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Our authorized capital stock consists of 200,000,000 shares of common stock, par value $0.001 per share, and 5,000,000 shares of preferred stock, par value $0.001 per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2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Annual Meeting. </w:t>
      </w:r>
      <w:r>
        <w:rPr>
          <w:rFonts w:ascii="Times New Roman" w:cs="Times New Roman" w:eastAsia="Times New Roman" w:hAnsi="Times New Roman"/>
          <w:sz w:val="16"/>
          <w:szCs w:val="16"/>
          <w:color w:val="auto"/>
        </w:rPr>
        <w:t>Annual meetings of our stockholders are held on the date designated in accordance with our bylaws. Written notice must be given to each stockholder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entitled to vote not less than 10 nor more than 60 days before the date of the meeting. The presence in person or by proxy of the holders of a majority in voting power of our issued and outstanding shares of capital stock entitled to vote at such meeting, present in person, present by means of remote communication in a manner, if any, authorized by the board of directors in its sole discretion, or represented by proxy, constitutes a quorum for the transaction of business at meetings of the stockholders. Special meetings of the stockholders may be called for any purpose by the board of directors. Except as may be otherwise provided by applicable law, our certificate of incorporation or our bylaws, all director elections shall be decided by a plurality of the votes cast by the stockholders entitled to vote on the election, and all other questions shall be decided by the holders of shares of stock having a majority in voting power of the votes cast by the holders of all of the shares of stock present or represented at the meeting and voting affirmatively or negatively on such matter at a duly held meeting of stockholders at which a quorum is present.</w:t>
      </w:r>
    </w:p>
    <w:p>
      <w:pPr>
        <w:spacing w:after="0" w:line="78"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Each holder of common stock is entitled to one vote for each share held of record on all matters to be voted upon by stockholders, including the election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The common stock does not have cumulative voting rights.</w:t>
      </w:r>
    </w:p>
    <w:p>
      <w:pPr>
        <w:spacing w:after="0" w:line="52"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Subject to the rights, powers and preferences of any outstanding preferred stock, and except as provided by law or in our certificate of incorporation, dividends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be declared and paid or set aside for payment on the common stock out of funds lawfully available when and as declared by the board of directors.</w:t>
      </w:r>
    </w:p>
    <w:p>
      <w:pPr>
        <w:spacing w:after="0" w:line="5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i w:val="1"/>
          <w:iCs w:val="1"/>
          <w:color w:val="auto"/>
        </w:rPr>
        <w:t>Liquidation, Dissolution and Winding Up</w:t>
      </w:r>
      <w:r>
        <w:rPr>
          <w:rFonts w:ascii="Times New Roman" w:cs="Times New Roman" w:eastAsia="Times New Roman" w:hAnsi="Times New Roman"/>
          <w:sz w:val="16"/>
          <w:szCs w:val="16"/>
          <w:color w:val="auto"/>
        </w:rPr>
        <w:t>. In the event of our liquidation, dissolution or winding up, the holders of our common stock are entitled to receive all assets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for distribution to stockholders after the payment of all debts and other liabilities and subject to the prior rights of any then outstanding preferred stock. The rights, preferences and privileges of holders of our common stock are subject to and may be adversely affected by the rights of the holders of shares of any series of our preferred stock that we may designate and issue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Rights</w:t>
      </w:r>
      <w:r>
        <w:rPr>
          <w:rFonts w:ascii="Times New Roman" w:cs="Times New Roman" w:eastAsia="Times New Roman" w:hAnsi="Times New Roman"/>
          <w:sz w:val="16"/>
          <w:szCs w:val="16"/>
          <w:color w:val="auto"/>
        </w:rPr>
        <w:t>. Holders of the common stock have no right to:</w:t>
      </w:r>
    </w:p>
    <w:p>
      <w:pPr>
        <w:spacing w:after="0" w:line="129" w:lineRule="exact"/>
        <w:rPr>
          <w:sz w:val="20"/>
          <w:szCs w:val="20"/>
          <w:color w:val="auto"/>
        </w:rPr>
      </w:pPr>
    </w:p>
    <w:p>
      <w:pPr>
        <w:ind w:left="1040" w:hanging="283"/>
        <w:spacing w:after="0"/>
        <w:tabs>
          <w:tab w:leader="none" w:pos="10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 the stock into any other security;</w:t>
      </w:r>
    </w:p>
    <w:p>
      <w:pPr>
        <w:spacing w:after="0" w:line="126" w:lineRule="exact"/>
        <w:rPr>
          <w:rFonts w:ascii="Times New Roman" w:cs="Times New Roman" w:eastAsia="Times New Roman" w:hAnsi="Times New Roman"/>
          <w:sz w:val="16"/>
          <w:szCs w:val="16"/>
          <w:color w:val="auto"/>
        </w:rPr>
      </w:pPr>
    </w:p>
    <w:p>
      <w:pPr>
        <w:ind w:left="1040" w:hanging="283"/>
        <w:spacing w:after="0"/>
        <w:tabs>
          <w:tab w:leader="none" w:pos="10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the stock redeemed;</w:t>
      </w:r>
    </w:p>
    <w:p>
      <w:pPr>
        <w:spacing w:after="0" w:line="126" w:lineRule="exact"/>
        <w:rPr>
          <w:rFonts w:ascii="Times New Roman" w:cs="Times New Roman" w:eastAsia="Times New Roman" w:hAnsi="Times New Roman"/>
          <w:sz w:val="16"/>
          <w:szCs w:val="16"/>
          <w:color w:val="auto"/>
        </w:rPr>
      </w:pPr>
    </w:p>
    <w:p>
      <w:pPr>
        <w:ind w:left="1040" w:hanging="283"/>
        <w:spacing w:after="0"/>
        <w:tabs>
          <w:tab w:leader="none" w:pos="10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additional stock; or</w:t>
      </w:r>
    </w:p>
    <w:p>
      <w:pPr>
        <w:spacing w:after="0" w:line="126" w:lineRule="exact"/>
        <w:rPr>
          <w:rFonts w:ascii="Times New Roman" w:cs="Times New Roman" w:eastAsia="Times New Roman" w:hAnsi="Times New Roman"/>
          <w:sz w:val="16"/>
          <w:szCs w:val="16"/>
          <w:color w:val="auto"/>
        </w:rPr>
      </w:pPr>
    </w:p>
    <w:p>
      <w:pPr>
        <w:ind w:left="1040" w:hanging="283"/>
        <w:spacing w:after="0"/>
        <w:tabs>
          <w:tab w:leader="none" w:pos="10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their proportionate ownership interest.</w:t>
      </w:r>
    </w:p>
    <w:p>
      <w:pPr>
        <w:spacing w:after="0" w:line="127" w:lineRule="exact"/>
        <w:rPr>
          <w:sz w:val="20"/>
          <w:szCs w:val="20"/>
          <w:color w:val="auto"/>
        </w:rPr>
      </w:pPr>
    </w:p>
    <w:p>
      <w:pPr>
        <w:ind w:right="380"/>
        <w:spacing w:after="0" w:line="405" w:lineRule="auto"/>
        <w:rPr>
          <w:sz w:val="20"/>
          <w:szCs w:val="20"/>
          <w:color w:val="auto"/>
        </w:rPr>
      </w:pPr>
      <w:r>
        <w:rPr>
          <w:rFonts w:ascii="Times New Roman" w:cs="Times New Roman" w:eastAsia="Times New Roman" w:hAnsi="Times New Roman"/>
          <w:sz w:val="16"/>
          <w:szCs w:val="16"/>
          <w:color w:val="auto"/>
        </w:rPr>
        <w:t xml:space="preserve">There are no sinking fund provisions applicable to our common stock. Holders of shares of the common stock are not required to make additional capital contributions. </w:t>
      </w:r>
      <w:r>
        <w:rPr>
          <w:rFonts w:ascii="Times New Roman" w:cs="Times New Roman" w:eastAsia="Times New Roman" w:hAnsi="Times New Roman"/>
          <w:sz w:val="16"/>
          <w:szCs w:val="16"/>
          <w:b w:val="1"/>
          <w:bCs w:val="1"/>
          <w:color w:val="auto"/>
        </w:rPr>
        <w:t>Preferred Stock</w:t>
      </w:r>
    </w:p>
    <w:p>
      <w:pPr>
        <w:ind w:right="120"/>
        <w:spacing w:after="0" w:line="272" w:lineRule="auto"/>
        <w:rPr>
          <w:sz w:val="20"/>
          <w:szCs w:val="20"/>
          <w:color w:val="auto"/>
        </w:rPr>
      </w:pPr>
      <w:r>
        <w:rPr>
          <w:rFonts w:ascii="Times New Roman" w:cs="Times New Roman" w:eastAsia="Times New Roman" w:hAnsi="Times New Roman"/>
          <w:sz w:val="16"/>
          <w:szCs w:val="16"/>
          <w:color w:val="auto"/>
        </w:rPr>
        <w:t>We are authorized to issue “blank check” preferred stock, which may be issued in one or more series upon authorization of our board of directors. Our board of directors is authorized to fix the number of shares of such series of preferred stock and such voting powers, full or limited, or no voting powers, and such designations, preferences and relative, participating, optional or other special rights, and qualifications, limitations or restrictions of the shares of each series of preferred stock, including liquidation preferences, dividend rights, conversion rights and redemption privileges. The authorized shares of our preferred stock are available for issuance without further action by our stockholders, unless such action is required by applicable law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90"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rules of any stock exchange on which our securities may be listed. If the approval of our stockholders is not required for the issuance of shares of our preferred stock, our board may determine not to seek stockholder approval.</w:t>
      </w:r>
    </w:p>
    <w:p>
      <w:pPr>
        <w:spacing w:after="0" w:line="5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There are no shares of preferred stock currently outstanding, and we have no present plans to issue any shares of preferred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Provisions of Our Certificate of Incorporation and Bylaws and Delaware Law That May Have Anti-Takeover Effects</w:t>
      </w:r>
    </w:p>
    <w:p>
      <w:pPr>
        <w:spacing w:after="0" w:line="12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Certain provisions of our certificate of incorporation and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Our certificate of incorporation and bylaws provide for a board of directors divided as nearly equally as possible into three classes. Each class is elected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 term expiring at the annual meeting of stockholders held in the third year following the year of such election. The number of directors comprising our board of directors is fixed from time to time by the board of directors.</w:t>
      </w:r>
    </w:p>
    <w:p>
      <w:pPr>
        <w:spacing w:after="0" w:line="6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i w:val="1"/>
          <w:iCs w:val="1"/>
          <w:color w:val="auto"/>
        </w:rPr>
        <w:t>Removal of Directors by Stockholders</w:t>
      </w:r>
      <w:r>
        <w:rPr>
          <w:rFonts w:ascii="Times New Roman" w:cs="Times New Roman" w:eastAsia="Times New Roman" w:hAnsi="Times New Roman"/>
          <w:sz w:val="16"/>
          <w:szCs w:val="16"/>
          <w:color w:val="auto"/>
        </w:rPr>
        <w:t>. Delaware law provides that members of our board of directors may only be removed for cause by a vote of the holders of 75%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shares entitled to vote on the election of the directors.</w:t>
      </w:r>
    </w:p>
    <w:p>
      <w:pPr>
        <w:spacing w:after="0" w:line="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i w:val="1"/>
          <w:iCs w:val="1"/>
          <w:color w:val="auto"/>
        </w:rPr>
        <w:t>Stockholder Nomination of Directors</w:t>
      </w:r>
      <w:r>
        <w:rPr>
          <w:rFonts w:ascii="Times New Roman" w:cs="Times New Roman" w:eastAsia="Times New Roman" w:hAnsi="Times New Roman"/>
          <w:sz w:val="16"/>
          <w:szCs w:val="16"/>
          <w:color w:val="auto"/>
        </w:rPr>
        <w:t>. Our bylaws provide that, in the case of an election of directors at an annual meeting, a stockholder must notify us in writing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 nomination of a director not more than 120 days and not less than 90 days prior to the first anniversary of the preceding year’s annual meeting; provided, that if the date of the annual meeting is advanced by more than 30 days or delayed by more than 60 days from such anniversary date, or if no annual meeting was held in the preceding year, notice by the stockholder to be timely must be so delivered not earlier than the 120th day prior to the date of such annual meeting and not later than the close of business on the later of (x) the 90th day prior to the date of such meeting and (y) the 10th day following the day on which notice of the date of such annual meeting was given or public disclosure of the date of such annual meeting was made, whichever occurs first. Our bylaws provide that, in the case of an election of directors at a special meeting, a stockholder must notify us in writing of any stockholder nomination of a director not earlier than the 120th day prior to such special meeting and not later than the close of business on the later of (x) the 90th day prior to such special meeting and (y) the tenth day following the day on which notice of the date of such special meeting was given or public disclosure of the date of such special meeting was made, whichever first occurs.</w:t>
      </w:r>
    </w:p>
    <w:p>
      <w:pPr>
        <w:spacing w:after="0" w:line="81"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i w:val="1"/>
          <w:iCs w:val="1"/>
          <w:color w:val="auto"/>
        </w:rPr>
        <w:t>No Action By Written Consent</w:t>
      </w:r>
      <w:r>
        <w:rPr>
          <w:rFonts w:ascii="Times New Roman" w:cs="Times New Roman" w:eastAsia="Times New Roman" w:hAnsi="Times New Roman"/>
          <w:sz w:val="16"/>
          <w:szCs w:val="16"/>
          <w:color w:val="auto"/>
        </w:rPr>
        <w:t>. Our certificate of incorporation provides that our stockholders may not act by written consent and may only act at duly called meetings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Undesignated Preferred Stock</w:t>
      </w:r>
      <w:r>
        <w:rPr>
          <w:rFonts w:ascii="Times New Roman" w:cs="Times New Roman" w:eastAsia="Times New Roman" w:hAnsi="Times New Roman"/>
          <w:sz w:val="16"/>
          <w:szCs w:val="16"/>
          <w:color w:val="auto"/>
        </w:rPr>
        <w:t>. As discussed above, our board of directors has the ability to issue preferred stock with voting or other rights or preferences that could impede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success of any attempt to change control of our company. These and other provisions may have the effect of deferring hostile takeovers or delaying changes in control or management of us.</w:t>
      </w:r>
    </w:p>
    <w:p>
      <w:pPr>
        <w:spacing w:after="0" w:line="6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i w:val="1"/>
          <w:iCs w:val="1"/>
          <w:color w:val="auto"/>
        </w:rPr>
        <w:t>Delaware Business Combination Statute</w:t>
      </w:r>
      <w:r>
        <w:rPr>
          <w:rFonts w:ascii="Times New Roman" w:cs="Times New Roman" w:eastAsia="Times New Roman" w:hAnsi="Times New Roman"/>
          <w:sz w:val="16"/>
          <w:szCs w:val="16"/>
          <w:color w:val="auto"/>
        </w:rPr>
        <w:t>. We are subject to Section 203 of the Delaware General Corporation Law (the “DGCL”) which prohibits a Delaware corporation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76" w:lineRule="exact"/>
        <w:rPr>
          <w:sz w:val="20"/>
          <w:szCs w:val="20"/>
          <w:color w:val="auto"/>
        </w:rPr>
      </w:pPr>
    </w:p>
    <w:p>
      <w:pPr>
        <w:ind w:left="1040" w:right="480" w:hanging="283"/>
        <w:spacing w:after="0" w:line="298" w:lineRule="auto"/>
        <w:tabs>
          <w:tab w:leader="none" w:pos="10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such date, the board of directors of the corporation approved either the business combination or the transaction that resulted in the stockholder becoming an interested stockholder;</w:t>
      </w:r>
    </w:p>
    <w:p>
      <w:pPr>
        <w:spacing w:after="0" w:line="56" w:lineRule="exact"/>
        <w:rPr>
          <w:rFonts w:ascii="Times New Roman" w:cs="Times New Roman" w:eastAsia="Times New Roman" w:hAnsi="Times New Roman"/>
          <w:sz w:val="16"/>
          <w:szCs w:val="16"/>
          <w:color w:val="auto"/>
        </w:rPr>
      </w:pPr>
    </w:p>
    <w:p>
      <w:pPr>
        <w:ind w:left="1040" w:hanging="283"/>
        <w:spacing w:after="0" w:line="272" w:lineRule="auto"/>
        <w:tabs>
          <w:tab w:leader="none" w:pos="10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7" w:lineRule="exact"/>
        <w:rPr>
          <w:rFonts w:ascii="Times New Roman" w:cs="Times New Roman" w:eastAsia="Times New Roman" w:hAnsi="Times New Roman"/>
          <w:sz w:val="16"/>
          <w:szCs w:val="16"/>
          <w:color w:val="auto"/>
        </w:rPr>
      </w:pPr>
    </w:p>
    <w:p>
      <w:pPr>
        <w:ind w:left="1040" w:right="60" w:hanging="283"/>
        <w:spacing w:after="0" w:line="298" w:lineRule="auto"/>
        <w:tabs>
          <w:tab w:leader="none" w:pos="10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general, Section 203 defines business combinations to include the following:</w:t>
      </w:r>
    </w:p>
    <w:p>
      <w:pPr>
        <w:spacing w:after="0" w:line="127" w:lineRule="exact"/>
        <w:rPr>
          <w:sz w:val="20"/>
          <w:szCs w:val="20"/>
          <w:color w:val="auto"/>
        </w:rPr>
      </w:pPr>
    </w:p>
    <w:p>
      <w:pPr>
        <w:ind w:left="1040" w:hanging="283"/>
        <w:spacing w:after="0"/>
        <w:tabs>
          <w:tab w:leader="none" w:pos="10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merger or consolidation involving the corporation and the interested stockholder;</w:t>
      </w:r>
    </w:p>
    <w:p>
      <w:pPr>
        <w:spacing w:after="0" w:line="126" w:lineRule="exact"/>
        <w:rPr>
          <w:rFonts w:ascii="Times New Roman" w:cs="Times New Roman" w:eastAsia="Times New Roman" w:hAnsi="Times New Roman"/>
          <w:sz w:val="16"/>
          <w:szCs w:val="16"/>
          <w:color w:val="auto"/>
        </w:rPr>
      </w:pPr>
    </w:p>
    <w:p>
      <w:pPr>
        <w:ind w:left="1040" w:hanging="283"/>
        <w:spacing w:after="0"/>
        <w:tabs>
          <w:tab w:leader="none" w:pos="10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lease, transfer, pledge or other disposition of 10% or more of the assets of the corporation to or with the interested stockholder;</w:t>
      </w:r>
    </w:p>
    <w:p>
      <w:pPr>
        <w:spacing w:after="0" w:line="126" w:lineRule="exact"/>
        <w:rPr>
          <w:rFonts w:ascii="Times New Roman" w:cs="Times New Roman" w:eastAsia="Times New Roman" w:hAnsi="Times New Roman"/>
          <w:sz w:val="16"/>
          <w:szCs w:val="16"/>
          <w:color w:val="auto"/>
        </w:rPr>
      </w:pPr>
    </w:p>
    <w:p>
      <w:pPr>
        <w:ind w:left="1040" w:right="420" w:hanging="283"/>
        <w:spacing w:after="0" w:line="298" w:lineRule="auto"/>
        <w:tabs>
          <w:tab w:leader="none" w:pos="10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certain exceptions, any transaction that results in the issuance or transfer by the corporation of any stock of the corporation to the interested stockholder;</w:t>
      </w:r>
    </w:p>
    <w:p>
      <w:pPr>
        <w:spacing w:after="0" w:line="56" w:lineRule="exact"/>
        <w:rPr>
          <w:rFonts w:ascii="Times New Roman" w:cs="Times New Roman" w:eastAsia="Times New Roman" w:hAnsi="Times New Roman"/>
          <w:sz w:val="16"/>
          <w:szCs w:val="16"/>
          <w:color w:val="auto"/>
        </w:rPr>
      </w:pPr>
    </w:p>
    <w:p>
      <w:pPr>
        <w:ind w:left="1040" w:right="460" w:hanging="283"/>
        <w:spacing w:after="0" w:line="298" w:lineRule="auto"/>
        <w:tabs>
          <w:tab w:leader="none" w:pos="10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involving the corporation that has the effect of increasing the proportionate share of the stock or any class or series of the corporation beneficially owned by the interested stockholder; or</w:t>
      </w:r>
    </w:p>
    <w:p>
      <w:pPr>
        <w:spacing w:after="0" w:line="56" w:lineRule="exact"/>
        <w:rPr>
          <w:rFonts w:ascii="Times New Roman" w:cs="Times New Roman" w:eastAsia="Times New Roman" w:hAnsi="Times New Roman"/>
          <w:sz w:val="16"/>
          <w:szCs w:val="16"/>
          <w:color w:val="auto"/>
        </w:rPr>
      </w:pPr>
    </w:p>
    <w:p>
      <w:pPr>
        <w:ind w:left="1040" w:hanging="283"/>
        <w:spacing w:after="0"/>
        <w:tabs>
          <w:tab w:leader="none" w:pos="10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by the interested stockholder of the benefit of any loss, advances, guarantees, pledges or other financial benefits by or through the corporation.</w:t>
      </w:r>
    </w:p>
    <w:p>
      <w:pPr>
        <w:spacing w:after="0" w:line="12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Exclusive Forum Selection. </w:t>
      </w:r>
      <w:r>
        <w:rPr>
          <w:rFonts w:ascii="Times New Roman" w:cs="Times New Roman" w:eastAsia="Times New Roman" w:hAnsi="Times New Roman"/>
          <w:sz w:val="16"/>
          <w:szCs w:val="16"/>
          <w:color w:val="auto"/>
        </w:rPr>
        <w:t>Our certificate of incorporation provides that, unless we consent in writing to the selection of an alternative forum, the Court of Chancery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 Although our certificate of incorporation contains the choice of forum provisions described above, it is possible that a court could rule that such provisions are inapplicable for a particular claim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333333"/>
        </w:rPr>
        <w:t>Exhibit 23.1</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99" w:lineRule="exact"/>
        <w:rPr>
          <w:sz w:val="20"/>
          <w:szCs w:val="20"/>
          <w:color w:val="auto"/>
        </w:rPr>
      </w:pPr>
    </w:p>
    <w:p>
      <w:pPr>
        <w:ind w:left="1140" w:hanging="758"/>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333-260279, 333-260820, 333-264614 and 333-273030) of Trevi Therapeutics, Inc.,</w:t>
      </w:r>
    </w:p>
    <w:p>
      <w:pPr>
        <w:spacing w:after="0" w:line="117" w:lineRule="exact"/>
        <w:rPr>
          <w:rFonts w:ascii="Times New Roman" w:cs="Times New Roman" w:eastAsia="Times New Roman" w:hAnsi="Times New Roman"/>
          <w:sz w:val="18"/>
          <w:szCs w:val="18"/>
          <w:color w:val="auto"/>
        </w:rPr>
      </w:pPr>
    </w:p>
    <w:p>
      <w:pPr>
        <w:ind w:left="1140" w:right="40" w:hanging="758"/>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333-231260) pertaining to the 2012 Stock Incentive Plan, as amended, the 2019 Stock Incentive Plan and the 2019 Employee Stock Purchase Plan of Trevi Therapeutics, Inc., and</w:t>
      </w:r>
    </w:p>
    <w:p>
      <w:pPr>
        <w:spacing w:after="0" w:line="53" w:lineRule="exact"/>
        <w:rPr>
          <w:rFonts w:ascii="Times New Roman" w:cs="Times New Roman" w:eastAsia="Times New Roman" w:hAnsi="Times New Roman"/>
          <w:sz w:val="18"/>
          <w:szCs w:val="18"/>
          <w:color w:val="auto"/>
        </w:rPr>
      </w:pPr>
    </w:p>
    <w:p>
      <w:pPr>
        <w:ind w:left="1140" w:right="320" w:hanging="758"/>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333-237193, 333-257729, 333-264615 and 333-271839) pertaining to the 2019 Stock Incentive Plan and the 2019 Employee Stock Purchase Plan of Trevi Therapeutics, Inc.;</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of our report dated March 20, 2024, with respect to the consolidated financial statements of Trevi Therapeutics, Inc. included in this Annual Report (Form 10-K) of Trevi Therapeutics, Inc. for the year ended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Good,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Trevi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80" w:hanging="3"/>
        <w:spacing w:after="0" w:line="266" w:lineRule="auto"/>
        <w:tabs>
          <w:tab w:leader="none" w:pos="94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480" w:hanging="3"/>
        <w:spacing w:after="0" w:line="266" w:lineRule="auto"/>
        <w:tabs>
          <w:tab w:leader="none" w:pos="95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right="600" w:hanging="3"/>
        <w:spacing w:after="0" w:line="312" w:lineRule="auto"/>
        <w:tabs>
          <w:tab w:leader="none" w:pos="94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80" w:hanging="3"/>
        <w:spacing w:after="0" w:line="266" w:lineRule="auto"/>
        <w:tabs>
          <w:tab w:leader="none" w:pos="95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820" w:hanging="3"/>
        <w:spacing w:after="0" w:line="282" w:lineRule="auto"/>
        <w:tabs>
          <w:tab w:leader="none" w:pos="94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500" w:hanging="3"/>
        <w:spacing w:after="0" w:line="313" w:lineRule="auto"/>
        <w:tabs>
          <w:tab w:leader="none" w:pos="95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600" w:val="left"/>
          <w:tab w:leader="none" w:pos="624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546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4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Jennifer L. Good</w:t>
      </w:r>
    </w:p>
    <w:p>
      <w:pPr>
        <w:spacing w:after="0" w:line="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Delfini, certify that:</w:t>
      </w:r>
    </w:p>
    <w:p>
      <w:pPr>
        <w:spacing w:after="0" w:line="225"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Trevi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80" w:hanging="3"/>
        <w:spacing w:after="0" w:line="266" w:lineRule="auto"/>
        <w:tabs>
          <w:tab w:leader="none" w:pos="94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480" w:hanging="3"/>
        <w:spacing w:after="0" w:line="266" w:lineRule="auto"/>
        <w:tabs>
          <w:tab w:leader="none" w:pos="9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right="600" w:hanging="3"/>
        <w:spacing w:after="0" w:line="312" w:lineRule="auto"/>
        <w:tabs>
          <w:tab w:leader="none" w:pos="94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80" w:hanging="3"/>
        <w:spacing w:after="0" w:line="266" w:lineRule="auto"/>
        <w:tabs>
          <w:tab w:leader="none" w:pos="9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820" w:hanging="3"/>
        <w:spacing w:after="0" w:line="282" w:lineRule="auto"/>
        <w:tabs>
          <w:tab w:leader="none" w:pos="94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500" w:hanging="3"/>
        <w:spacing w:after="0" w:line="282" w:lineRule="auto"/>
        <w:tabs>
          <w:tab w:leader="none" w:pos="9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780" w:val="left"/>
          <w:tab w:leader="none" w:pos="622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718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4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Lisa Delfini</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1099185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Trevi Therapeutics, Inc. (the “Company”) for the period ended December 31, 2023,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right="620" w:hanging="3"/>
        <w:spacing w:after="0" w:line="282" w:lineRule="auto"/>
        <w:tabs>
          <w:tab w:leader="none" w:pos="10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261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Jennifer L. Good</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Trevi Therapeutics, Inc. (the “Company”) for the period ended December 31, 2023,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right="620" w:hanging="3"/>
        <w:spacing w:after="0" w:line="282" w:lineRule="auto"/>
        <w:tabs>
          <w:tab w:leader="none" w:pos="10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261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Lisa Delfini</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TREVI THERAPEUTICS,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Dodd-Frank Compensation Recovery Policy</w:t>
      </w:r>
    </w:p>
    <w:p>
      <w:pPr>
        <w:spacing w:after="0" w:line="2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This Compensation Recovery Policy (this “Policy”) is adopted by Trevi Therapeutics, Inc. (the “Company”) in accordance with Nasdaq Listing Rule 5608 (“Rule 5608”), which implements Rule 10D-1 under the Securities Exchange Act of 1934, as amended (the “Exchange Act”) (as promulgated pursuant to Section 954 of the Dodd-Frank Wall Street Reform and Consumer Protection Act of 2010).</w:t>
      </w:r>
    </w:p>
    <w:p>
      <w:pPr>
        <w:spacing w:after="0" w:line="176"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rFonts w:ascii="Times New Roman" w:cs="Times New Roman" w:eastAsia="Times New Roman" w:hAnsi="Times New Roman"/>
          <w:sz w:val="22"/>
          <w:szCs w:val="22"/>
          <w:b w:val="1"/>
          <w:bCs w:val="1"/>
          <w:u w:val="single" w:color="auto"/>
          <w:color w:val="auto"/>
        </w:rPr>
      </w:pPr>
    </w:p>
    <w:p>
      <w:pPr>
        <w:ind w:right="120" w:firstLine="757"/>
        <w:spacing w:after="0" w:line="245" w:lineRule="auto"/>
        <w:tabs>
          <w:tab w:leader="none" w:pos="101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w:t>
      </w:r>
    </w:p>
    <w:p>
      <w:pPr>
        <w:spacing w:after="0" w:line="3" w:lineRule="exact"/>
        <w:rPr>
          <w:rFonts w:ascii="Times New Roman" w:cs="Times New Roman" w:eastAsia="Times New Roman" w:hAnsi="Times New Roman"/>
          <w:sz w:val="21"/>
          <w:szCs w:val="21"/>
          <w:color w:val="auto"/>
        </w:rPr>
      </w:pPr>
    </w:p>
    <w:p>
      <w:pPr>
        <w:ind w:right="3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73"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“Committee” </w:t>
      </w:r>
      <w:r>
        <w:rPr>
          <w:rFonts w:ascii="Times New Roman" w:cs="Times New Roman" w:eastAsia="Times New Roman" w:hAnsi="Times New Roman"/>
          <w:sz w:val="22"/>
          <w:szCs w:val="22"/>
          <w:color w:val="auto"/>
        </w:rPr>
        <w:t>means the Compensation Committee of the Company’s Board of Directors (the “Board”).</w:t>
      </w:r>
    </w:p>
    <w:p>
      <w:pPr>
        <w:spacing w:after="0" w:line="206" w:lineRule="exact"/>
        <w:rPr>
          <w:rFonts w:ascii="Times New Roman" w:cs="Times New Roman" w:eastAsia="Times New Roman" w:hAnsi="Times New Roman"/>
          <w:sz w:val="22"/>
          <w:szCs w:val="22"/>
          <w:color w:val="auto"/>
        </w:rPr>
      </w:pPr>
    </w:p>
    <w:p>
      <w:pPr>
        <w:ind w:right="20" w:firstLine="757"/>
        <w:spacing w:after="0" w:line="262" w:lineRule="auto"/>
        <w:tabs>
          <w:tab w:leader="none" w:pos="101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at any time during the performance period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Incentive-Based Compensation.</w:t>
      </w:r>
    </w:p>
    <w:p>
      <w:pPr>
        <w:spacing w:after="0" w:line="149" w:lineRule="exact"/>
        <w:rPr>
          <w:rFonts w:ascii="Times New Roman" w:cs="Times New Roman" w:eastAsia="Times New Roman" w:hAnsi="Times New Roman"/>
          <w:sz w:val="22"/>
          <w:szCs w:val="22"/>
          <w:color w:val="auto"/>
        </w:rPr>
      </w:pPr>
    </w:p>
    <w:p>
      <w:pPr>
        <w:ind w:right="20" w:firstLine="757"/>
        <w:spacing w:after="0" w:line="235" w:lineRule="auto"/>
        <w:tabs>
          <w:tab w:leader="none" w:pos="101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“Erroneously Awarded Compensation” </w:t>
      </w:r>
      <w:r>
        <w:rPr>
          <w:rFonts w:ascii="Times New Roman" w:cs="Times New Roman" w:eastAsia="Times New Roman" w:hAnsi="Times New Roman"/>
          <w:sz w:val="22"/>
          <w:szCs w:val="22"/>
          <w:color w:val="auto"/>
        </w:rPr>
        <w:t>means the amount of Incentive-Based Compensation that was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 The Company will maintain documentation of the determination of that reasonable estimate and provide such documentation to Nasdaq.</w:t>
      </w:r>
    </w:p>
    <w:p>
      <w:pPr>
        <w:spacing w:after="0" w:line="3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6" w:name="page137"/>
    <w:bookmarkEnd w:id="136"/>
    <w:p>
      <w:pPr>
        <w:ind w:left="1020" w:hanging="263"/>
        <w:spacing w:after="0"/>
        <w:tabs>
          <w:tab w:leader="none" w:pos="10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the Company’s officers as defined in Rule 16a-1(f) under the Exchange Act</w:t>
      </w:r>
    </w:p>
    <w:p>
      <w:pPr>
        <w:spacing w:after="0" w:line="206" w:lineRule="exact"/>
        <w:rPr>
          <w:rFonts w:ascii="Times New Roman" w:cs="Times New Roman" w:eastAsia="Times New Roman" w:hAnsi="Times New Roman"/>
          <w:sz w:val="22"/>
          <w:szCs w:val="22"/>
          <w:color w:val="auto"/>
        </w:rPr>
      </w:pPr>
    </w:p>
    <w:p>
      <w:pPr>
        <w:ind w:right="160" w:firstLine="757"/>
        <w:spacing w:after="0" w:line="241"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Reporting Measures” </w:t>
      </w:r>
      <w:r>
        <w:rPr>
          <w:rFonts w:ascii="Times New Roman" w:cs="Times New Roman" w:eastAsia="Times New Roman" w:hAnsi="Times New Roman"/>
          <w:sz w:val="22"/>
          <w:szCs w:val="22"/>
          <w:color w:val="auto"/>
        </w:rPr>
        <w:t>means (A) measures that are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(B) stock price and (C) total shareholder return.</w:t>
      </w:r>
    </w:p>
    <w:p>
      <w:pPr>
        <w:spacing w:after="0" w:line="171" w:lineRule="exact"/>
        <w:rPr>
          <w:rFonts w:ascii="Times New Roman" w:cs="Times New Roman" w:eastAsia="Times New Roman" w:hAnsi="Times New Roman"/>
          <w:sz w:val="22"/>
          <w:szCs w:val="22"/>
          <w:color w:val="auto"/>
        </w:rPr>
      </w:pPr>
    </w:p>
    <w:p>
      <w:pPr>
        <w:ind w:firstLine="757"/>
        <w:spacing w:after="0" w:line="238"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attainment of a Financial Reporting Measure. Incentive-Based Compensation does not include base salary, bonus awards that are discretionary or based on subjective goals or goals unrelated to Financial Reporting Measures, equity awards that vest exclusively upon completion of a specified employment period, without any performance condition, and equity awards that vest based on milestones or performance conditions that are unrelated to Financial Reporting Measures.</w:t>
      </w:r>
    </w:p>
    <w:p>
      <w:pPr>
        <w:spacing w:after="0" w:line="177"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color w:val="auto"/>
        </w:rPr>
        <w:t xml:space="preserve">(h)Incentive-Based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w:t>
      </w:r>
    </w:p>
    <w:p>
      <w:pPr>
        <w:spacing w:after="0" w:line="172" w:lineRule="exact"/>
        <w:rPr>
          <w:sz w:val="20"/>
          <w:szCs w:val="20"/>
          <w:color w:val="auto"/>
        </w:rPr>
      </w:pPr>
    </w:p>
    <w:p>
      <w:pPr>
        <w:ind w:right="80" w:firstLine="757"/>
        <w:spacing w:after="0" w:line="237" w:lineRule="auto"/>
        <w:tabs>
          <w:tab w:leader="none" w:pos="101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(A) the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75"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7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Recovery of Erroneously Awarded Compensation</w:t>
      </w:r>
    </w:p>
    <w:p>
      <w:pPr>
        <w:spacing w:after="0" w:line="210"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Subject to the terms of this Policy and the requirements of Rule 5608, if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176"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Interpretation and Administration</w:t>
      </w:r>
    </w:p>
    <w:p>
      <w:pPr>
        <w:spacing w:after="0" w:line="210" w:lineRule="exact"/>
        <w:rPr>
          <w:rFonts w:ascii="Times New Roman" w:cs="Times New Roman" w:eastAsia="Times New Roman" w:hAnsi="Times New Roman"/>
          <w:sz w:val="22"/>
          <w:szCs w:val="22"/>
          <w:b w:val="1"/>
          <w:bCs w:val="1"/>
          <w:u w:val="single" w:color="auto"/>
          <w:color w:val="auto"/>
        </w:rPr>
      </w:pPr>
    </w:p>
    <w:p>
      <w:pPr>
        <w:jc w:val="both"/>
        <w:ind w:right="300" w:firstLine="757"/>
        <w:spacing w:after="0" w:line="244" w:lineRule="auto"/>
        <w:tabs>
          <w:tab w:leader="none" w:pos="101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the Committee</w:t>
      </w:r>
      <w:r>
        <w:rPr>
          <w:rFonts w:ascii="Times New Roman" w:cs="Times New Roman" w:eastAsia="Times New Roman" w:hAnsi="Times New Roman"/>
          <w:sz w:val="22"/>
          <w:szCs w:val="22"/>
          <w:color w:val="auto"/>
        </w:rPr>
        <w:t>. This Policy will be interpreted by the Committee in a manner that is consistent with Rule 5608 and any other applicable law and will otherwise be interpreted in the business judgment of the Committee. All decisions and interpretations of the Committee that are consistent with Rule 5608 will be final and binding.</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7" w:name="page138"/>
    <w:bookmarkEnd w:id="137"/>
    <w:p>
      <w:pPr>
        <w:ind w:right="300" w:firstLine="757"/>
        <w:spacing w:after="0" w:line="258"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Not Subject to this Policy</w:t>
      </w:r>
      <w:r>
        <w:rPr>
          <w:rFonts w:ascii="Times New Roman" w:cs="Times New Roman" w:eastAsia="Times New Roman" w:hAnsi="Times New Roman"/>
          <w:sz w:val="22"/>
          <w:szCs w:val="22"/>
          <w:color w:val="auto"/>
        </w:rPr>
        <w:t>. This Policy does not apply to Incentive-Based Compensation that was Received before October 2, 2023.</w:t>
      </w:r>
    </w:p>
    <w:p>
      <w:pPr>
        <w:spacing w:after="0" w:line="158" w:lineRule="exact"/>
        <w:rPr>
          <w:rFonts w:ascii="Times New Roman" w:cs="Times New Roman" w:eastAsia="Times New Roman" w:hAnsi="Times New Roman"/>
          <w:sz w:val="22"/>
          <w:szCs w:val="22"/>
          <w:color w:val="auto"/>
        </w:rPr>
      </w:pPr>
    </w:p>
    <w:p>
      <w:pPr>
        <w:ind w:right="40" w:firstLine="757"/>
        <w:spacing w:after="0" w:line="236"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Means of Recovery</w:t>
      </w:r>
      <w:r>
        <w:rPr>
          <w:rFonts w:ascii="Times New Roman" w:cs="Times New Roman" w:eastAsia="Times New Roman" w:hAnsi="Times New Roman"/>
          <w:sz w:val="22"/>
          <w:szCs w:val="22"/>
          <w:color w:val="auto"/>
        </w:rPr>
        <w:t>. Subject to the requirement that recovery be made reasonably promptly, the Committee will determine the appropriate means of recovery, which may vary between Covered Persons or based on the nature of the applicable Incentive-Based Compensation, and which may involve, without limitation, establishing a deferred repayment plan or setting off against current or future compensation otherwise payable to the Covered Person. Recovery of Erroneously Awarded Compensation will be made without regard to income taxes paid by the Covered Person or by the Company on the Covered Person’s behalf in connection with such Erroneously Awarded Compensation.</w:t>
      </w:r>
    </w:p>
    <w:p>
      <w:pPr>
        <w:spacing w:after="0" w:line="181" w:lineRule="exact"/>
        <w:rPr>
          <w:rFonts w:ascii="Times New Roman" w:cs="Times New Roman" w:eastAsia="Times New Roman" w:hAnsi="Times New Roman"/>
          <w:sz w:val="22"/>
          <w:szCs w:val="22"/>
          <w:color w:val="auto"/>
        </w:rPr>
      </w:pPr>
    </w:p>
    <w:p>
      <w:pPr>
        <w:jc w:val="both"/>
        <w:ind w:right="40" w:firstLine="757"/>
        <w:spacing w:after="0" w:line="244"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or Company-Paid Insurance</w:t>
      </w:r>
      <w:r>
        <w:rPr>
          <w:rFonts w:ascii="Times New Roman" w:cs="Times New Roman" w:eastAsia="Times New Roman" w:hAnsi="Times New Roman"/>
          <w:sz w:val="22"/>
          <w:szCs w:val="22"/>
          <w:color w:val="auto"/>
        </w:rPr>
        <w:t>. The Company will not indemnify any Covered Person against the loss of Erroneously Awarded Compensation and will not pay or reimburse any Covered Person for the purchase of a third-party insurance policy to fund potential recovery obligations.</w:t>
      </w:r>
    </w:p>
    <w:p>
      <w:pPr>
        <w:spacing w:after="0" w:line="173" w:lineRule="exact"/>
        <w:rPr>
          <w:rFonts w:ascii="Times New Roman" w:cs="Times New Roman" w:eastAsia="Times New Roman" w:hAnsi="Times New Roman"/>
          <w:sz w:val="22"/>
          <w:szCs w:val="22"/>
          <w:color w:val="auto"/>
        </w:rPr>
      </w:pPr>
    </w:p>
    <w:p>
      <w:pPr>
        <w:ind w:firstLine="757"/>
        <w:spacing w:after="0" w:line="244"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Interaction with Other Clawback Provisions</w:t>
      </w:r>
      <w:r>
        <w:rPr>
          <w:rFonts w:ascii="Times New Roman" w:cs="Times New Roman" w:eastAsia="Times New Roman" w:hAnsi="Times New Roman"/>
          <w:sz w:val="22"/>
          <w:szCs w:val="22"/>
          <w:color w:val="auto"/>
        </w:rPr>
        <w:t>. The Company will be deemed to have recovered Erroneously Awarded Compensation in accordance with this Policy to the extent the Company actually receives such amounts pursuant to any other Company policy, program or agreement, pursuant to Section 304 of the Sarbanes-Oxley Act or otherwise.</w:t>
      </w:r>
    </w:p>
    <w:p>
      <w:pPr>
        <w:spacing w:after="0" w:line="173" w:lineRule="exact"/>
        <w:rPr>
          <w:rFonts w:ascii="Times New Roman" w:cs="Times New Roman" w:eastAsia="Times New Roman" w:hAnsi="Times New Roman"/>
          <w:sz w:val="22"/>
          <w:szCs w:val="22"/>
          <w:color w:val="auto"/>
        </w:rPr>
      </w:pPr>
    </w:p>
    <w:p>
      <w:pPr>
        <w:ind w:right="20" w:firstLine="757"/>
        <w:spacing w:after="0" w:line="244"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Other Remedies</w:t>
      </w:r>
      <w:r>
        <w:rPr>
          <w:rFonts w:ascii="Times New Roman" w:cs="Times New Roman" w:eastAsia="Times New Roman" w:hAnsi="Times New Roman"/>
          <w:sz w:val="22"/>
          <w:szCs w:val="22"/>
          <w:color w:val="auto"/>
        </w:rPr>
        <w:t>. Nothing in this Policy will be deemed to limit the Company’s right to terminate employment of any Covered Person, to seek recovery of other compensation paid to a Covered Person, or to pursue other rights or remedies available to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Board on [date].</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8" w:right="51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4"/>
    </w:lvl>
  </w:abstractNum>
  <w:abstractNum w:abstractNumId="43">
    <w:nsid w:val="10233C99"/>
    <w:multiLevelType w:val="hybridMultilevel"/>
    <w:lvl w:ilvl="0">
      <w:lvlJc w:val="left"/>
      <w:lvlText w:val="(%1)"/>
      <w:numFmt w:val="lowerRoman"/>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lvl w:ilvl="1">
      <w:lvlJc w:val="left"/>
      <w:lvlText w:val="%2"/>
      <w:numFmt w:val="decimal"/>
      <w:start w:val="104"/>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2"/>
    </w:lvl>
  </w:abstractNum>
  <w:abstractNum w:abstractNumId="51">
    <w:nsid w:val="2F305DEF"/>
    <w:multiLevelType w:val="hybridMultilevel"/>
    <w:lvl w:ilvl="0">
      <w:lvlJc w:val="left"/>
      <w:lvlText w:val="%1."/>
      <w:numFmt w:val="decimal"/>
      <w:start w:val="3"/>
    </w:lvl>
  </w:abstractNum>
  <w:abstractNum w:abstractNumId="52">
    <w:nsid w:val="25A70BF7"/>
    <w:multiLevelType w:val="hybridMultilevel"/>
    <w:lvl w:ilvl="0">
      <w:lvlJc w:val="left"/>
      <w:lvlText w:val="%1."/>
      <w:numFmt w:val="decimal"/>
      <w:start w:val="4"/>
    </w:lvl>
  </w:abstractNum>
  <w:abstractNum w:abstractNumId="53">
    <w:nsid w:val="1DBABF00"/>
    <w:multiLevelType w:val="hybridMultilevel"/>
    <w:lvl w:ilvl="0">
      <w:lvlJc w:val="left"/>
      <w:lvlText w:val="%1."/>
      <w:numFmt w:val="decimal"/>
      <w:start w:val="5"/>
    </w:lvl>
  </w:abstractNum>
  <w:abstractNum w:abstractNumId="54">
    <w:nsid w:val="4AD084E9"/>
    <w:multiLevelType w:val="hybridMultilevel"/>
    <w:lvl w:ilvl="0">
      <w:lvlJc w:val="left"/>
      <w:lvlText w:val="%1."/>
      <w:numFmt w:val="decimal"/>
      <w:start w:val="6"/>
    </w:lvl>
  </w:abstractNum>
  <w:abstractNum w:abstractNumId="55">
    <w:nsid w:val="1F48EAA1"/>
    <w:multiLevelType w:val="hybridMultilevel"/>
    <w:lvl w:ilvl="0">
      <w:lvlJc w:val="left"/>
      <w:lvlText w:val="%1."/>
      <w:numFmt w:val="decimal"/>
      <w:start w:val="7"/>
    </w:lvl>
  </w:abstractNum>
  <w:abstractNum w:abstractNumId="56">
    <w:nsid w:val="1381823A"/>
    <w:multiLevelType w:val="hybridMultilevel"/>
    <w:lvl w:ilvl="0">
      <w:lvlJc w:val="left"/>
      <w:lvlText w:val="%1."/>
      <w:numFmt w:val="decimal"/>
      <w:start w:val="8"/>
    </w:lvl>
  </w:abstractNum>
  <w:abstractNum w:abstractNumId="57">
    <w:nsid w:val="5DB70AE5"/>
    <w:multiLevelType w:val="hybridMultilevel"/>
    <w:lvl w:ilvl="0">
      <w:lvlJc w:val="left"/>
      <w:lvlText w:val="(%1)"/>
      <w:numFmt w:val="upperLetter"/>
      <w:start w:val="1"/>
    </w:lvl>
  </w:abstractNum>
  <w:abstractNum w:abstractNumId="58">
    <w:nsid w:val="100F8FCA"/>
    <w:multiLevelType w:val="hybridMultilevel"/>
    <w:lvl w:ilvl="0">
      <w:lvlJc w:val="left"/>
      <w:lvlText w:val="%1."/>
      <w:numFmt w:val="decimal"/>
      <w:start w:val="9"/>
    </w:lvl>
  </w:abstractNum>
  <w:abstractNum w:abstractNumId="59">
    <w:nsid w:val="6590700B"/>
    <w:multiLevelType w:val="hybridMultilevel"/>
    <w:lvl w:ilvl="0">
      <w:lvlJc w:val="left"/>
      <w:lvlText w:val="%1."/>
      <w:numFmt w:val="decimal"/>
      <w:start w:val="10"/>
    </w:lvl>
  </w:abstractNum>
  <w:abstractNum w:abstractNumId="60">
    <w:nsid w:val="15014ACB"/>
    <w:multiLevelType w:val="hybridMultilevel"/>
    <w:lvl w:ilvl="0">
      <w:lvlJc w:val="left"/>
      <w:lvlText w:val="%1."/>
      <w:numFmt w:val="decimal"/>
      <w:start w:val="11"/>
    </w:lvl>
  </w:abstractNum>
  <w:abstractNum w:abstractNumId="61">
    <w:nsid w:val="5F5E7FD0"/>
    <w:multiLevelType w:val="hybridMultilevel"/>
    <w:lvl w:ilvl="0">
      <w:lvlJc w:val="left"/>
      <w:lvlText w:val="%1."/>
      <w:numFmt w:val="decimal"/>
      <w:start w:val="12"/>
    </w:lvl>
  </w:abstractNum>
  <w:abstractNum w:abstractNumId="62">
    <w:nsid w:val="98A3148"/>
    <w:multiLevelType w:val="hybridMultilevel"/>
    <w:lvl w:ilvl="0">
      <w:lvlJc w:val="left"/>
      <w:lvlText w:val="%1."/>
      <w:numFmt w:val="decimal"/>
      <w:start w:val="13"/>
    </w:lvl>
  </w:abstractNum>
  <w:abstractNum w:abstractNumId="63">
    <w:nsid w:val="799D0247"/>
    <w:multiLevelType w:val="hybridMultilevel"/>
    <w:lvl w:ilvl="0">
      <w:lvlJc w:val="left"/>
      <w:lvlText w:val="%1."/>
      <w:numFmt w:val="decimal"/>
      <w:start w:val="14"/>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1"/>
    </w:lvl>
    <w:lvl w:ilvl="1">
      <w:lvlJc w:val="left"/>
      <w:lvlText w:val="%2)"/>
      <w:numFmt w:val="lowerLetter"/>
      <w:start w:val="1"/>
    </w:lvl>
  </w:abstractNum>
  <w:abstractNum w:abstractNumId="69">
    <w:nsid w:val="5DC79EA8"/>
    <w:multiLevelType w:val="hybridMultilevel"/>
    <w:lvl w:ilvl="0">
      <w:lvlJc w:val="left"/>
      <w:lvlText w:val="%1."/>
      <w:numFmt w:val="decimal"/>
      <w:start w:val="1"/>
    </w:lvl>
    <w:lvl w:ilvl="1">
      <w:lvlJc w:val="left"/>
      <w:lvlText w:val="%2)"/>
      <w:numFmt w:val="lowerLetter"/>
      <w:start w:val="1"/>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1"/>
    </w:lvl>
    <w:lvl w:ilvl="1">
      <w:lvlJc w:val="left"/>
      <w:lvlText w:val="(%2)"/>
      <w:numFmt w:val="lowerLetter"/>
      <w:start w:val="1"/>
    </w:lvl>
  </w:abstractNum>
  <w:abstractNum w:abstractNumId="73">
    <w:nsid w:val="613EFDC5"/>
    <w:multiLevelType w:val="hybridMultilevel"/>
    <w:lvl w:ilvl="0">
      <w:lvlJc w:val="left"/>
      <w:lvlText w:val="(%1)"/>
      <w:numFmt w:val="lowerLetter"/>
      <w:start w:val="5"/>
    </w:lvl>
  </w:abstractNum>
  <w:abstractNum w:abstractNumId="74">
    <w:nsid w:val="BF72B14"/>
    <w:multiLevelType w:val="hybridMultilevel"/>
    <w:lvl w:ilvl="0">
      <w:lvlJc w:val="left"/>
      <w:lvlText w:val="%1"/>
      <w:numFmt w:val="decimal"/>
      <w:start w:val="1"/>
    </w:lvl>
    <w:lvl w:ilvl="1">
      <w:lvlJc w:val="left"/>
      <w:lvlText w:val="(%2)"/>
      <w:numFmt w:val="lowerRoman"/>
      <w:start w:val="1"/>
    </w:lvl>
  </w:abstractNum>
  <w:abstractNum w:abstractNumId="75">
    <w:nsid w:val="11447B73"/>
    <w:multiLevelType w:val="hybridMultilevel"/>
    <w:lvl w:ilvl="0">
      <w:lvlJc w:val="left"/>
      <w:lvlText w:val="%1."/>
      <w:numFmt w:val="decimal"/>
      <w:start w:val="2"/>
    </w:lvl>
    <w:lvl w:ilvl="1">
      <w:lvlJc w:val="left"/>
      <w:lvlText w:val="%2"/>
      <w:numFmt w:val="lowerRoman"/>
      <w:start w:val="1"/>
    </w:lvl>
  </w:abstractNum>
  <w:abstractNum w:abstractNumId="76">
    <w:nsid w:val="42963E5A"/>
    <w:multiLevelType w:val="hybridMultilevel"/>
    <w:lvl w:ilvl="0">
      <w:lvlJc w:val="left"/>
      <w:lvlText w:val="%1."/>
      <w:numFmt w:val="decimal"/>
      <w:start w:val="3"/>
    </w:lvl>
    <w:lvl w:ilvl="1">
      <w:lvlJc w:val="left"/>
      <w:lvlText w:val="(%2)"/>
      <w:numFmt w:val="lowerLetter"/>
      <w:start w:val="1"/>
    </w:lvl>
  </w:abstractNum>
  <w:abstractNum w:abstractNumId="77">
    <w:nsid w:val="A0382C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299" Type="http://schemas.openxmlformats.org/officeDocument/2006/relationships/image" Target="media/image257.png"/><Relationship Id="rId300" Type="http://schemas.openxmlformats.org/officeDocument/2006/relationships/image" Target="media/image258.png"/><Relationship Id="rId301" Type="http://schemas.openxmlformats.org/officeDocument/2006/relationships/image" Target="media/image259.png"/><Relationship Id="rId302" Type="http://schemas.openxmlformats.org/officeDocument/2006/relationships/image" Target="media/image260.png"/><Relationship Id="rId303" Type="http://schemas.openxmlformats.org/officeDocument/2006/relationships/image" Target="media/image261.png"/><Relationship Id="rId304" Type="http://schemas.openxmlformats.org/officeDocument/2006/relationships/image" Target="media/image262.png"/><Relationship Id="rId305" Type="http://schemas.openxmlformats.org/officeDocument/2006/relationships/image" Target="media/image263.png"/><Relationship Id="rId306" Type="http://schemas.openxmlformats.org/officeDocument/2006/relationships/image" Target="media/image264.png"/><Relationship Id="rId307" Type="http://schemas.openxmlformats.org/officeDocument/2006/relationships/image" Target="media/image265.png"/><Relationship Id="rId308" Type="http://schemas.openxmlformats.org/officeDocument/2006/relationships/image" Target="media/image266.png"/><Relationship Id="rId309" Type="http://schemas.openxmlformats.org/officeDocument/2006/relationships/image" Target="media/image267.png"/><Relationship Id="rId310" Type="http://schemas.openxmlformats.org/officeDocument/2006/relationships/image" Target="media/image268.png"/><Relationship Id="rId311" Type="http://schemas.openxmlformats.org/officeDocument/2006/relationships/image" Target="media/image269.png"/><Relationship Id="rId312" Type="http://schemas.openxmlformats.org/officeDocument/2006/relationships/image" Target="media/image270.png"/><Relationship Id="rId313" Type="http://schemas.openxmlformats.org/officeDocument/2006/relationships/image" Target="media/image271.png"/><Relationship Id="rId314" Type="http://schemas.openxmlformats.org/officeDocument/2006/relationships/image" Target="media/image272.png"/><Relationship Id="rId315" Type="http://schemas.openxmlformats.org/officeDocument/2006/relationships/image" Target="media/image273.png"/><Relationship Id="rId316" Type="http://schemas.openxmlformats.org/officeDocument/2006/relationships/image" Target="media/image274.png"/><Relationship Id="rId317" Type="http://schemas.openxmlformats.org/officeDocument/2006/relationships/image" Target="media/image275.png"/><Relationship Id="rId318" Type="http://schemas.openxmlformats.org/officeDocument/2006/relationships/image" Target="media/image276.png"/><Relationship Id="rId319" Type="http://schemas.openxmlformats.org/officeDocument/2006/relationships/image" Target="media/image277.png"/><Relationship Id="rId320"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4" Type="http://schemas.openxmlformats.org/officeDocument/2006/relationships/image" Target="media/image282.png"/><Relationship Id="rId325" Type="http://schemas.openxmlformats.org/officeDocument/2006/relationships/image" Target="media/image283.png"/><Relationship Id="rId326" Type="http://schemas.openxmlformats.org/officeDocument/2006/relationships/image" Target="media/image284.png"/><Relationship Id="rId327" Type="http://schemas.openxmlformats.org/officeDocument/2006/relationships/image" Target="media/image285.png"/><Relationship Id="rId328"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pn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png"/><Relationship Id="rId345" Type="http://schemas.openxmlformats.org/officeDocument/2006/relationships/image" Target="media/image303.png"/><Relationship Id="rId346"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49" Type="http://schemas.openxmlformats.org/officeDocument/2006/relationships/image" Target="media/image307.png"/><Relationship Id="rId350" Type="http://schemas.openxmlformats.org/officeDocument/2006/relationships/image" Target="media/image308.png"/><Relationship Id="rId351" Type="http://schemas.openxmlformats.org/officeDocument/2006/relationships/image" Target="media/image309.png"/><Relationship Id="rId352"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362" Type="http://schemas.openxmlformats.org/officeDocument/2006/relationships/image" Target="media/image320.png"/><Relationship Id="rId363"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139" Type="http://schemas.openxmlformats.org/officeDocument/2006/relationships/hyperlink" Target="https://www.sec.gov/Archives/edgar/data/1563880/000095017023041318/trvi-ex3_1.htm" TargetMode="External"/><Relationship Id="rId140" Type="http://schemas.openxmlformats.org/officeDocument/2006/relationships/hyperlink" Target="https://www.sec.gov/Archives/edgar/data/1563880/000095017023012870/trvi-ex3_1.htm" TargetMode="External"/><Relationship Id="rId141" Type="http://schemas.openxmlformats.org/officeDocument/2006/relationships/hyperlink" Target="https://www.sec.gov/Archives/edgar/data/1563880/000119312519099340/d643194dex41.htm" TargetMode="External"/><Relationship Id="rId144" Type="http://schemas.openxmlformats.org/officeDocument/2006/relationships/hyperlink" Target="https://www.sec.gov/Archives/edgar/data/1563880/000119312521288912/d208387dex41.htm" TargetMode="External"/><Relationship Id="rId145" Type="http://schemas.openxmlformats.org/officeDocument/2006/relationships/hyperlink" Target="https://www.sec.gov/Archives/edgar/data/1563880/000119312521288912/d208387dex42.htm" TargetMode="External"/><Relationship Id="rId146" Type="http://schemas.openxmlformats.org/officeDocument/2006/relationships/hyperlink" Target="https://www.sec.gov/Archives/edgar/data/1563880/000119312521288912/d208387dex43.htm" TargetMode="External"/><Relationship Id="rId147" Type="http://schemas.openxmlformats.org/officeDocument/2006/relationships/hyperlink" Target="https://www.sec.gov/Archives/edgar/data/1563880/000119312521301603/d540031dex41.htm" TargetMode="External"/><Relationship Id="rId148" Type="http://schemas.openxmlformats.org/officeDocument/2006/relationships/hyperlink" Target="https://www.sec.gov/Archives/edgar/data/1563880/000119312521301603/d540031dex42.htm" TargetMode="External"/><Relationship Id="rId149" Type="http://schemas.openxmlformats.org/officeDocument/2006/relationships/hyperlink" Target="https://www.sec.gov/Archives/edgar/data/1563880/000119312522098229/d324144dex41.htm" TargetMode="External"/><Relationship Id="rId150" Type="http://schemas.openxmlformats.org/officeDocument/2006/relationships/hyperlink" Target="https://www.sec.gov/Archives/edgar/data/1563880/000119312522249748/d378568dex41.htm" TargetMode="External"/><Relationship Id="rId151" Type="http://schemas.openxmlformats.org/officeDocument/2006/relationships/hyperlink" Target="https://www.sec.gov/Archives/edgar/data/1563880/000119312519099340/d643194dex101.htm" TargetMode="External"/><Relationship Id="rId152" Type="http://schemas.openxmlformats.org/officeDocument/2006/relationships/hyperlink" Target="https://www.sec.gov/Archives/edgar/data/1563880/000119312519099340/d643194dex102.htm" TargetMode="External"/><Relationship Id="rId153" Type="http://schemas.openxmlformats.org/officeDocument/2006/relationships/hyperlink" Target="https://www.sec.gov/Archives/edgar/data/1563880/000119312519099340/d643194dex103.htm" TargetMode="External"/><Relationship Id="rId154" Type="http://schemas.openxmlformats.org/officeDocument/2006/relationships/hyperlink" Target="https://www.sec.gov/Archives/edgar/data/1563880/000119312519099340/d643194dex104.htm" TargetMode="External"/><Relationship Id="rId155" Type="http://schemas.openxmlformats.org/officeDocument/2006/relationships/hyperlink" Target="https://www.sec.gov/Archives/edgar/data/1563880/000119312519099340/d643194dex105.htm" TargetMode="External"/><Relationship Id="rId156" Type="http://schemas.openxmlformats.org/officeDocument/2006/relationships/hyperlink" Target="https://www.sec.gov/Archives/edgar/data/1563880/000119312519099340/d643194dex106.htm" TargetMode="External"/><Relationship Id="rId157" Type="http://schemas.openxmlformats.org/officeDocument/2006/relationships/hyperlink" Target="https://www.sec.gov/Archives/edgar/data/1563880/000156459021015506/trvi-ex107_330.htm" TargetMode="External"/><Relationship Id="rId158" Type="http://schemas.openxmlformats.org/officeDocument/2006/relationships/hyperlink" Target="https://www.sec.gov/Archives/edgar/data/1563880/000119312519253605/d808144dex101.htm" TargetMode="External"/><Relationship Id="rId159" Type="http://schemas.openxmlformats.org/officeDocument/2006/relationships/hyperlink" Target="https://www.sec.gov/Archives/edgar/data/1563880/000119312519099340/d643194dex108.htm" TargetMode="External"/><Relationship Id="rId160" Type="http://schemas.openxmlformats.org/officeDocument/2006/relationships/hyperlink" Target="https://www.sec.gov/Archives/edgar/data/1563880/000156459020010996/trvi-ex1010_255.htm" TargetMode="External"/><Relationship Id="rId161" Type="http://schemas.openxmlformats.org/officeDocument/2006/relationships/hyperlink" Target="https://www.sec.gov/Archives/edgar/data/1563880/000095017023008472/trvi-ex10_11.htm" TargetMode="External"/><Relationship Id="rId162" Type="http://schemas.openxmlformats.org/officeDocument/2006/relationships/hyperlink" Target="https://www.sec.gov/Archives/edgar/data/1563880/000156459021043968/trvi-ex106_190.htm" TargetMode="External"/><Relationship Id="rId163" Type="http://schemas.openxmlformats.org/officeDocument/2006/relationships/hyperlink" Target="https://www.sec.gov/Archives/edgar/data/1563880/000119312519099340/d643194dex1012.htm" TargetMode="External"/><Relationship Id="rId164" Type="http://schemas.openxmlformats.org/officeDocument/2006/relationships/hyperlink" Target="https://www.sec.gov/Archives/edgar/data/1563880/000119312519099340/d643194dex1013.htm" TargetMode="External"/><Relationship Id="rId165" Type="http://schemas.openxmlformats.org/officeDocument/2006/relationships/hyperlink" Target="https://www.sec.gov/Archives/edgar/data/1563880/000119312519099340/d643194dex1014.htm" TargetMode="External"/><Relationship Id="rId166" Type="http://schemas.openxmlformats.org/officeDocument/2006/relationships/hyperlink" Target="https://www.sec.gov/Archives/edgar/data/1563880/000095017023008472/trvi-ex10_16.htm" TargetMode="External"/><Relationship Id="rId167" Type="http://schemas.openxmlformats.org/officeDocument/2006/relationships/hyperlink" Target="https://www.sec.gov/Archives/edgar/data/1563880/000119312519099340/d643194dex1015.htm" TargetMode="External"/><Relationship Id="rId170" Type="http://schemas.openxmlformats.org/officeDocument/2006/relationships/hyperlink" Target="https://www.sec.gov/Archives/edgar/data/1563880/000119312519138831/d643194dex1017.htm" TargetMode="External"/><Relationship Id="rId171" Type="http://schemas.openxmlformats.org/officeDocument/2006/relationships/hyperlink" Target="https://www.sec.gov/Archives/edgar/data/1563880/000119312521288912/d208387dex991.htm" TargetMode="External"/><Relationship Id="rId172" Type="http://schemas.openxmlformats.org/officeDocument/2006/relationships/hyperlink" Target="https://www.sec.gov/Archives/edgar/data/1563880/000119312521288912/d208387dex992.htm" TargetMode="External"/><Relationship Id="rId173" Type="http://schemas.openxmlformats.org/officeDocument/2006/relationships/hyperlink" Target="https://www.sec.gov/Archives/edgar/data/1563880/000119312521301603/d540031dex991.htm" TargetMode="External"/><Relationship Id="rId174" Type="http://schemas.openxmlformats.org/officeDocument/2006/relationships/hyperlink" Target="https://www.sec.gov/Archives/edgar/data/1563880/000119312521301603/d540031dex992.htm" TargetMode="External"/><Relationship Id="rId175" Type="http://schemas.openxmlformats.org/officeDocument/2006/relationships/hyperlink" Target="https://www.sec.gov/Archives/edgar/data/1563880/000119312522098229/d324144dex991.htm" TargetMode="External"/><Relationship Id="rId176" Type="http://schemas.openxmlformats.org/officeDocument/2006/relationships/hyperlink" Target="https://www.sec.gov/Archives/edgar/data/1563880/000119312522098229/d324144dex992.htm" TargetMode="External"/><Relationship Id="rId177" Type="http://schemas.openxmlformats.org/officeDocument/2006/relationships/hyperlink" Target="https://www.sec.gov/Archives/edgar/data/1563880/000119312519099340/d64319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2024-03-20T15:33:33Z</dcterms:created>
  <dcterms:modified xsi:type="dcterms:W3CDTF">2024-03-20T15:33:33Z</dcterms:modified>
</cp:coreProperties>
</file>