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93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9328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5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Mathers Edward T</w:t>
              </w:r>
            </w:hyperlink>
          </w:p>
        </w:tc>
        <w:tc>
          <w:tcPr>
            <w:tcW w:w="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Trevi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Borders>
              <w:bottom w:val="single" w:sz="8" w:color="0000EE"/>
            </w:tcBorders>
            <w:gridSpan w:val="2"/>
            <w:vMerge w:val="continue"/>
          </w:tcPr>
          <w:p>
            <w:pPr>
              <w:spacing w:after="0"/>
              <w:rPr>
                <w:sz w:val="5"/>
                <w:szCs w:val="5"/>
                <w:color w:val="auto"/>
              </w:rPr>
            </w:pPr>
          </w:p>
        </w:tc>
        <w:tc>
          <w:tcPr>
            <w:tcW w:w="90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520" w:type="dxa"/>
            <w:vAlign w:val="bottom"/>
            <w:gridSpan w:val="2"/>
          </w:tcPr>
          <w:p>
            <w:pPr>
              <w:spacing w:after="0"/>
              <w:rPr>
                <w:sz w:val="6"/>
                <w:szCs w:val="6"/>
                <w:color w:val="auto"/>
              </w:rPr>
            </w:pPr>
          </w:p>
        </w:tc>
        <w:tc>
          <w:tcPr>
            <w:tcW w:w="90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06/03/2026</w:t>
            </w:r>
          </w:p>
        </w:tc>
        <w:tc>
          <w:tcPr>
            <w:tcW w:w="18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104 5TH AVE</w:t>
            </w:r>
          </w:p>
        </w:tc>
        <w:tc>
          <w:tcPr>
            <w:tcW w:w="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18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19TH FLOOR</w:t>
            </w: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10011</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r>
      <w:tr>
        <w:trPr>
          <w:trHeight w:val="128"/>
        </w:trPr>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r>
      <w:tr>
        <w:trPr>
          <w:trHeight w:val="128"/>
        </w:trPr>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5"/>
        </w:trPr>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8"/>
        </w:trPr>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8"/>
        </w:trPr>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0"/>
        </w:trPr>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r>
        <w:trPr>
          <w:trHeight w:val="179"/>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Nonstatutory</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2"/>
        </w:trPr>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13.45</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06/03/2026</w:t>
            </w:r>
          </w:p>
        </w:tc>
        <w:tc>
          <w:tcPr>
            <w:tcW w:w="1060" w:type="dxa"/>
            <w:vAlign w:val="bottom"/>
          </w:tcPr>
          <w:p>
            <w:pPr>
              <w:spacing w:after="0"/>
              <w:rPr>
                <w:sz w:val="16"/>
                <w:szCs w:val="16"/>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35,000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06/02/2036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line="192" w:lineRule="exact"/>
              <w:rPr>
                <w:sz w:val="20"/>
                <w:szCs w:val="20"/>
                <w:color w:val="auto"/>
              </w:rPr>
            </w:pPr>
            <w:r>
              <w:rPr>
                <w:rFonts w:ascii="Times New Roman" w:cs="Times New Roman" w:eastAsia="Times New Roman" w:hAnsi="Times New Roman"/>
                <w:sz w:val="17"/>
                <w:szCs w:val="17"/>
                <w:color w:val="0000FF"/>
              </w:rPr>
              <w:t>35,000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35,000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r>
      <w:tr>
        <w:trPr>
          <w:trHeight w:val="103"/>
        </w:trPr>
        <w:tc>
          <w:tcPr>
            <w:tcW w:w="800" w:type="dxa"/>
            <w:vAlign w:val="bottom"/>
          </w:tcPr>
          <w:p>
            <w:pPr>
              <w:ind w:left="60"/>
              <w:spacing w:after="0" w:line="103" w:lineRule="exact"/>
              <w:rPr>
                <w:sz w:val="20"/>
                <w:szCs w:val="20"/>
                <w:color w:val="auto"/>
              </w:rPr>
            </w:pPr>
            <w:r>
              <w:rPr>
                <w:rFonts w:ascii="Times New Roman" w:cs="Times New Roman" w:eastAsia="Times New Roman" w:hAnsi="Times New Roman"/>
                <w:sz w:val="11"/>
                <w:szCs w:val="11"/>
                <w:color w:val="0000FF"/>
              </w:rPr>
              <w:t>Option (right</w:t>
            </w: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ind w:left="160"/>
              <w:spacing w:after="0" w:line="103" w:lineRule="exact"/>
              <w:rPr>
                <w:sz w:val="20"/>
                <w:szCs w:val="20"/>
                <w:color w:val="auto"/>
              </w:rPr>
            </w:pPr>
            <w:r>
              <w:rPr>
                <w:rFonts w:ascii="Times New Roman" w:cs="Times New Roman" w:eastAsia="Times New Roman" w:hAnsi="Times New Roman"/>
                <w:sz w:val="11"/>
                <w:szCs w:val="11"/>
                <w:color w:val="0000FF"/>
              </w:rPr>
              <w:t>Stock</w:t>
            </w: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4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3, 2026. This option is scheduled to fully vest on the earlier of (i) the first anniversary of the date of grant and (ii) the date of the next annual meeting of stockholders of the Issuer held following the date of grant, subject to the recipient's continued service as a director, employee or consultant of the Issuer.</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1"/>
          <w:szCs w:val="31"/>
          <w:color w:val="0000FF"/>
          <w:vertAlign w:val="subscript"/>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-26035</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2749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49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8625" TargetMode="External"/><Relationship Id="rId14" Type="http://schemas.openxmlformats.org/officeDocument/2006/relationships/hyperlink" Target="http://www.sec.gov/cgi-bin/browse-edgar?action=getcompany&amp;CIK=0001563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2026-06-04T15:39:07Z</dcterms:created>
  <dcterms:modified xsi:type="dcterms:W3CDTF">2026-06-04T15:39:07Z</dcterms:modified>
</cp:coreProperties>
</file>