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50930.htm"/>
      <w:bookmarkStart w:id="1" w:name="kstrvi20250930"/>
      <w:bookmarkEnd w:id="0"/>
      <w:bookmarkEnd w:id="1"/>
      <w:r>
        <w:rPr/>
        <w:t> </w:t>
      </w:r>
    </w:p>
    <w:p>
      <w:pPr>
        <w:pStyle w:val="TextBody"/>
        <w:pBdr>
          <w:bottom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001-38886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195 Church Street, 16</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Connecticut</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October 31, 2025, the registrant had 128,230,134</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including our planned Phase 3 program of Haduvio for the treatment of chronic cough in patients with idiopathic pulmonary fibrosis, or IPF, our planned clinical trial of Haduvio for the treatment of chronic cough in patients with non-IPF interstitial lung disease or non-IPF ILD, our next clinical trial of Haduvio for the treatment of patients with refractory chronic cough, or RCC, and our ongoing Phase 1 TIDAL study to evaluate the effect of Haduvio on respiratory function and safety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Haduvio for the treatment of chronic cough in patients with IPF, non-IPF ILD, and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to obtain and maintain regulatory approvals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operating expenses, including our ongoing and planned clinical trials, with our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timing of any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color w:val="000000"/>
          <w:sz w:val="13"/>
        </w:rPr>
        <w:t>®</w:t>
      </w:r>
      <w:r>
        <w:rPr>
          <w:rFonts w:ascii="Times New Roman" w:hAnsi="Times New Roman"/>
          <w:color w:val="000000"/>
          <w:sz w:val="20"/>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hAnsi="Times New Roman"/>
          <w:color w:val="000000"/>
          <w:sz w:val="13"/>
        </w:rPr>
        <w:t>®</w:t>
      </w:r>
      <w:r>
        <w:rPr>
          <w:rFonts w:ascii="Times New Roman" w:hAnsi="Times New Roman"/>
          <w:color w:val="000000"/>
          <w:sz w:val="20"/>
        </w:rPr>
        <w:t xml:space="preserve"> 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designing future clinical trials of Haduvio for the treatment of chronic cough in patients with IPF, non-IPF ILD, and RCC. Before commencing the trials, we plan to submit the protocols to regulatory authorities to obtain any feedback they may have. Changes in the design of the planned trials or regulatory delays may affect the timing and costs of our planned trials and may affect our ability to complete the trials with our existing cash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clinical trials of a product candidate may not be predictive of the success of later clinical trials of such product candidate or of clinical trials of such product candidate for different indications. For instance, Haduvio may fail to show the desired safety and efficacy in clinical development despite demonstrating positive results in earlier Phase 2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delays and difficulties in the enrollment of patients in our clinical trials in the past. If we experience delays or difficulties in the enrollment of patients in future clinical trials, our receipt of necessary regulatory approvals could be delayed or prevented. Other companies are conducting clinical trials or have announced plans for future clinical trials that are seeking or are likely to seek to enroll patients with IPF, non-IPF ILD, and RCC, and patients are generally only able to enroll in a single trial at a time. In addition, many patients use various treatments not specifically approved to treat chronic cough and these patients and their physicians may be reluctant to forgo, discontinue or otherwise alter their use of such treatments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Even if we complete the necessary preclinical studies and clinical trials, the regulatory approval process is uncertain, which may prevent us from obtaining approvals for the commercialization of Haduvio or any future product candidate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project candidate may be identified during development and could delay or prevent the marketing approval or limit the use of Haduvio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currently approved mu-opioid receptor agonist products are subject to restrictive marketing and distribution regulations which, if applied to Haduvio, could potentially restrict its use and harm our ability to generate profits.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which may result in others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our existing and any future intellectual property licenses with third parties, including our license with Endo, Inc., we could lose license rights that are critical to our business or owe damages to the licensor of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stockholders_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3"/>
        <w:gridCol w:w="146"/>
        <w:gridCol w:w="215"/>
        <w:gridCol w:w="861"/>
        <w:gridCol w:w="166"/>
        <w:gridCol w:w="146"/>
        <w:gridCol w:w="213"/>
        <w:gridCol w:w="851"/>
        <w:gridCol w:w="614"/>
      </w:tblGrid>
      <w:tr>
        <w:trPr/>
        <w:tc>
          <w:tcPr>
            <w:tcW w:w="6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73,525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109,428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equipment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110,900</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10,509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9,568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11,256</w:t>
            </w:r>
          </w:p>
        </w:tc>
        <w:tc>
          <w:tcPr>
            <w:tcW w:w="6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at September 30, 2025 and December 31, 2024; no</w:t>
            </w:r>
            <w:r>
              <w:rPr>
                <w:rFonts w:ascii="Times New Roman" w:hAnsi="Times New Roman"/>
                <w:color w:val="000000"/>
                <w:sz w:val="20"/>
              </w:rPr>
              <w:t> </w:t>
            </w:r>
            <w:r>
              <w:rPr>
                <w:rFonts w:ascii="Times New Roman" w:hAnsi="Times New Roman"/>
                <w:color w:val="000000"/>
                <w:sz w:val="19"/>
              </w:rPr>
              <w:t>shares issued or outstanding at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200,000,000</w:t>
            </w:r>
            <w:r>
              <w:rPr>
                <w:rFonts w:ascii="Times New Roman" w:hAnsi="Times New Roman"/>
                <w:color w:val="000000"/>
                <w:sz w:val="20"/>
              </w:rPr>
              <w:t> </w:t>
            </w:r>
            <w:r>
              <w:rPr>
                <w:rFonts w:ascii="Times New Roman" w:hAnsi="Times New Roman"/>
                <w:color w:val="000000"/>
                <w:sz w:val="19"/>
              </w:rPr>
              <w:t>shares authorized at September 30, 2025 and December 31, 2024; and 128,215,113</w:t>
            </w:r>
            <w:r>
              <w:rPr>
                <w:rFonts w:ascii="Times New Roman" w:hAnsi="Times New Roman"/>
                <w:color w:val="000000"/>
                <w:sz w:val="20"/>
              </w:rPr>
              <w:t> </w:t>
            </w:r>
            <w:r>
              <w:rPr>
                <w:rFonts w:ascii="Times New Roman" w:hAnsi="Times New Roman"/>
                <w:color w:val="000000"/>
                <w:sz w:val="19"/>
              </w:rPr>
              <w:t>and 93,602,631</w:t>
            </w:r>
            <w:r>
              <w:rPr>
                <w:rFonts w:ascii="Times New Roman" w:hAnsi="Times New Roman"/>
                <w:color w:val="000000"/>
                <w:sz w:val="20"/>
              </w:rPr>
              <w:t> </w:t>
            </w:r>
            <w:r>
              <w:rPr>
                <w:rFonts w:ascii="Times New Roman" w:hAnsi="Times New Roman"/>
                <w:color w:val="000000"/>
                <w:sz w:val="19"/>
              </w:rPr>
              <w:t>shares issued and outstanding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511,118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386,534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(287,045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99,644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110,900</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146"/>
        <w:gridCol w:w="211"/>
        <w:gridCol w:w="1141"/>
        <w:gridCol w:w="166"/>
        <w:gridCol w:w="146"/>
        <w:gridCol w:w="211"/>
        <w:gridCol w:w="1141"/>
        <w:gridCol w:w="166"/>
        <w:gridCol w:w="146"/>
        <w:gridCol w:w="211"/>
        <w:gridCol w:w="1141"/>
        <w:gridCol w:w="166"/>
        <w:gridCol w:w="146"/>
        <w:gridCol w:w="211"/>
        <w:gridCol w:w="1141"/>
        <w:gridCol w:w="611"/>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net loss per share</w:t>
              <w:br/>
              <w:t>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145,104,986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131,122,754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100,616,111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gains (losses)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tatement_of_stockholders_e"/>
      <w:bookmarkEnd w:id="6"/>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6"/>
        <w:gridCol w:w="146"/>
        <w:gridCol w:w="146"/>
        <w:gridCol w:w="1006"/>
        <w:gridCol w:w="146"/>
        <w:gridCol w:w="146"/>
        <w:gridCol w:w="257"/>
        <w:gridCol w:w="494"/>
        <w:gridCol w:w="146"/>
        <w:gridCol w:w="146"/>
        <w:gridCol w:w="205"/>
        <w:gridCol w:w="726"/>
        <w:gridCol w:w="166"/>
        <w:gridCol w:w="146"/>
        <w:gridCol w:w="554"/>
        <w:gridCol w:w="781"/>
        <w:gridCol w:w="166"/>
        <w:gridCol w:w="146"/>
        <w:gridCol w:w="233"/>
        <w:gridCol w:w="893"/>
        <w:gridCol w:w="166"/>
        <w:gridCol w:w="146"/>
        <w:gridCol w:w="246"/>
        <w:gridCol w:w="870"/>
        <w:gridCol w:w="212"/>
      </w:tblGrid>
      <w:tr>
        <w:trPr/>
        <w:tc>
          <w:tcPr>
            <w:tcW w:w="1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121,775,753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disgorgement of beneficial owner's short-swing profits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128,215,113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189,788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72,591,917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at-the-market sales agreement, net of commissions and allocated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75,454,375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58,969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6"/>
        <w:gridCol w:w="146"/>
        <w:gridCol w:w="146"/>
        <w:gridCol w:w="1006"/>
        <w:gridCol w:w="146"/>
        <w:gridCol w:w="146"/>
        <w:gridCol w:w="257"/>
        <w:gridCol w:w="494"/>
        <w:gridCol w:w="146"/>
        <w:gridCol w:w="146"/>
        <w:gridCol w:w="205"/>
        <w:gridCol w:w="726"/>
        <w:gridCol w:w="166"/>
        <w:gridCol w:w="146"/>
        <w:gridCol w:w="554"/>
        <w:gridCol w:w="781"/>
        <w:gridCol w:w="166"/>
        <w:gridCol w:w="146"/>
        <w:gridCol w:w="233"/>
        <w:gridCol w:w="893"/>
        <w:gridCol w:w="166"/>
        <w:gridCol w:w="146"/>
        <w:gridCol w:w="246"/>
        <w:gridCol w:w="870"/>
        <w:gridCol w:w="212"/>
      </w:tblGrid>
      <w:tr>
        <w:trPr/>
        <w:tc>
          <w:tcPr>
            <w:tcW w:w="1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disgorgement of beneficial owner's short-swing profits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128,215,113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189,788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68,283,699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82,547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at-the-market sales agreement, net of commissions and allocated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3,810,018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75,454,375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58,969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4"/>
        <w:gridCol w:w="146"/>
        <w:gridCol w:w="236"/>
        <w:gridCol w:w="940"/>
        <w:gridCol w:w="185"/>
        <w:gridCol w:w="163"/>
        <w:gridCol w:w="236"/>
        <w:gridCol w:w="822"/>
        <w:gridCol w:w="813"/>
      </w:tblGrid>
      <w:tr>
        <w:trPr/>
        <w:tc>
          <w:tcPr>
            <w:tcW w:w="6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(34,443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(36,496</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(1,070</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2,736</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(34,458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(28,706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52,779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55,643</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(116,266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(53,271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equipment and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(63,499</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2,344</w:t>
            </w:r>
          </w:p>
        </w:tc>
        <w:tc>
          <w:tcPr>
            <w:tcW w:w="8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offering of common stock,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disgorgement of beneficial owner's short-swing profits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at-the-market sales agreement, net of commissions and allocated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9,697</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120,729</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10,017</w:t>
            </w:r>
          </w:p>
        </w:tc>
        <w:tc>
          <w:tcPr>
            <w:tcW w:w="8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22,772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(16,345</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32,397</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56,869</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16,052</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non-IPF interstitial lung disease (“non-IPF ILD”), and refractory chronic cough (“RCC”).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an oral extended-release formulation of nalbuphine. Haduvio acts on the cough reflex arc both centrally and peripherally as a kappa agonist and a mu antagonist (“KAMA”), targeting opioid receptors that play a key role in controlling chronic cough. Nalbuphine has been approved and marketed as an injectable for pain indications for more than 30 years in the United States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for the three and nine months ended September 30, 2025 and 2024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Trevi Therapeutics, Inc. and its wholly-owned subsidiary Trevi Therapeutics Limited.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presented are in thousands of dollars, except share and per share amounts, unless noted otherwise. The Company has evaluated events occurring subsequent to September 30, 2025 for potential recognition or disclosure in the Condensed Consolidated Financial Statements and concluded there were no subsequent events that required recognition or disclosure.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for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Balance Sheet as of September 30, 2025 and the Condensed Consolidated Statements of Comprehensive Loss, the Condensed Consolidated Statements of Stockholders’ Equity and the Condensed Consolidated Statements of Cash Flows for the three and nine months ended September 30, 2025 and 2024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2025 and the results of its operations and its cash flows for the three and nine months ended September 30, 2025 and 2024. The results for the three and nine months ended September 30, 2025 and 2024 are not necessarily indicative of results to be expected for the year ending December 31, 2025 or any other interim period or any future year or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potentially subject the Company to concentrations of credit risk. The Company's cash management and investment policy limits investment instruments to investment-grade securities with the objective to preserve capital and to maintain liquidity until the funds can be used in business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off-balance sheet risk, such as foreign exchange contracts, option contracts, or other foreign-hedging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short-term, highly liquid investments with an original term of three months or less at the date of purchase as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(loss)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have consisted of cash and cash equivalents, available-for-sale marketable securities, other current assets, accounts payable, accrued expenses,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accounting guidance defines fair value, establishes a framework for measuring fair value in accordance with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inputs—quoted prices in active markets for identical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inputs—includes amounts derived from valuation models where one or more significant inputs are unobservable and require the company to develop relevant assumptions.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Techniques -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Equipment and Leasehold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September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Condensed Consolidated Statements of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an in-process equity financing no longer be considered probable of being consummated, the deferred offering costs are expensed immediately as a charge to general and administrative expenses. The deferred offering costs are included in Other current assets and Other non-current assets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(“R&amp;D”)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Condensed Consolidated Balance Sheets, as applicable, and are recognized as expenses as the goods are delivered or the related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arrangements with employees and non-employees for consultancy services in accordance with ASC 718, </w:t>
      </w:r>
      <w:r>
        <w:rPr>
          <w:rFonts w:ascii="Times New Roman" w:hAnsi="Times New Roman"/>
          <w:i/>
          <w:color w:val="000000"/>
          <w:sz w:val="20"/>
        </w:rPr>
        <w:t xml:space="preserve">Stock Compensation </w:t>
      </w:r>
      <w:r>
        <w:rPr>
          <w:rFonts w:ascii="Times New Roman" w:hAnsi="Times New Roman"/>
          <w:color w:val="000000"/>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Dividend—The Black-Scholes valuation model calls for a single expected dividend yield as an input. The Company currently has no history or expectation of paying cash dividends on its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Rate—The risk-free interest rate is based on the yield available on U.S. Treasury zero-coupon issues similar in duration to the expected term of the stock-based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applies the provisions of ASC 740, </w:t>
      </w:r>
      <w:r>
        <w:rPr>
          <w:rFonts w:ascii="Times New Roman" w:hAnsi="Times New Roman"/>
          <w:i/>
          <w:color w:val="000000"/>
          <w:sz w:val="20"/>
        </w:rPr>
        <w:t>Income Taxes</w:t>
      </w:r>
      <w:r>
        <w:rPr>
          <w:rFonts w:ascii="Times New Roman" w:hAnsi="Times New Roman"/>
          <w:color w:val="000000"/>
          <w:sz w:val="20"/>
        </w:rPr>
        <w:t>,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September 30, 2025 and December 31, 2024. The Company does not have any interest or penalties accrued related to tax positions as it does not have any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right-of-use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Basic and Diluted Net Loss per Common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which is also the Company’s only operating segment. Management uses one measurement of profitability and does not segregate its business for internal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the net change in stockholders’ equity during a period from sources other than transactions with stockholders. As reflected in the accompanying Condensed Consolidated Statements of Comprehensive Loss, our comprehensive loss is comprised of net losses and unrealized gains and losses on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Segment Reporting (Topic 280): </w:t>
      </w:r>
      <w:r>
        <w:rPr>
          <w:rFonts w:ascii="Times New Roman" w:hAnsi="Times New Roman"/>
          <w:i/>
          <w:color w:val="000000"/>
          <w:sz w:val="20"/>
        </w:rPr>
        <w:t>Improvements to Reportable Segment Disclosures</w:t>
      </w:r>
      <w:r>
        <w:rPr>
          <w:rFonts w:ascii="Times New Roman" w:hAnsi="Times New Roman"/>
          <w:color w:val="000000"/>
          <w:sz w:val="20"/>
        </w:rPr>
        <w:t xml:space="preserve">, which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The Company adopted this accounting standard for the fiscal year beginning on January 1, 2024 and it has resulted in incremental disclosures within the footnotes to the Company’s Consolidated Financial Statements.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w:t>
      </w:r>
      <w:r>
        <w:rPr>
          <w:rFonts w:ascii="Times New Roman" w:hAnsi="Times New Roman"/>
          <w:color w:val="000000"/>
          <w:sz w:val="20"/>
        </w:rPr>
        <w:t xml:space="preserve">, which requires entities to disclose disaggregated information about their effective tax rate reconciliation as well as expanded information on income taxes paid by jurisdiction. We expect to adopt ASU 2023-09 prospectively. As the standard impacts disclosures only, we do not expect the adoption to have a material impact on our consolidated financial statements.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by major security type are presented in the following tables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710"/>
        <w:gridCol w:w="1067"/>
        <w:gridCol w:w="146"/>
        <w:gridCol w:w="146"/>
        <w:gridCol w:w="653"/>
        <w:gridCol w:w="1165"/>
        <w:gridCol w:w="166"/>
        <w:gridCol w:w="146"/>
        <w:gridCol w:w="346"/>
        <w:gridCol w:w="1283"/>
        <w:gridCol w:w="295"/>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138,058</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711"/>
        <w:gridCol w:w="1068"/>
        <w:gridCol w:w="146"/>
        <w:gridCol w:w="146"/>
        <w:gridCol w:w="653"/>
        <w:gridCol w:w="11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01"/>
        <w:gridCol w:w="1124"/>
        <w:gridCol w:w="146"/>
        <w:gridCol w:w="146"/>
        <w:gridCol w:w="217"/>
        <w:gridCol w:w="803"/>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112,944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and 2024, there were no realized gains or losses on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no marketable securities had been in a continuous unrealized loss position for more than 12 months and the Company considered any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accrued interest receivables on the Company’s available-for-sale marketable securities were $1,203 and $532, respectively, and were included within other current assets as presented on its Condensed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financial liabilities measured at fair value on a recurring basis and the basis for that measurement, by level within the fair value hierarchy,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2747"/>
        <w:gridCol w:w="146"/>
        <w:gridCol w:w="211"/>
        <w:gridCol w:w="676"/>
        <w:gridCol w:w="146"/>
        <w:gridCol w:w="146"/>
        <w:gridCol w:w="211"/>
        <w:gridCol w:w="781"/>
        <w:gridCol w:w="146"/>
        <w:gridCol w:w="146"/>
        <w:gridCol w:w="272"/>
        <w:gridCol w:w="450"/>
        <w:gridCol w:w="146"/>
        <w:gridCol w:w="146"/>
        <w:gridCol w:w="211"/>
        <w:gridCol w:w="781"/>
        <w:gridCol w:w="293"/>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55,797</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43,591</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193,855</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106,609</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 entered into a 24-month lease for the financing of the furniture installed in the Company’s new office space. The furniture lease requires monthly payments of approximately $11 starting in March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lease-related assets and liabilities as presented on its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1"/>
        <w:gridCol w:w="146"/>
        <w:gridCol w:w="4121"/>
        <w:gridCol w:w="146"/>
        <w:gridCol w:w="492"/>
        <w:gridCol w:w="988"/>
        <w:gridCol w:w="146"/>
        <w:gridCol w:w="146"/>
        <w:gridCol w:w="385"/>
        <w:gridCol w:w="1050"/>
        <w:gridCol w:w="394"/>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 on the Condensed Consolidated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related to the Company's lease expense for the periods shown:</w:t>
      </w:r>
    </w:p>
    <w:p>
      <w:pPr>
        <w:pStyle w:val="TextBody"/>
        <w:bidi w:val="0"/>
        <w:jc w:val="left"/>
        <w:rPr/>
      </w:pPr>
      <w:r>
        <w:rPr/>
        <w:t> </w:t>
      </w:r>
    </w:p>
    <w:tbl>
      <w:tblPr>
        <w:tblW w:w="5974" w:type="dxa"/>
        <w:jc w:val="left"/>
        <w:tblInd w:w="0" w:type="dxa"/>
        <w:tblLayout w:type="fixed"/>
        <w:tblCellMar>
          <w:top w:w="28" w:type="dxa"/>
          <w:left w:w="28" w:type="dxa"/>
          <w:bottom w:w="28" w:type="dxa"/>
          <w:right w:w="28" w:type="dxa"/>
        </w:tblCellMar>
      </w:tblPr>
      <w:tblGrid>
        <w:gridCol w:w="2086"/>
        <w:gridCol w:w="146"/>
        <w:gridCol w:w="246"/>
        <w:gridCol w:w="403"/>
        <w:gridCol w:w="170"/>
        <w:gridCol w:w="170"/>
        <w:gridCol w:w="246"/>
        <w:gridCol w:w="368"/>
        <w:gridCol w:w="146"/>
        <w:gridCol w:w="146"/>
        <w:gridCol w:w="211"/>
        <w:gridCol w:w="421"/>
        <w:gridCol w:w="146"/>
        <w:gridCol w:w="146"/>
        <w:gridCol w:w="211"/>
        <w:gridCol w:w="421"/>
        <w:gridCol w:w="2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from September 30, 2025 until the expiration of the leases are as follows:</w:t>
      </w:r>
    </w:p>
    <w:p>
      <w:pPr>
        <w:pStyle w:val="TextBody"/>
        <w:bidi w:val="0"/>
        <w:jc w:val="left"/>
        <w:rPr/>
      </w:pPr>
      <w:r>
        <w:rPr/>
        <w:t> </w:t>
      </w:r>
    </w:p>
    <w:tbl>
      <w:tblPr>
        <w:tblW w:w="6328" w:type="dxa"/>
        <w:jc w:val="left"/>
        <w:tblInd w:w="0" w:type="dxa"/>
        <w:tblLayout w:type="fixed"/>
        <w:tblCellMar>
          <w:top w:w="28" w:type="dxa"/>
          <w:left w:w="28" w:type="dxa"/>
          <w:bottom w:w="28" w:type="dxa"/>
          <w:right w:w="28" w:type="dxa"/>
        </w:tblCellMar>
      </w:tblPr>
      <w:tblGrid>
        <w:gridCol w:w="4526"/>
        <w:gridCol w:w="146"/>
        <w:gridCol w:w="416"/>
        <w:gridCol w:w="949"/>
        <w:gridCol w:w="291"/>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of lease payments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certain information related to the lease terms and discount rates for the Company's leases:</w:t>
      </w:r>
    </w:p>
    <w:p>
      <w:pPr>
        <w:pStyle w:val="TextBody"/>
        <w:bidi w:val="0"/>
        <w:jc w:val="left"/>
        <w:rPr/>
      </w:pPr>
      <w:r>
        <w:rPr/>
        <w:t> </w:t>
      </w:r>
    </w:p>
    <w:tbl>
      <w:tblPr>
        <w:tblW w:w="7400" w:type="dxa"/>
        <w:jc w:val="left"/>
        <w:tblInd w:w="0" w:type="dxa"/>
        <w:tblLayout w:type="fixed"/>
        <w:tblCellMar>
          <w:top w:w="28" w:type="dxa"/>
          <w:left w:w="28" w:type="dxa"/>
          <w:bottom w:w="28" w:type="dxa"/>
          <w:right w:w="28" w:type="dxa"/>
        </w:tblCellMar>
      </w:tblPr>
      <w:tblGrid>
        <w:gridCol w:w="3376"/>
        <w:gridCol w:w="146"/>
        <w:gridCol w:w="314"/>
        <w:gridCol w:w="1231"/>
        <w:gridCol w:w="271"/>
        <w:gridCol w:w="146"/>
        <w:gridCol w:w="305"/>
        <w:gridCol w:w="1195"/>
        <w:gridCol w:w="4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 years</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 years</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supplemental cash flow information related to the Company's leases for the periods shown: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2"/>
        <w:gridCol w:w="146"/>
        <w:gridCol w:w="239"/>
        <w:gridCol w:w="393"/>
        <w:gridCol w:w="165"/>
        <w:gridCol w:w="165"/>
        <w:gridCol w:w="239"/>
        <w:gridCol w:w="393"/>
        <w:gridCol w:w="146"/>
        <w:gridCol w:w="146"/>
        <w:gridCol w:w="211"/>
        <w:gridCol w:w="421"/>
        <w:gridCol w:w="146"/>
        <w:gridCol w:w="146"/>
        <w:gridCol w:w="211"/>
        <w:gridCol w:w="421"/>
        <w:gridCol w:w="395"/>
      </w:tblGrid>
      <w:tr>
        <w:trPr/>
        <w:tc>
          <w:tcPr>
            <w:tcW w:w="6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outflows relating to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7225" w:type="dxa"/>
        <w:jc w:val="left"/>
        <w:tblInd w:w="0" w:type="dxa"/>
        <w:tblLayout w:type="fixed"/>
        <w:tblCellMar>
          <w:top w:w="28" w:type="dxa"/>
          <w:left w:w="28" w:type="dxa"/>
          <w:bottom w:w="28" w:type="dxa"/>
          <w:right w:w="28" w:type="dxa"/>
        </w:tblCellMar>
      </w:tblPr>
      <w:tblGrid>
        <w:gridCol w:w="3451"/>
        <w:gridCol w:w="146"/>
        <w:gridCol w:w="417"/>
        <w:gridCol w:w="1128"/>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reserved shares of common stock for future issuance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of outstanding warrants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Stock Incentive Plan, as amended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9,165,995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2012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41,891,573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the Company entered into a sales agreement (the "2020 ATM Sales Agreement") with SVB Securities LLC ("SVB Securities") under which the Company was able to issue and sell shares of its common stock, from time to time, having an aggregate offering price of up to $12.0 million. In May 2022, the Company and SVB Securities amended the 2020 ATM Sales Agreement to increase the maximum aggregate offering price of common stock that it was able to issue and sell from time to time under the 2020 ATM Sales Agreement by $50.0 million, from $12.0 million to up to $62.0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common stock under the 2020 ATM Sales Agreement were able to be made by any method that was deemed an “at-the-market” offering as defined in Rule 415(a)(4) under the Securities Act of 1933, as amended (the "Securities Act"). The Company was not obligated to make any sales of its common stock under the 2020 ATM Sales Agreement. The Company began making sales pursuant to the 2020 ATM Sales Agreement in July 2020. As of August 15, 2023, the date of termination of the 2020 ATM Sales Agreement, the Company had issued and sold an aggregate of 4,333,394 shares of common stock for gross proceeds of $12.7 million pursuant to the 2020 ATM Sales Agreement, before deducting estimated commissions and allocated fees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at-the-market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2020 ATM Sales Agreement terminated upon effectiveness of the Shelf Registration Statement, at which point the Company was no longer able to issue and sell shares of its common stock under the 2020 ATM Sales Agreement. As of December 31, 2024, the Company had issued and sold 4,498,065 shares of common stock under the 2023 ATM Sales Agreement for gross proceeds of $14.6 million, before deducting estimated commissions and allocated fees of $0.5 million. No shares have been sold under the 2023 ATM Sales Agreement during the nine months ended September 30, 2025. On June 2, 2025, the Company terminated the prospectus relating to the 2023 ATM Sales Agreement. The Company may not make any sales of its common stock pursuant to the 2023 ATM Sales Agreement unless and until a new prospectus or prospectus supplement relating to the shares of common stock to be issued and sold pursuant to the 2023 ATM Sales Agreement is filed. The 2023 ATM Sales Agreement otherwise remains in full force and effect.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the Company issued and sold to an initial investor (the "Initial Private Placement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The accompanying common stock warrants had an exercise price of $1.37 per share and became exercisable immediately upon issuance. Of the accompanying common stock warrants, warrants to purchase an aggregate of 7,299,270 shares had an expiration date of April 5, 2025, and warrants to purchase an aggregate of 7,299,270 shares had an expiration date of October 5, 2028. All of the pre-funded warrants and accompanying common stock warrants issued to the Initial Private Placement Investor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were scheduled to expire on April 18, 2025, and warrants to purchase an aggregate of 1,851,852 shares of the Company’s common stock will expire on October 18, 2028. On April 17, 2025, NEA exercised all of the warrants that would have expired on April 18, 2025. None of the accompanying common stock warrants issued to NEA in the private placement that expire on October 18, 2028 have been exercised.</w:t>
      </w:r>
    </w:p>
    <w:p>
      <w:pPr>
        <w:pStyle w:val="TextBody"/>
        <w:bidi w:val="0"/>
        <w:spacing w:before="120" w:after="283"/>
        <w:jc w:val="left"/>
        <w:rPr>
          <w:rFonts w:ascii="Times New Roman" w:hAnsi="Times New Roman"/>
          <w:sz w:val="20"/>
        </w:rPr>
      </w:pPr>
      <w:r>
        <w:rPr>
          <w:rFonts w:ascii="Times New Roman" w:hAnsi="Times New Roman"/>
          <w:color w:val="000000"/>
          <w:sz w:val="20"/>
        </w:rPr>
        <w:t>Total net proceeds from the two October 2021 private placements were $13.7 million, after deducting issuance costs of $1.1 million and excluding any proceeds from the exercise of warrants that were issued and sold in such private placements</w:t>
      </w:r>
      <w:r>
        <w:rPr>
          <w:rFonts w:ascii="Arial" w:hAnsi="Arial"/>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 As of September 30, 2025, pre-funded warrants that were issued and sold in the April 2022 Private Placement to purchase 12,531,332 shares of common stock remain outstanding.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Registered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with SVB Securities; Stifel, Nicolaus &amp; Company, Incorporated; and Oppenheimer &amp; Co. Inc., as representatives of the several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exercisable for 30 days, to purchase up to an additional 4,275,000 shares of common stock,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 As of September 30, 2025, pre-funded warrants that were issued and sold in the September 2022 Offering to purchase 4,717,616 shares of common stock remain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2024, the Company issued and sold 12,500,000 shares of the Company’s common stock to certain investors in an underwritten registered direct offering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the Company of $50.0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2025, the Company issued and sold 17,400,000 shares of the Company's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the Company also granted the underwriters a 30-day option to purchase up to an additional 2,610,000 shares of common stock at the price to the public, less underwriting discounts and commissions. The underwriters exercised the option in full and settled in cash, concurrent with the offering. The June 2025 Offering resulted in aggregate gross proceeds to the Company of approximately $115.1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activity, including activity related to pre-funded warrants, is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8"/>
        <w:gridCol w:w="146"/>
        <w:gridCol w:w="192"/>
        <w:gridCol w:w="1371"/>
        <w:gridCol w:w="166"/>
        <w:gridCol w:w="146"/>
        <w:gridCol w:w="234"/>
        <w:gridCol w:w="1596"/>
        <w:gridCol w:w="166"/>
        <w:gridCol w:w="146"/>
        <w:gridCol w:w="154"/>
        <w:gridCol w:w="1158"/>
        <w:gridCol w:w="166"/>
        <w:gridCol w:w="146"/>
        <w:gridCol w:w="248"/>
        <w:gridCol w:w="548"/>
        <w:gridCol w:w="594"/>
      </w:tblGrid>
      <w:tr>
        <w:trPr/>
        <w:tc>
          <w:tcPr>
            <w:tcW w:w="3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(13,814,546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Company’s board of directors approved, and the Company’s stockholders subsequently approved, an amendment to the 2019 Plan (the “Plan Amendment”), which (i) increased the number of shares authorized for issuance under the 2019 Plan by 6,000,000 shares to 16,490,422 shares and (ii) eliminated the evergreen provision of the 2019 Plan. Accordingly, the total number of shares of common stock that may be issued under both the 2019 Plan and the 2012 Plan was 16,291,355 as of September 30, 2025, of which 6,846,942 shares remained available for grant under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September 30, 2025 and December 31, 2024, respectively, options to purchase 9,165,995 shares and 7,555,310 shares of common stock were granted and outstanding, net of cancellations, under the 2019 Plan. As of September 30, 2025 and December 31, 2024, respectively, options to purchase 278,418 and 288,944 shares of common stock were granted and outstanding, net of cancellations,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granted options to purchase 832,250 shares of common stock subject to performance-based vesting (“PSOs”) to employees of the Company. The PSOs were subject to vesting based on performance criteria related to the timing and results of two of the Company’s clinical trials. By May 2025, the timing and results of both clinical trials had been determined, and the compensation committee of the Company's board of directors had certified to the satisfaction of the related performance metrics, resulting in PSOs to purchase 642,160 shares vesting and the remaining PSOs being cancelled.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combined stock option activity for the 2019 Plan and the 2012 Plan is as follows:</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3811"/>
        <w:gridCol w:w="146"/>
        <w:gridCol w:w="146"/>
        <w:gridCol w:w="931"/>
        <w:gridCol w:w="166"/>
        <w:gridCol w:w="146"/>
        <w:gridCol w:w="248"/>
        <w:gridCol w:w="548"/>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ESPP was 1,116,075 as of September 30, 2025, all of which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No annual increase was made on January 1, 2024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3626"/>
        <w:gridCol w:w="146"/>
        <w:gridCol w:w="211"/>
        <w:gridCol w:w="571"/>
        <w:gridCol w:w="146"/>
        <w:gridCol w:w="146"/>
        <w:gridCol w:w="211"/>
        <w:gridCol w:w="421"/>
        <w:gridCol w:w="146"/>
        <w:gridCol w:w="146"/>
        <w:gridCol w:w="211"/>
        <w:gridCol w:w="571"/>
        <w:gridCol w:w="146"/>
        <w:gridCol w:w="146"/>
        <w:gridCol w:w="211"/>
        <w:gridCol w:w="571"/>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and December 31, 2024, the Company maintained a full valuation allowance on deferred tax assets. The income tax benefit recorded during the three and nine months ended September 30, 2025 and 2024 was for the Company’s estimates for its state research and development tax credits in each given year.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2025, the “One Big Beautiful Bill Act” (the “Act”) was enacted into law. The Act includes changes to U.S. tax law that will be applicable to the Company beginning in fiscal year 2026. These changes include, among others, modifications to capitalization of research and development expenses. We are currently in the process of evaluating the impact of the Act on our Condensed Consolidated Financial Statements.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3404"/>
        <w:gridCol w:w="146"/>
        <w:gridCol w:w="211"/>
        <w:gridCol w:w="1141"/>
        <w:gridCol w:w="166"/>
        <w:gridCol w:w="146"/>
        <w:gridCol w:w="211"/>
        <w:gridCol w:w="1141"/>
        <w:gridCol w:w="166"/>
        <w:gridCol w:w="146"/>
        <w:gridCol w:w="211"/>
        <w:gridCol w:w="1141"/>
        <w:gridCol w:w="166"/>
        <w:gridCol w:w="146"/>
        <w:gridCol w:w="211"/>
        <w:gridCol w:w="1141"/>
        <w:gridCol w:w="311"/>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used in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145,104,986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101,282,228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131,122,754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100,616,111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shares outstanding includes the weighted average effect of the Company’s pre-funded warrants from the date of issuance, the exercise of which requires little or no consideration for the delivery of shares of common stock. As of September 30, 2025 and December 31, 2024, the Company had pre-funded warrants to purchase 17,248,948 and 23,211,642 shares of common stock, respectively, which were issued in the April 2022 Private Placement and the September 2022 Offering, which warrants are included in the weighted average common shares used in calculating the net loss per share attributable to common stockholders, basic and diluted, for each of the three and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September 30, 2025 and 2024, respectively, were excluded from the calculation of diluted net loss per share attributable to common stockholders for the periods indicated because including them would have had an anti-dilutive effect:</w:t>
      </w:r>
    </w:p>
    <w:tbl>
      <w:tblPr>
        <w:tblW w:w="5819" w:type="dxa"/>
        <w:jc w:val="left"/>
        <w:tblInd w:w="0" w:type="dxa"/>
        <w:tblLayout w:type="fixed"/>
        <w:tblCellMar>
          <w:top w:w="28" w:type="dxa"/>
          <w:left w:w="28" w:type="dxa"/>
          <w:bottom w:w="28" w:type="dxa"/>
          <w:right w:w="28" w:type="dxa"/>
        </w:tblCellMar>
      </w:tblPr>
      <w:tblGrid>
        <w:gridCol w:w="2726"/>
        <w:gridCol w:w="146"/>
        <w:gridCol w:w="146"/>
        <w:gridCol w:w="1036"/>
        <w:gridCol w:w="146"/>
        <w:gridCol w:w="146"/>
        <w:gridCol w:w="146"/>
        <w:gridCol w:w="1036"/>
        <w:gridCol w:w="291"/>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7,940,468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11,296,265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17,644,172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segment, which is also the Company’s only operating segment. Such segment is the business of developing and commercializing the investigational therapy Haduvio (oral nalbuphine ER) for the treatment of chronic cough in patients with IPF, non-IPF ILD, and RCC. The Company’s chief operating decision maker (“CODM”) is the President and Chief Executive Officer. The CODM assesses performance for the segment and decides how to allocate resources based on consolidated net loss that is also reported on the Company’s consolidated statements of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uses consolidated net loss to evaluate the Company’s spend and monitor budget versus actual results. The monitoring of budgeted versus actual results is used in assessing performance of the segment and in establishing resource allocation across the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Note 2 of the notes to the Condensed Consolidated Financial Statements included in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reportable segment loss, including significant expense categories, attributable to the Company’s reportable segment for the periods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64"/>
        <w:gridCol w:w="146"/>
        <w:gridCol w:w="211"/>
        <w:gridCol w:w="676"/>
        <w:gridCol w:w="166"/>
        <w:gridCol w:w="146"/>
        <w:gridCol w:w="211"/>
        <w:gridCol w:w="676"/>
        <w:gridCol w:w="166"/>
        <w:gridCol w:w="146"/>
        <w:gridCol w:w="253"/>
        <w:gridCol w:w="812"/>
        <w:gridCol w:w="199"/>
        <w:gridCol w:w="174"/>
        <w:gridCol w:w="253"/>
        <w:gridCol w:w="812"/>
        <w:gridCol w:w="294"/>
      </w:tblGrid>
      <w:tr>
        <w:trPr/>
        <w:tc>
          <w:tcPr>
            <w:tcW w:w="4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Chronic cough in IPF clinical trial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Refractory chronic cough 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trials and studies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development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(excluding 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36,496</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(1) Includes</w:t>
      </w:r>
      <w:r>
        <w:rPr>
          <w:rFonts w:ascii="Times New Roman" w:hAnsi="Times New Roman"/>
          <w:color w:val="000000"/>
          <w:sz w:val="20"/>
        </w:rPr>
        <w:t xml:space="preserve"> </w:t>
      </w:r>
      <w:r>
        <w:rPr>
          <w:rFonts w:ascii="Times New Roman" w:hAnsi="Times New Roman"/>
          <w:color w:val="000000"/>
          <w:sz w:val="17"/>
        </w:rPr>
        <w:t>expense related to the Company’s drug-drug interaction study, human abuse potential study, Phase 2 CANAL trial of Haduvio for the treatment of chronic cough in patients with IPF, and Phase 2b/3 PRISM trial of Haduvio for the treatment of prurigo nodularis.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(2) Includes expense related to general research and development activities, regulatory, medical affairs, and quality assurance.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(3) Includes general administrative expense, interest expense, net, other (expense) income, net and income tax benefit.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Collaborative and Licensing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collaborative and licensing agreements with pharmaceutical companies to in-license, develop, manufacture and/or market products that fit within its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Endo,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2011, the Company entered into an agreement with Penwest Pharmaceuticals Co., which subsequently merged into its parent, Endo, Inc., formerly known as Endo Pharmaceuticals Inc. and which has since been acquired by Mallinckrodt plc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commitments under lease and licensing agreements (Note 5 and Note 11).</w:t>
      </w:r>
    </w:p>
    <w:p>
      <w:pPr>
        <w:pStyle w:val="TextBody"/>
        <w:bidi w:val="0"/>
        <w:spacing w:before="240" w:after="283"/>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2024 included in our Annual Report on Form 10-K, filed with the Securities and Exchange Commission, or SEC, on March 18, 2025.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 Haduvio is an oral extended-release formulation of nalbuphine. Haduvio acts on the cough reflex arc both centrally and peripherally as a kappa agonist and a mu antagonist (KAMA), targeting opioid receptors that play a key role in controlling chronic cough. The kappa- and mu-opioid receptors are known to be critical mediators of cough. Nalbuphine is a mixed kappa-opioid receptor agonist and mu-opioid receptor antagonist that has been approved and marketed as an injectable for pain indications for more than 30 years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sz w:val="20"/>
        </w:rPr>
      </w:pPr>
      <w:r>
        <w:rPr>
          <w:rFonts w:ascii="Times New Roman" w:hAnsi="Times New Roman"/>
          <w:i/>
          <w:color w:val="000000"/>
          <w:sz w:val="20"/>
        </w:rPr>
        <w:t>Chronic Cough in Patients with IPF Program.</w:t>
      </w:r>
      <w:r>
        <w:rPr>
          <w:rFonts w:ascii="Times New Roman" w:hAnsi="Times New Roman"/>
          <w:color w:val="000000"/>
          <w:sz w:val="20"/>
        </w:rPr>
        <w:t xml:space="preserve"> In June 2025, we announced positive topline results of our Phase 2b CORAL trial, which was a dose-ranging study evaluating the efficacy, safety and tolerability of Haduvio for chronic cough in patients with IPF. The Phase 2b CORAL trial (N=165) was conducted at multiple sites in ten countries and used a randomized, double-blind, placebo-controlled, parallel-arm design, which evaluated three doses of Haduvio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r>
        <w:rPr>
          <w:rFonts w:ascii="Times New Roman" w:hAnsi="Times New Roman"/>
          <w:color w:val="000000"/>
          <w:sz w:val="13"/>
        </w:rPr>
        <w:t>1</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shows the data for the primary endpoint – Relative Change from Baseline in 24-hour Cough Frequency (coughs per hour) at Week 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315" w:type="dxa"/>
        <w:jc w:val="left"/>
        <w:tblInd w:w="0" w:type="dxa"/>
        <w:tblLayout w:type="fixed"/>
        <w:tblCellMar>
          <w:top w:w="28" w:type="dxa"/>
          <w:left w:w="28" w:type="dxa"/>
          <w:bottom w:w="28" w:type="dxa"/>
          <w:right w:w="28" w:type="dxa"/>
        </w:tblCellMar>
      </w:tblPr>
      <w:tblGrid>
        <w:gridCol w:w="3121"/>
        <w:gridCol w:w="856"/>
        <w:gridCol w:w="1021"/>
        <w:gridCol w:w="1636"/>
        <w:gridCol w:w="1681"/>
      </w:tblGrid>
      <w:tr>
        <w:trPr/>
        <w:tc>
          <w:tcPr>
            <w:tcW w:w="312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Placebo</w:t>
            </w:r>
            <w:r>
              <w:rPr>
                <w:rFonts w:ascii="Times New Roman" w:hAnsi="Times New Roman"/>
                <w:b/>
                <w:color w:val="000000"/>
                <w:sz w:val="13"/>
              </w:rPr>
              <w:t>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(N=39)</w:t>
            </w:r>
          </w:p>
        </w:tc>
        <w:tc>
          <w:tcPr>
            <w:tcW w:w="10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Haduvio</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27 mg BID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(N=42)</w:t>
            </w:r>
          </w:p>
        </w:tc>
        <w:tc>
          <w:tcPr>
            <w:tcW w:w="16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Haduvio</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54 mg BID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(N=43)</w:t>
            </w:r>
          </w:p>
        </w:tc>
        <w:tc>
          <w:tcPr>
            <w:tcW w:w="16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Haduvio</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108 mg BID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(N=40)</w:t>
            </w:r>
          </w:p>
        </w:tc>
      </w:tr>
      <w:tr>
        <w:trPr/>
        <w:tc>
          <w:tcPr>
            <w:tcW w:w="312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Baseline 24-hour Cough Frequency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(coughs/hour)</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29.4</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28.0</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w:t>
            </w:r>
          </w:p>
        </w:tc>
      </w:tr>
      <w:tr>
        <w:trPr/>
        <w:tc>
          <w:tcPr>
            <w:tcW w:w="31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Relative Change from Baseline in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24-hour Cough Frequency at Week 6</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-16.9%</w:t>
            </w:r>
          </w:p>
        </w:tc>
        <w:tc>
          <w:tcPr>
            <w:tcW w:w="10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-47.9%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(p&lt;0.01)</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-53.4% (p&lt;0.0001)</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-60.2% (p&lt;0.0001)</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Placebo-adjusted difference</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-30.9%</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-36.5%</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2"/>
        </w:rPr>
        <w:t>1</w:t>
      </w:r>
      <w:r>
        <w:rPr>
          <w:rFonts w:ascii="Times New Roman" w:hAnsi="Times New Roman"/>
          <w:i/>
          <w:color w:val="000000"/>
          <w:sz w:val="18"/>
        </w:rPr>
        <w:t>One placebo patient with an extreme outlier value at Week 6 was excluded from the modified intent-to-treat (“mITT”) population. Inclusion of the patient in the placebo group would have resulted in an increased cough frequency from Baseline in the placebo group and much greater placebo-adjusted differences.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rapid reduction was seen in 24-hour cough frequency as early as Week 2 with Haduvio, the first time point measured.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50% reduction in 24-hour cough frequency at Week 6 vs Baseline was seen in 65% of patients on 108 mg BID Haduvio (p&lt;0.001), 63% of patients on 54 mg BID Haduvio (p&lt;0.001) and 60% of patients on 27 mg BID Haduvio (p&lt;0.001) dose groups, compared to 19% of placebo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statistically significant response was observed on the cough-severity numerical rating scale (CS-NRS), a secondary endpoint, at Week 6 on Haduvio in both the 108 mg BID and 54 mg BID dose groups. There was a mean reduction on a 0 – 10 scale of 3.0 points on the 108 mg BID (p&lt;0.05), 3.2 points on the 54 mg BID (p&lt;0.01) and 2.0 points on the 27 mg BID (p=0.46) dose groups compared to a 1.5-point reduction on placebo at Week 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108 mg BID and 54 mg BID dose groups were statistically significant (p&lt;0.01) on the patient-reported outcome E-RS®: IPF Cough Subscale, a secondary endpoint, with mean relative change from Baseline of -42.4% and -43.1%, respectively at Week 6, compared to -23% for those on placebo at Week 6. The 27 mg BID dose group was not statistically significant with a mean relative change from Baseline of –31.6%.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Discontinuation rates due to adverse events were similar in the combined Haduvio groups (5.6%) and placebo group (5.0%). The safety profile observed in the trial was generally consistent with the known safety profile of Haduvio from previous trials. The most common adverse events experienced included: nausea, vomiting, constipation, dizziness, headache, fatigue, somnolence, and dry mouth. Serious adverse events (all non-fatal) were reported for four patients (10.0%) in the placebo group and for two patients (1.6%) across all Haduvio doses combined.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trial showed positive results with Haduvio on the Leicester Cough Questionnaire (LCQ) Total Score for the 108 mg BID and 54 mg BID dose groups, increasing the LCQ score by 3.4 points (p=0.01) and 3.7 points (p=0.01), respectively. A 1.3-point increase from Baseline is considered clinically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request an End-of-Phase 2 meeting with the FDA in the fourth quarter of 2025 and initiate our Phase 3 program for Haduvio for chronic cough in patients with IPF in the first half of 2026, subject to alignment on the study designs with the FDA.</w:t>
      </w:r>
    </w:p>
    <w:p>
      <w:pPr>
        <w:pStyle w:val="TextBody"/>
        <w:bidi w:val="0"/>
        <w:spacing w:before="120" w:after="283"/>
        <w:jc w:val="left"/>
        <w:rPr>
          <w:rFonts w:ascii="Times New Roman" w:hAnsi="Times New Roman"/>
          <w:sz w:val="20"/>
        </w:rPr>
      </w:pPr>
      <w:r>
        <w:rPr>
          <w:rFonts w:ascii="Times New Roman" w:hAnsi="Times New Roman"/>
          <w:color w:val="000000"/>
          <w:sz w:val="20"/>
        </w:rPr>
        <w:t>We are also conducting a Phase 1 respiratory function and safety study, which we refer to as TIDAL, in the U.K. and U.S. and we have screened and enrolled patients. TIDAL is a multi-center, open-label, in-clinic, fixed-sequence placebo to nalbuphine ER dose escalation study assessing overnight respiratory function and safety in patients with IPF. We expect to enroll approximately ten patients who will be in-clinic for ten days. The goal of the study is to assess the safety and tolerability of Haduvio as well as the effect on respiratory function and safety in subjects with IPF based on assessment of end tidal partial pressure of carbon dioxide by capnography (PetCO</w:t>
      </w:r>
      <w:r>
        <w:rPr>
          <w:rFonts w:ascii="Times New Roman" w:hAnsi="Times New Roman"/>
          <w:color w:val="000000"/>
          <w:sz w:val="13"/>
        </w:rPr>
        <w:t>2</w:t>
      </w:r>
      <w:r>
        <w:rPr>
          <w:rFonts w:ascii="Times New Roman" w:hAnsi="Times New Roman"/>
          <w:color w:val="000000"/>
          <w:sz w:val="20"/>
        </w:rPr>
        <w:t>), oxygen saturation (SpO</w:t>
      </w:r>
      <w:r>
        <w:rPr>
          <w:rFonts w:ascii="Times New Roman" w:hAnsi="Times New Roman"/>
          <w:color w:val="000000"/>
          <w:sz w:val="13"/>
        </w:rPr>
        <w:t>2</w:t>
      </w:r>
      <w:r>
        <w:rPr>
          <w:rFonts w:ascii="Times New Roman" w:hAnsi="Times New Roman"/>
          <w:color w:val="000000"/>
          <w:sz w:val="20"/>
        </w:rPr>
        <w:t>), and respiratory rate. The study is intended to better characterize the physiological effects of administering nalbuphine ER at the intended therapeutic doses on parameters of respiration important for patients with IPF. The safety review committee met to review data for the sentinel cohort of patients and concluded there were no safety signals and gave approval to complete enrollment. We expect to have data in the fourth quarter of 2025 and to include the data with our End-of-Phase 2 meeting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announced positive data from the full set of patients in our Phase 2 clinical trial of Haduvio for the treatment of chronic cough in patients with IPF, which we refer to as the Phase 2 CANAL trial. The Phase 2 CANAL trial was a randomized, double-blind, placebo controlled, two-treatment, two-period, crossover study that was designed to evaluate the efficacy, safety, tolerability and dosing of Haduvio for chronic cough in patients with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Chronic Cough in Patients with non-IPF ILD Program. </w:t>
      </w:r>
      <w:r>
        <w:rPr>
          <w:rFonts w:ascii="Times New Roman" w:hAnsi="Times New Roman"/>
          <w:color w:val="000000"/>
          <w:sz w:val="20"/>
        </w:rPr>
        <w:t>We also plan to develop Haduvio for the treatment of chronic cough in patients with non-IPF ILD. We plan to conduct a clinical trial in non-IPF ILD patients who have underlying fibrosis, along with chronic cough.</w:t>
      </w:r>
    </w:p>
    <w:p>
      <w:pPr>
        <w:pStyle w:val="TextBody"/>
        <w:bidi w:val="0"/>
        <w:spacing w:before="120" w:after="283"/>
        <w:jc w:val="left"/>
        <w:rPr>
          <w:rFonts w:ascii="Times New Roman" w:hAnsi="Times New Roman"/>
          <w:sz w:val="20"/>
        </w:rPr>
      </w:pPr>
      <w:r>
        <w:rPr>
          <w:rFonts w:ascii="Times New Roman" w:hAnsi="Times New Roman"/>
          <w:i/>
          <w:color w:val="000000"/>
          <w:sz w:val="20"/>
        </w:rPr>
        <w:t>RCC Program.</w:t>
      </w:r>
      <w:r>
        <w:rPr>
          <w:rFonts w:ascii="Times New Roman" w:hAnsi="Times New Roman"/>
          <w:color w:val="000000"/>
          <w:sz w:val="20"/>
        </w:rPr>
        <w:t xml:space="preserve"> We are also developing Haduvio for the treatment of patients with RCC. In March 2025, we announced positive topline data from our Phase 2a clinical trial of Haduvio in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We conducted this trial at multiple sites in the United Kingdom and Canada. In total, 66 patients in the trial received Haduvio. The primary endpoint of the trial was the mean change in 24-hour cough frequency, as determined by an objective cough monitor, for the full analysis set population at Day 21. The full analysis set population included all patients who received at least one dose of study drug and have objective cough count data on both Baseline and Day 21 in at least one treatment period (N=59). In the trial, Haduvio met the primary endpoint with a statistically significant reduction in the objective 24-hour cough frequency of 67% from Baseline and 57% on a placebo-adjusted basis (p&lt;0.0001). Planned analyses of all pre-specified secondary endpoints, including patient reported endpoints, at the end of treatment were also statistically significant. Haduvio demonstrated a statistically significant reduction for the secondary endpoint of reduction in 24-hour cough frequency in two pre-specified subgroups: patients who coughed 10-19 times/hour (moderate 24-hour cough frequency) (p&lt;0.0001), and patients who coughed 20 or greater times/hour (severe 24-hour cough frequency) (p&lt;0.0001). The safety results of the trial were generally consistent with the known safety profile of Haduvio from previous trials in other patient populations and there were no serious adverse events reported in the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designing our next trial of Haduvio in patients with RCC which we plan to initiate as a Phase 2b trial in the first half of 2026. We expect the objectives for the trial will be to determine the doses to be evaluated in the Phase 3 clinical trial as well as to further characterize safety in this specific patient population.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NDA Supportive Studies. </w:t>
      </w:r>
      <w:r>
        <w:rPr>
          <w:rFonts w:ascii="Times New Roman" w:hAnsi="Times New Roman"/>
          <w:color w:val="000000"/>
          <w:sz w:val="20"/>
        </w:rPr>
        <w:t>We also plan to continue to progress and advance other NDA supportive studies necessary for regulatory approval. Other NDA supportive studies include Phase 1 clinical studies such as drug-drug interaction, food effect, and renal impairment studies. In October 2025, we completed our Phase 1 drug-drug interaction study to evaluate the co-administration of Haduvio with pirfenidone or nintedanib in healthy adult subjects. Pirfenidone and nintedanib are prescribed as anti-fibrotic therapies in a significant portion of patients with IPF. The results of the study concluded coadministration of Haduvio with pirfenidone and nintedanib showed no clinically meaningful pharmacokinetic findings for nalbuphine ER or either of the antifibrotics when given in combination. No dose adjustments for any of the drugs are required when Haduvio is administered concomitantly with these agents. In December 2024, we announced positive topline results from a human abuse potential, or HAP, study that demonstrated a statistically significant lower "Drug Liking" for the clinical doses of oral nalbuphine compared to intravenous butorphanol.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September 30, 2025, we had an accumulated deficit of $321.5 million, primarily as a result of research and development and general and administrative expenses. We do not expect to generate product revenue unless and until we obtain marketing approval for and commercialize Haduvio for the treatment of chronic cough in patients with IPF, non-IPF ILD, or RCC and we can provide no assurance that we will ever generate significant revenue or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cash, cash equivalents and marketable securities of $194.9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planned Phase 3 program for the treatment of chronic cough in patients with IPF, our planned clinical trial of Haduvio for the treatment of chronic cough in patients with non-IPF ILD, our next clinical trial of Haduvio for the treatment of patients with RCC, which we are planning as a Phase 2b trial, our ongoing Phase 1 TIDAL respiratory function and safety study in patients with IPF of varying disease severity, and any supportive studies necessary for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development and commercialization of Haduvio. Until such time that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as a result of increased personnel costs, including stock-based compensation and expanded infrastructure. We also anticipate that our general and administrative expenses will increase as we expect to continue to incur increased costs as we continue to prepare for compliance with Section 404 of the Sarbanes-Oxley Act of 2002, or SOX 404(b), during the remainder of 2025 and into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consists of foreign currency transaction gains and losses.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the interest expense associated with our finance lease.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left"/>
        <w:rPr/>
      </w:pPr>
      <w:r>
        <w:rPr/>
        <w:t> </w:t>
      </w:r>
    </w:p>
    <w:tbl>
      <w:tblPr>
        <w:tblW w:w="665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63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7253"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211"/>
        <w:gridCol w:w="631"/>
        <w:gridCol w:w="31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September 30, 2025 decreased to $10.1 million from $11.2 million for the corresponding period in 2024, primarily due to decreased clinical development expenses for our Phase 2a RIVER trial, our HAP study, and our Phase 2b CORAL trial, all of which were actively enrolling patients in the prior year period. These decreases were partially offset by increased costs for our recently completed Phase 1 drug-drug interaction study and personnel-related expenses.</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September 30, 2025 increased to $3.8 million from $2.9 million for the corresponding period in 2024, primarily due to an increase in professional fees and personnel-related expenses. The increased outside services and professional fees were primarily due to increased costs as we continue to prepare for compliance with SOX 404(b). The increased personnel-related expenses were primarily due to severance costs along with increased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three months ended September 30, 2025 was $2.1 million compared to other income, net of $0.8 million for the corresponding period in 2024. The change was primarily due to an increase in interest income from higher invested cash equivalent and marketable securities balances.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665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63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spacing w:before="120" w:after="283"/>
        <w:jc w:val="left"/>
        <w:rPr/>
      </w:pPr>
      <w:r>
        <w:rPr/>
        <w:t> </w:t>
      </w:r>
    </w:p>
    <w:tbl>
      <w:tblPr>
        <w:tblW w:w="7233"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211"/>
        <w:gridCol w:w="63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nine months ended September 30, 2025 decreased to $27.3 million from $30.0 million for the corresponding period in 2024, primarily due to decreased clinical development expenses for our HAP study, our Phase 2a RIVER trial, and our Phase 2b CORAL trial, all of which were actively enrolling patients in the prior year period. These decreases were partially offset by increased costs incurred associated with our recently completed Phase 1 drug-drug interaction study and personnel-related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for the nine months ended September 30, 2025 increased to $11.8 million from $9.2 million for the corresponding period in 2024, primarily due to an increase in professional fees and personnel-related expenses. The increased outside services and professional fees were primarily due to increased costs as we continue to prepare for compliance with SOX 404(b). The increased personnel-related expenses were primarily due to severance costs along with increased headcount.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nine months ended September 30, 2025 was $4.6 million compared to other income, net of $2.7 million for the corresponding period in 2024. The change was primarily due to an increase in interest income from higher invested cash equivalent and marketable securities balances.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and have incurred significant operating losses and negative cash flows from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2025, we issued and sold 17,400,000 shares of our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we also granted the underwriters a 30-day option to purchase up to an additional 2,610,000 shares of common stock at the price to the public, less underwriting discounts and commissions. The underwriters option was exercised in full and settled in cash, concurrent with the offering. The June 2025 Offering resulted in aggregate gross proceeds to us of approximately $115.1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we issued and sold 12,500,000 shares of our common stock to certain investors in an underwritten registered direct offering, or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approximately $50.0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we entered into a sales agreement, or the 2020 ATM Sales Agreement, with SVB Securities LLC, or SVB Securities, under which we were able to issue and sell shares of common stock, from time to time, having an aggregate offering price of up to $12.0 million. In May 2022, we and SVB Securities amended the 2020 ATM Sales Agreement to increase the maximum aggregate offering price of common stock that we were able to issue and sell from time to time under the 2020 ATM Sales Agreement by $50.0 million, from $12.0 million to up to $62.0 million. Sales of common stock under the 2020 ATM Sales Agreement were able to be made by any method that was deemed an “at-the-market” offering as defined in Rule 415(a)(4) under the Securities Act. We were not obligated to make any sales of our common stock under the 2020 ATM Sales Agreement. We began making sales pursuant to the 2020 ATM Sales Agreement in July 2020. Through August 15, 2023, the date of termination of the 2020 ATM Sales Agreement, we had issued and sold an aggregate of 4,333,394 shares of common stock for gross proceeds of $12.7 million, before deducting estimated commissions and allocated fees of $1.0 million. 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LLC (formerly SVB Securities), which we refer to as the 2023 ATM Sales Agreement,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2020 ATM Sales Agreement terminated upon effectiveness of the Shelf Registration Statement, at which point we were no longer able to issue and sell shares of our common stock under the 2020 ATM Sales Agreement. As of December 31, 2024, we had issued and sold 4,498,065 shares of common stock for gross proceeds of $14.6 million, before deducting estimated commissions and allocated fees of $0.5 million under the 2023 ATM Sales Agreement. No shares have been sold under the 2023 ATM Sales Agreement for the nine months ended September 30, 2025. On June 2, 2025, we terminated the prospectus relating to the 2023 ATM Sales Agreement. We may not make any sales of our common stock pursuant to the 2023 ATM Sales Agreement unless and until a new prospectus or prospectus supplement relating to the shares of common stock to be issued and sold pursuant to the 2023 ATM Sales Agreement is filed. The 2023 ATM Sales Agreement otherwise remains in full force and effect.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below (in thousands):</w:t>
      </w:r>
    </w:p>
    <w:tbl>
      <w:tblPr>
        <w:tblW w:w="8613" w:type="dxa"/>
        <w:jc w:val="left"/>
        <w:tblInd w:w="0" w:type="dxa"/>
        <w:tblLayout w:type="fixed"/>
        <w:tblCellMar>
          <w:top w:w="28" w:type="dxa"/>
          <w:left w:w="28" w:type="dxa"/>
          <w:bottom w:w="28" w:type="dxa"/>
          <w:right w:w="28" w:type="dxa"/>
        </w:tblCellMar>
      </w:tblPr>
      <w:tblGrid>
        <w:gridCol w:w="4521"/>
        <w:gridCol w:w="146"/>
        <w:gridCol w:w="211"/>
        <w:gridCol w:w="781"/>
        <w:gridCol w:w="166"/>
        <w:gridCol w:w="146"/>
        <w:gridCol w:w="211"/>
        <w:gridCol w:w="736"/>
        <w:gridCol w:w="166"/>
        <w:gridCol w:w="146"/>
        <w:gridCol w:w="211"/>
        <w:gridCol w:w="781"/>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operating activities used $34.5 million of net cash, resulting from our net loss of $34.4 million and net changes in our operating assets and liabilities of $3.2 million, offset by net non-cash charges of $3.2 million. Changes in our operating assets and liabilities consisted of a $1.6 million increase in prepaid expenses and other current assets, a $0.9 million decrease in accrued expenses and other liabilities and a $0.7 million decrease in accounts payable. The increase in prepaid expenses and other current assets was primarily due to an increase in accrued interest and dividends receivable from our higher invested cash equivalent and marketable securities balance, as well as an increase in prepayments related to our clinical trial work performed by our CROs and prepayments of our corporate insurance policies. The decrease in accrued expenses and other liabilities was primarily due to a decrease in accruals for clinical development and clinical trial work performed by our CROs and a decrease in accrued compensation and benefits. The decrease in accounts payable was primarily due to the timing of vendor invoices. The non-cash charges consisted primarily of stock-based compensation expense of $3.8 million, $0.3 million change in value of our operating lease right-of-use assets and liabilities, partially offset by $1.1 million of accretion of our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operating activities used $28.7 million of net cash, resulting from our net loss of $36.5 million partially offset by net changes in our operating assets and liabilities of $5.8 million and net non-cash charges of $2.0 million. Changes in our operating assets and liabilities consisted of a $3.3 million increase in accrued expenses and other liabilities and a $2.7 million decrease in prepaid expenses and other current assets partially offset by a $0.2 million decrease in accounts payable. The increase in accrued expenses and other liabilities was primarily due to an increase in accruals for clinical development and clinical trial work performed by our CROs. The decrease in prepaid expenses and other current assets was primarily due to a decrease in prepayments related to our clinical trial work performed by our CROs. The decrease in accounts payable was primarily due to the timing of vendor invoices. The non-cash charges consisted primarily of stock-based compensation expense of $2.7 million, $0.3 million change in value of our operating lease right-of-use assets and liabilities and $0.1 million of depreciation and amortization, partially offset by $1.1 million of accretion of our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net cash used in investing activities was $63.5 million, primarily related to $116.3 million of purchases of available-for-sale marketable securities partially offset by $52.8 million of proceeds from maturities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net cash provided by investing activities was $2.3 million, primarily related to $55.6 million of proceeds from maturities of available-for-sale marketable securities partially offset by $53.3 million of purchases of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net cash provided by financing activities was $120.7 million, primarily consisting of cash proceeds of $108.2 million, net of commissions from sales of our common stock in our June 2025 Offering, $10.8 million from the exercise of warrants, $1.9 million from the exercise of stock options and $0.7 million from the disgorgement of short swing profits from a beneficial owner of our common stock, partially offset by $0.8 million in payments of offering costs related to the June 2025 and December 2024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net cash provided by financing activities was $10.0 million, primarily consisting of cash proceeds of $9.7 million, net of commissions, from sales of our common stock under the 2023 ATM Sales Agreement, and $0.4 million of cash proceeds from the exercise of stock options, partially offset by $0.1 million of payments on our finance lease.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Phase 3 program and any additional trials of Haduvio for the treatment of chronic cough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clinical trial and any additional trials of Haduvio for the treatment of chronic cough in patients with non-IPF ILD;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next clinical trial and any additional trials of Haduvio for the treatment of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Phase 1 TIDAL study to evaluate the effect of Haduvio on respiratory function and safety in patients with IPF of varying disease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planned Phase 1 NDA supportive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and planned resources necessary to support the conduct of these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costs associated with operating as a public company, including significant legal, accounting, information technology, investor relations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planned Phase 3 program of Haduvio for the treatment of chronic cough in patients with IPF, our planned clinical trial of Haduvio for the treatment of chronic cough in patients with non-IPF ILD, our next clinical trial in patients with RCC, our ongoing Phase 1 TIDAL study to evaluate the effect of Haduvio on respiratory function and safety in patients with IPF of varying disease severity, and our planned Phase 1 NDA supportive studies, as well as trials for any future product candidates and the costs of seeking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patients with IPF, non-IPF ILD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non-IPF ILD or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Endo,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2028, subject to alignment on the study designs with the FDA. We expect these resources will enable us to fund two Phase 3 trials of Haduvio for the treatment of chronic cough in patients with IPF along with an open-label extension, our planned trial in chronic cough in patients with non-IPF ILD, our next trial in patients with RCC, our ongoing Phase 1 TIDAL study to evaluate the effect of Haduvio on respiratory function and safety in patients with IPF of varying disease severity, and our planned Phase 1 NDA supportive studies. However, these resources will not be sufficient for us to fund Haduvio for any indication or any future product candidates through regulatory approval, and we will need to raise substantial additional capital to complete the development and commercialization of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color w:val="000000"/>
          <w:sz w:val="20"/>
        </w:rPr>
        <w:t>We do not have any committed external source of funds.</w:t>
      </w:r>
      <w:r>
        <w:rPr>
          <w:rFonts w:ascii="Times New Roman" w:hAnsi="Times New Roman"/>
          <w:color w:val="FF0000"/>
          <w:sz w:val="20"/>
        </w:rPr>
        <w:t xml:space="preserve"> </w:t>
      </w:r>
      <w:r>
        <w:rPr>
          <w:rFonts w:ascii="Times New Roman" w:hAnsi="Times New Roman"/>
          <w:color w:val="000000"/>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non-IPF ILD or RCC or any other indication, including to conduct our planned clinical trials to completion.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45 to 60 days' prior written notice to the CRO, and therefore we believe that our non-cancelable obligations under these agreements are not material. For information related to our future commitments relating to our lease and licensing agreements, see Note 5, “Leases” and Note 11, “Collaborative and Licensing Agreements” of our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2024, is the most important to understanding and evaluating our reported financial results. During the nine months ended September 30, 2025, there were no material changes to our critical accounting policies.</w:t>
      </w:r>
    </w:p>
    <w:p>
      <w:pPr>
        <w:pStyle w:val="TextBody"/>
        <w:bidi w:val="0"/>
        <w:spacing w:before="12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2025.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September 30, 2025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expect to incur significant and increasing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annual net losses every year since our inception. We expect to continue to incur significant and increasing net losses for at least the next several years. Our net losses were $34.4 million and $47.9 million for the nine months ended September 30, 2025 and for the year ended December 31, 2024, respectively. As of September 30, 2025, we had an accumulated deficit of $321.5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and conduct clinical trials of Haduvio, including our planned Phase 3 program of Haduvio for the treatment of chronic cough in patients with idiopathic pulmonary fibrosis, or IPF, our planned clinical trial of Haduvio for the treatment of chronic cough in patients with non-IPF interstitial lung disease, or non-IPF ILD, our next clinical trial of Haduvio for the treatment of patients with refractory chronic cough, or RCC, our ongoing Phase 1 TIDAL study to evaluate the effect of Haduvio on respiratory function and safety in patients with IPF of varying disease severity, and our planned Phase 1 NDA supportive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 for the treatment of chronic cough in patients with IPF, non-IPF ILD or RCC or for any future product candidate that successfully completes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and execute pediatric development plans and complete any post-approval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sales, marketing, distribution and other commercial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Haduvio or any future product candidate for clinical development and, potentially,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rights to other potential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conduct research, preclinical and clinical development efforts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personnel, such as clinical, regulatory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commercialization efforts and to help us comply with our obligations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equipment and physical infrastructure to support our development program for Haduvio and for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patients with IPF, we may be required to successfully complete a Phase 3 program that includes two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 products approved for commercial sale, which may make it difficult to evaluate the prospects for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history of successfully developing and commercializing 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funding and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2025 and the year ended December 31, 2024, we used net cash of $34.5 million and $38.3 million, respectively, in our operating activities, substantially all of which related to development activities for Haduvio. As of September 30, 2025, our cash, cash equivalents and marketable securities were $194.9 million. We expect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to increase substantially in connection with our ongoing activities, particularly as we continue to develop Haduvio, including as and if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3 program and any additional trials of Haduvio for the treatment of chronic cough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planned clinical trial and any additional trials of Haduvio for the treatment of chronic cough in patients with non-IPF ILD;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next clinical trial and any additional trials of Haduvio for the treatment of patients with RCC;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Phase 1 TIDAL study to evaluate the effect of Haduvio on respiratory function and safety in patients with IPF of varying disease severity;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1 NDA supportive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additional clinical trials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acquire or in-license rights to or develop other potential product candidates or technologies and seek regulatory and marketing approvals for Haduvio or any future product candidate that successfully completes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or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patients with IPF, non-IPF ILD,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will enable us to fund our operating expenses and capital expenditure requirements into 2028, subject to alignment on the study designs with the FDA. We expect these resources will enable us to fund two Phase 3 trials of Haduvio for the treatment of chronic cough in patients with IPF along with an open-label extension, our planned trial in chronic cough in patients with non-IPF ILD, our next trial in patients with RCC, our ongoing Phase 1 TIDAL study to evaluate the effect of Haduvio on respiratory function and safety in patients with IPF of varying disease severity, and our planned Phase 1 NDA supportive studies. However, these resources will not be sufficient for us to fund Haduvio for any indication or any future product candidates through regulatory approval, and we will need to raise substantial additional capital to complete the development and commercialization of Haduvio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planned Phase 3 program of Haduvio for the treatment of chronic cough in patients with IPF, our planned trial of Haduvio for the treatment of chronic cough in patients with non-IPF ILD, our next clinical trial for the treatment of patients with RCC, our ongoing Phase 1 TIDAL study to evaluate the effect of Haduvio on respiratory function and safety in patients with IPF of varying disease severity, and our planned Phase 1 NDA supportive studies as well as trials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and non-clinical trials and of seeking regulatory approvals, including the costs of supportive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patients with IPF, non-IPF ILD,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non-IPF ILD, or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Endo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in connection with our planned operations, particularly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3 program of Haduvio for the treatment of chronic cough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clinical trial of Haduvio for the treatment of chronic cough in patients with non-IPF ILD and any additional trials of Haduvio for the treatment of chronic cough in patients with non-IPF ILD;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next clinical trial and any additional trials of Haduvio for the treatment of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Phase 1 TIDAL study to evaluate the effect of Haduvio on respiratory function and safety in patients with IPF of varying disease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1 NDA supportive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Haduvio and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sale and are investing substantially all our efforts and financial resources to fund the development and commercialization of Haduvio for the treatment of chronic cough in patients with IPF, non-IPF ILD,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most advanced program is for the development of Haduvio for the treatment of chronic cough in patients with IPF. As a result, if our efforts to develop and commercialize Haduvio for the treatment of chronic cough in patients with IPF, non-IPF ILD, and in patients with RCC are unsuccessful or we experience significant delays in doing so, our business could also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Haduvio for the treatment of chronic cough in patients with IPF, non-IPF ILD, and RCC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initiating and successfully recruiting, enrolling and retaining patients in and completing additional clinical and non-clinical trials of Haduvio, including the additional clinical trials we are conducting and plan to conduct for the treatment of chronic cough in patients with IPF, non-IPF ILD and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other supportive Phase 1 clinical studies, including studies for drug-drug interactions, food effect, and renal impairment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tolerability and efficacy profiles that are satisfactory to the FDA, EMA, MHRA and other comparable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our third-party supplier of drug substance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patents, trade secrets and regulatory exclusivity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focused, specialty sales organization in the U.S. and successfully launching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following any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approach to the development and commercialization of Haduvio to treat chronic cough is unproven.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focused on the development and commercialization of Haduvio for the treatment of chronic cough in patients with IPF, non-IPF ILD, and RCC. Haduvio is an oral extended-release formulation of nalbuphine, the active drug ingredient in Haduvio. Haduvio acts on the cough reflex arc both centrally and peripherally as a kappa agonist and a mu antagonist (KAMA), targeting opioid receptors that play a key role in controlling chronic cough. Nalbuphine has been approved and marketed as an injectable for pain indications for more than 30 years in the U.S. and Europe and is currently not commercially available in an oral dosage form.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No therapies have been approved for the treatment of chronic cough in patients with IPF or non-IPF ILD, and no therapies have been approved in the U.S. for the treatment of patients with RCC. Gefapixant has been approved in Europe, Switzerland, and Japan for the treatment of patients with RCC. We can provide no assurance that Haduvio or any other future product candidate that we may seek to develop for chronic cough indications will be effective or safe, obtain regulatory approval or be commercially 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produce unfavorable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decide, or regulators may require us, to restructure clinical trials, conduct additional clinical and non-clinical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obtaining authorization to commence a clinical trial from regulators, clinical sites and institutional review boards;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in clinical trials may be slower than we anticipate or participants may discontinue their participation in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planned clinical trials may be greater than we anticipate, such as if we are required to add additional sites, increase the target number of enrolled patients or use additional incentive strategies to address site activation and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sites may not have adequate staff and resources to support our trials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clinical trial designs or our interpretation of data from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of the importation or handling of drug substance and study equipment necessary to conduct clinical trials of the product candidate may significantly differ between jurisdictions, which could cause delays or prohibit us in delivering drug substance or study equipment to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landscape of available, approved therapies could change in a manner rendering our clinical data insufficient to obtain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costs, which may exceed the resources that we have available or are able to obtain on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we originally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significant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or other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remove the product from the market after obtaining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the regulatory landscape related to clinical trials in the European Union, or E.U., has been evolving.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successfully and timely complete clinical trials of Haduvio for the treatment of chronic cough in patients with IPF, non-IPF ILD, and RCC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demonstrate adequately the safety and efficacy of Haduvio or any future product candidates, which would likely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product candidates. It is also possible that any of our development programs could be placed on full or partial clinical hold by regulatory authorities at any point, which would delay and possibly prevent further development of those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patient-reported outcome assessments, or PROs, in our clinical trials and high placebo response rates may delay or impair the development of Haduvio or adversely impact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primary endpoint in our current and planned clinical trials of Haduvio for the treatment of chronic cough in patients with IPF, chronic cough in patients with non-IPF ILD, and in patients with RCC will be measured using an objective cough monitor, we have or expect to have PRO instruments as secondary endpoints. There is currently no validated PRO instrument that has been accepted for chronic cough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eligible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eligible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facilitate timely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and risks of the product candidate being studied in relation to other available therapies, including any new drugs that may be approved for the indications under investigation.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 successful completion of our clinical development program for Haduvio for the treatment of chronic cough in patients with IPF, non-IPF ILD, and RCC is dependent upon our ability to enroll a sufficient number of patients with these severe conditions. We have experienced delays and difficulties in the enrollment of patients in certain of our clinical trials, including our Phase 2 CANAL trial, which delayed the completion of these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are conducting clinical trials or have announced plans for future clinical trials that are seeking or are likely to seek to enroll patients with IPF, non-IPF ILD and patients with RCC, and patients are often only able to enroll in a single trial at a time. No therapies have been approved for the treatment of chronic cough in patients with IPF or non-IPF ILD and no therapies have been approved in the U.S. for the treatment of patients with RCC. However, patients with these conditions, as well as their physicians, may be reluctant to forgo, discontinue or otherwise alter their use of the therapeutic approaches they currently use in order to participate in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Haduvio, as a KAMA, may be susceptible to side effects associated with drugs having either of those mechanisms of action. Kappa-opioid receptor agonists have been associated with poorly tolerated psychiatric side effects, such as feelings of emotional and mental discomfort or dysphoria and hallucinations, at high doses. While we believe that the mixed kappa-opioid receptor agonist and mu-opioid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Mu-opioid receptor antagonists have the potential to precipitate withdrawal effects in patients who are currently on chronic doses of mu-agonist opiates.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Phase 2b CORAL trial of Haduvio for the treatment of chronic cough in patients with IPF, the most frequently reported treatment emergent adverse events associated with Haduvio were nausea, vomiting, constipation, dizziness, headache, fatigue, somnolence, and dry mouth. In our Phase 2a RIVER trial of Haduvio for the treatment of RCC, the most frequently reported treatment emergent adverse events associated with Haduvio were constipation, nausea, somnolence, headache, dizziness, and fatigue.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Mu-opioid receptor agonists as a class are associated with respiratory depression. The drug label for the currently marketed parenterally administered formulation of nalbuphine, the active ingredient in Haduvio, carries an opioid class label warning for serious, life-threatening or fatal respiratory depression and Haduvio, if approved for marketing in any indication, will likely carry a similar opioid class label. We are conducting our Phase 1 TIDAL study to evaluate the effect of Haduvio on respiratory function and safety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 study, it could affect our ability to conduct a trial in this patient population.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Many currently approved mu-opioid receptor agonist products are subject to restrictive marketing and distribution regulations which, if applied to Haduvio, could potentially restrict its use and harm our ability to generate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currently approved mu-opioid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parenteral formulation of nalbuphine is currently not scheduled as a controlled substance under the federal Controlled Substances Act of 1970 or the regulations of the U.S. Drug Enforcement Agency, or the DEA, in the U.S.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In our HAP trial, we compared Haduvio with butorphanol, which is currently classified as a Schedule IV substance. Nalbuphine has been available for decades and was regularly kept unscheduled by the DEA. In addition, Haduvio was less likable than butorphanol in the HAP study and the DEA will evaluate the HAP results together with other elements of the 8-factor plan required to determine scheduling. However, it is possible that the DEA could determine that Haduvio, which is an oral, extended-release formulation, should be classified as a Schedule V or Schedule IV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If Haduvio is classified as a controlled substance, there is a risk that it could limit our ability to produce and distribute Haduvio in the volume needed to meet potential commercial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preclinical studies and clinical trials may not be predictive of results of later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patients with chronic cough with IPF, in patients with chronic cough with non-IPF ILD, and in patients with RCC in future clinical trials despite demonstrating positive results in earlier clinical trials. The results of our Phase 2b CORAL trial for the treatment of chronic cough in patients with IPF or our Phase 2a RIVER trial for the treatment of RCC may not be predictive of the results of future trials of Haduvio for the treatment of chronic cough in patients with IPF, non-IPF ILD, or RCC.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as a company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demonstrate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recall the product, change the way the product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or the manufacturing processes for, the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previously unidentified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harm our business and operations and could negatively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compared to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that the DEA could determine that Haduvio should be classified as a controlled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product is designated under physician treatment guidelines as a first-, second- or third-line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the product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sales, marketing and distribution support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amount of coverage and reimbursement from government payors, managed care plans and other third-party payors.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intend to focus on developing product candidates for specific indications that we identify as most likely to succeed, in terms of both their potential for marketing approval and commercialization.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may forego or delay pursuit of opportunities with other product candidates or for other indications that may prove to have greater commercial potential. For example, we currently intend to focus our resources on the development of Haduvio for the treatment of chronic cough in patients with IPF, non-IPF ILD, and RCC.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were to receive marketing approval from the FDA for chronic cough in patients with IPF or chronic cough in patients with non-IPF ILD, we would plan to market and commercialize Haduvio in the U.S. with our own focused, specialty sales force, which would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targeting pulmonologists and other specialists, such as allergists, who treat RCC patients who have failed other therapies for chronic cough.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establish sales, marketing and distribution capabilities, either on our own or in collaboration with third parties, we will not be successful in commercializing any product candidate that receives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competition, which may result in others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Haduvio is approved for the treatment of chronic cough in patients with IPF, we expect that it may compete with product candidates currently in clinical development for the treatment of chronic cough in patients with IPF. Development of BI 1839100, by Boehringer Ingelheim for the treatment of chronic cough in patients with IPF and progressive pulmonary fibrosis, was terminated in September 2025. It is possible that product candidates currently in development for the treatment of the fibrosis in patients with IPF and ILD could, if approved, reduce the need for therapies to treat chronic cough in patients with IPF and ILD. We expect that Haduvio might also compete with other product candidates currently in development, or submitted for approval to the FDA, for the treatment of patients with RCC that might be used off-label to treat chronic cough in patients with IPF.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patients with RCC, we expect that it may compete with product candidates currently in clinical development for the treatment of patients with RCC such as camlipixant, a P2X3 antagonist, which is being developed by GSK plc. Gefapixant, a P2X3 antagonist, which was developed by Merck &amp; Co., Inc., or Merck, is approved for refractory or unexplained chronic cough in Japan, United Kingdom, and the E.U. The application filed with the FDA was withdrawn and Merck indicated it does not plan to refile. Other product candidates that are currently in development for the treatment of patients with RCC include taplucainium (formerly NTX-1175), a charged sodium channel blocker, which is being developed by Nocion Therapeutics Inc., GABAB PAM, a GABA agonist, which is being developed by Addex Therapeutics Ltd., and ifenprodil, a NMDA receptor antagonist, which is being developed by Seyltx,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that Haduvio would compete with a number of therapeutics that are not specifically approved to treat chronic cough, including benzonatate, opioids, corticosteroids, proton-pump inhibitors, and neuromodulators.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are able to commercialize a product candidate, the product may become subject to unfavorable pricing regulations, third-party payor reimbursement practices or healthcare reform initiatives, any of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potential of any products we are able to commercialize depends in part on reimbursement by government health administration authorities, private health insurers, and other organizations. If we are unable to obtain coverage or reimbursement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liability lawsuits could divert our resources, cause us to incur substantial liabilities and limit commercialization of any products that we may develop or in-license.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products that we may develop or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and clinical trial liability insurance of at least $10.0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they do not perform satisfactorily,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although our reliance on these third parties for clinical development activities limits our control over these activities, we remain responsible for ensuring that each of our clinical trials is conducted in accordance with the approved protocol,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delays if our third-party contractors experience supply chain-related delays, prioritize the supply of other companies’ products over Haduvio or any other drug product needed for our clinical trials or any future product candidates, or otherwise fail to satisfactorily perform according to the terms of the agreements between us and them or if unforeseen events in the manufacturing process arise;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by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one or more collaborations, all the risks relating to product development, regulatory approval and commercialization described in this Quarterly Report on Form 10-Q would also apply to the activities of any such future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involving a product candidate would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be involved in a business combination and could decide to delay, diminish or terminate the development or commercialization of any product candidate licensed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the product candidates under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or misappropriate our intellectual property or other proprietary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engage in misconduct or other improper activities, including non-compliance with regulatory standards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regarding ownership of or other rights in the intellectual property generated in the course of the collaborations;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critical to our business or owe damages to the licensor of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an exclusive license agreement with Endo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also arise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activities or product candidates may infringe the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joint creation or use of intellectual property by licensors and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any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license prevent or impair our ability to maintain those license arrangements on acceptable terms or at all, we may be unable to successfully develop and commercialize any affected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products could be negatively impacted and our business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to the patent law in the U.S.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enforce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Consequently, we may not be able to prevent third parties from practicing our inventions in certain countries outside the U.S. and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geopolitical actions and dynamics, including the imposition of tariffs and responses to tariffs, may impact our ability to obtain and enforce patents or may increase the costs surrounding the prosecution or maintenance of our patent applications or maintenance, enforcement or defense of our issued patents in particular jurisdictions. If we are unable to obtain and enforce patents as needed in particular markets, our ability to exclude competitors in those markets may be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licenses from third parties on commercially reasonable terms,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able to obtain a license, it may be non-exclusive, which could enable our competitors to obtain access to the same technologies licensed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does not conclude that Haduvio for the treatment of chronic cough in patients with IPF, non-IPF ILD, or RCC,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pursue FDA approval of Haduvio for the treatment of chronic cough in patients with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patients with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complete the necessary preclinical studies and clinical trials, the regulatory approval process is expensive, time-consuming and uncertain and may prevent us from obtaining approvals for the commercialization of Haduvio or any future product candidate on a timely basis or at all. As a result, we cannot predict when or if and in which territories, we will obtain marketing approval to commercialize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certain circumstances, we may be required to report some of our financial relationships with clinical investigators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require that NDA submissions for our product candidates include pediatric data. Under the Pediatric Research Equity Act, an NDA or supplement to an NDA for certain drugs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conduct of clinical trials outside the U.S. could have a significant adverse impact on us.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practice patterns and standards of care that vary widely among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non-U.S. regulatory authority requirements that could restrict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non-U.S. regulatory authority schema;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rate fluctuations;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could face heightened risks with respect to obtaining marketing authorization in the U.K. as a result of the withdrawal of the U.K. from the E.U., commonly referred to as Brexit. The U.K. is no longer part of the European Single Market and EU Customs Union. As of January 1, 2025, MHRA is responsible for approving all medicinal products destined for the U.K. market (i.e., Great Britain and Northern Ireland).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same time, a new international recognition procedure (“IRP”) will apply, which intends to facilitate approval of pharmaceutical products in the UK. The IRP is open to applicants that have already received an authorization for the same product from one of the MHRA’s specified Reference Regulators (“RRs”). The RRs notably include EMA and regulators in the E.U./European Economic Area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On June 4, 2025, after almost two years of negotiations among the E.U. Member States, the Council of the European Union adopted its position on the proposed overhaul of the E.U. general pharmaceutical legislative framework, which is known as the new Pharma Package. This proposal will now be the subject of additional negotiations and technical meetings, with the objective of reaching agreement on issues such as the regulatory data protection framework and the access and supply obligations. These revisions may have a significant impact on the pharmaceutical industry and our business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jc w:val="left"/>
        <w:rPr>
          <w:rFonts w:ascii="Times New Roman" w:hAnsi="Times New Roman"/>
          <w:sz w:val="20"/>
        </w:rPr>
      </w:pPr>
      <w:r>
        <w:rPr>
          <w:rFonts w:ascii="Times New Roman" w:hAnsi="Times New Roman"/>
          <w:b/>
          <w:i/>
          <w:color w:val="000000"/>
          <w:sz w:val="20"/>
        </w:rPr>
        <w:t>A Fast Track designation, grant of Priority Review status or Breakthrough Therapy status by the FDA or the receipt of a priority voucher from the FDA is not assured and, in any event, may not actually lead to a faster development or regulatory review or approval process and, moreover, would not assure FDA approval of Haduvio or any future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June 2025, the FDA announced the creation of a new voucher program to expedite the development and approval of new drug products. Vouchers issued under the new program, which is known as the “Commissioner’s National Priority Voucher, or CNPV Program, may reportedly be redeemed by sponsors to shorten the review time of an NDA from approximately 10-12 months to 1-2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1-day meeting. Vouchers under this program will reportedly be given to companies aligned with U.S. national priorities. As with the FDA’s other programs for expediting review and approval of new drug products, even if we were to avail ourselves of this new program, there is no guarantee it would result in approval of our marketing applications or that such approval, if granted, would be on an expedited basis.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clinical trials are successful, we intend to seek approval to market Haduvio for the treatment of chronic cough in patients with IPF, non-IPF ILD and RCC. If we obtain regulatory approval to market Haduvio with an indication statement for the treatment of chronic cough in patients with IPF, non-IPF ILD or RCC,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pStyle w:val="TextBody"/>
        <w:bidi w:val="0"/>
        <w:spacing w:before="120" w:after="283"/>
        <w:jc w:val="left"/>
        <w:rPr>
          <w:rFonts w:ascii="Times New Roman" w:hAnsi="Times New Roman"/>
          <w:sz w:val="20"/>
        </w:rPr>
      </w:pPr>
      <w:r>
        <w:rPr>
          <w:rFonts w:ascii="Times New Roman" w:hAnsi="Times New Roman"/>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i/>
          <w:color w:val="000000"/>
          <w:sz w:val="20"/>
        </w:rPr>
        <w:t>qui tam</w:t>
      </w:r>
      <w:r>
        <w:rPr>
          <w:rFonts w:ascii="Times New Roman" w:hAnsi="Times New Roman"/>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bringing a </w:t>
      </w:r>
      <w:r>
        <w:rPr>
          <w:rFonts w:ascii="Times New Roman" w:hAnsi="Times New Roman"/>
          <w:i/>
          <w:color w:val="000000"/>
          <w:sz w:val="20"/>
        </w:rPr>
        <w:t>qui tam</w:t>
      </w:r>
      <w:r>
        <w:rPr>
          <w:rFonts w:ascii="Times New Roman" w:hAnsi="Times New Roman"/>
          <w:color w:val="000000"/>
          <w:sz w:val="20"/>
        </w:rPr>
        <w:t xml:space="preserve"> suit is entitled to a share of any recovery or settlement. </w:t>
      </w:r>
      <w:r>
        <w:rPr>
          <w:rFonts w:ascii="Times New Roman" w:hAnsi="Times New Roman"/>
          <w:i/>
          <w:color w:val="000000"/>
          <w:sz w:val="20"/>
        </w:rPr>
        <w:t>Qui tam</w:t>
      </w:r>
      <w:r>
        <w:rPr>
          <w:rFonts w:ascii="Times New Roman" w:hAnsi="Times New Roman"/>
          <w:color w:val="000000"/>
          <w:sz w:val="20"/>
        </w:rPr>
        <w:t xml:space="preserve"> suits, also commonly referred to as “whistleblower suits,” are often brought by current or former employees. In a </w:t>
      </w:r>
      <w:r>
        <w:rPr>
          <w:rFonts w:ascii="Times New Roman" w:hAnsi="Times New Roman"/>
          <w:i/>
          <w:color w:val="000000"/>
          <w:sz w:val="20"/>
        </w:rPr>
        <w:t>qui tam</w:t>
      </w:r>
      <w:r>
        <w:rPr>
          <w:rFonts w:ascii="Times New Roman" w:hAnsi="Times New Roman"/>
          <w:color w:val="000000"/>
          <w:sz w:val="20"/>
        </w:rPr>
        <w:t xml:space="preserve"> suit, the government must decide whether to intervene and prosecute the case. If it declines, the individual may pursue the case alone.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the FDA or any other governmental agency initiates an enforcement action against us or if we are the subject of a </w:t>
      </w:r>
      <w:r>
        <w:rPr>
          <w:rFonts w:ascii="Times New Roman" w:hAnsi="Times New Roman"/>
          <w:i/>
          <w:color w:val="000000"/>
          <w:sz w:val="20"/>
        </w:rPr>
        <w:t>qui tam</w:t>
      </w:r>
      <w:r>
        <w:rPr>
          <w:rFonts w:ascii="Times New Roman" w:hAnsi="Times New Roman"/>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coverage by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hAnsi="Times New Roman"/>
          <w:i/>
          <w:color w:val="000000"/>
          <w:sz w:val="20"/>
        </w:rPr>
        <w:t>Securities and Exchange Commission v. Jarkesy</w:t>
      </w:r>
      <w:r>
        <w:rPr>
          <w:rFonts w:ascii="Times New Roman" w:hAnsi="Times New Roman"/>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actions and the resulting recent loss of FDA leadership and personnel could lead to disruptions and delays in FDA guidance, review and approval of our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FDA’s review of marketing applications and other activities for new drugs and biologics is largely funded through the user fee program established under the Prescription Drug User Fee Act, or PDUFA, it remains unclear how the administration’s efforts to reduce the workforce of HHS and budget cuts will impact this program and the ability of the FDA to provide guidance and review our product candidates in a timely manner. For example, while the reduction in workforce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reduction in workforce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government funding of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agency’s review and processing of our regulatory submissions, including INDs and NDAs/BLAs,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to obtain marketing approval of and commercialize Haduvio or any future product candidate and may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and legislation over the ACA and other healthcare measures are likely to continue, with unpredictable and uncertain results. During the first Trump Administration, Congress and the administration sought to overturn the ACA and related measures. Shortly after taking office in January 2025, President Trump revoked numerous executive orders issued by President Biden, including at least two executive orders (e.g., Executive Order 14009, Strengthening Medicaid and the Affordable Care Act, and Executive Order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14070, Continuing to Strengthen Americans’ Access to Affordable, Quality Health Coverage) which were designed to further implement the ACA. We anticipate similar efforts to undermine the ACA, and the accompanying uncertainty,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European Union level for joint clinical assessments in these areas. It will permit E.U.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prices of prescription pharmaceuticals have also been the subject of considerable discussion in the U.S.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October 2024, five states (Colorado, Florida, Maine, New Hampshire and New Mexico) had submitted Section 804 Importation Program proposals to the FDA. Vermont has submitted a concept letter to the HHS.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Section 804 importation program, or SIP, proposal. The intent of these meetings is to assist states in developing their proposals by further clarifying requirements, enhancing the quality of proposals submitted to the agency and ultimately shortening the review timeline.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On December 9, 2024, with issuance of its 2025 Physician Fee Schedule final regulation, CMS finalized its rules governing the IRA inflation rebate programs. The IRA permits the Secretary of the HHS to implement many of these provisions through guidance, as opposed to regulation, for the initial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but it does not apply to drugs that have been approved for a rare disease or condition. With passage of the One Big Beautiful Bill Act, or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shortly before the new administration took office, CMS announced its selection of 15 additional drugs covered by Part D for the second cycle of negotiations. There has been uncertainty about the extent to which the new administration would support the price negotiation program. Following the change in administrations,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Boehringer Ingelheim and Teva, also filed lawsuits in various courts with similar constitutional and Administrative Procedure Act claims against the HHS and CMS. There have been various decisions by the courts considering these cases since they were filed. The HHS has generally won the substantive disputes in these cases or succeeded in getting claims dismissed for lack of standing. Most of these cases are now on appeal. We expect that litigation involving these and other provisions of the IRA will continue, with unpredictable and uncertain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15, 2025, President Trump issued an Executive Order which directs the HHS to take steps to reduce the prices of pharmaceutical products. The new Executive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on May 12, 2025, President Trump issued an additional Executive Order calling on pharmaceutical manufacturers to voluntarily reduce the prices of medicines in the United States. The Executive Order directs the Secretary of HHS to communicate most-favored-nation, or MFN, price targets to pharmaceutical manufacturers to bring prices in line with comparably developed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nations. The Executive Order further provides that if such actions do not lower the costs of pharmaceuticals, the Secretary of HHS would pursue other actions, including proposing a rulemaking that imposes MFN pricing in the United States. Subsequently, on May 20, 2025, the HHS indicated that the proposed MFN pricing will apply only to brand products without generic or biosimilar competition and the reference foreign countries will include only those in which the branded product similarly does not have generic or biosimilar competition. Second, the HHS indicated that the MFN target price will be the lowest price in a country that is a member of the Organization for Economic Co-operation and Development, or OECD, with a gross domestic product, or GDP, per capita of at least 60% of the U.S. GDP per capita. Based on previous estimates, there are likely at least 22 OECD countries that would satisfy this criterion.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recently,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the FDA and CMS within 60 days to implement these changes and threatened to use “every tool in our arsenal” to address what the letter characterized as “abusive drug pricing practices.”</w:t>
      </w:r>
    </w:p>
    <w:p>
      <w:pPr>
        <w:pStyle w:val="TextBody"/>
        <w:bidi w:val="0"/>
        <w:jc w:val="left"/>
        <w:rPr>
          <w:rFonts w:ascii="Times New Roman" w:hAnsi="Times New Roman"/>
          <w:color w:val="000000"/>
          <w:sz w:val="20"/>
        </w:rPr>
      </w:pPr>
      <w:r>
        <w:rPr>
          <w:rFonts w:ascii="Times New Roman" w:hAnsi="Times New Roman"/>
          <w:color w:val="000000"/>
          <w:sz w:val="20"/>
        </w:rPr>
        <w:t>In addition, the Global Benchmark for Efficient Drug Pricing (GLOBE) Model, a proposed rule by the Centers for Medicare &amp; Medicaid Services is currently pending review at the Office of Information and Regulatory Affairs within the Office of Management and Budget. Once released, the GLOBE Model proposed rule will provide further insight into how the administration is seeking to advance drug pricing policy. The implications and consequences of these actions and subsequent actions by the Trump Administration to compel an MFN regulatory pricing requirement in the U.S. and otherwise advance drug pricing policy continue to remain unclear and uncertain and this lack of clarity or the adoption of policies regarding pricing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payors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pStyle w:val="TextBody"/>
        <w:bidi w:val="0"/>
        <w:spacing w:before="120" w:after="283"/>
        <w:jc w:val="left"/>
        <w:rPr>
          <w:rFonts w:ascii="Times New Roman" w:hAnsi="Times New Roman"/>
          <w:sz w:val="20"/>
        </w:rPr>
      </w:pPr>
      <w:r>
        <w:rPr>
          <w:rFonts w:ascii="Times New Roman" w:hAnsi="Times New Roman"/>
          <w:i/>
          <w:color w:val="000000"/>
          <w:sz w:val="20"/>
        </w:rPr>
        <w:t>Anti-Kickback Statute</w:t>
      </w:r>
      <w:r>
        <w:rPr>
          <w:rFonts w:ascii="Times New Roman" w:hAnsi="Times New Roman"/>
          <w:color w:val="000000"/>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False Claims Laws. </w:t>
      </w:r>
      <w:r>
        <w:rPr>
          <w:rFonts w:ascii="Times New Roman" w:hAnsi="Times New Roman"/>
          <w:color w:val="000000"/>
          <w:sz w:val="20"/>
        </w:rPr>
        <w:t xml:space="preserve">The federal false claims and civil monetary penalties laws, including the federal civil False Claims Act, impose criminal and civil penalties, including through civil whistleblower or </w:t>
      </w:r>
      <w:r>
        <w:rPr>
          <w:rFonts w:ascii="Times New Roman" w:hAnsi="Times New Roman"/>
          <w:i/>
          <w:color w:val="000000"/>
          <w:sz w:val="20"/>
        </w:rPr>
        <w:t>qui tam</w:t>
      </w:r>
      <w:r>
        <w:rPr>
          <w:rFonts w:ascii="Times New Roman" w:hAnsi="Times New Roman"/>
          <w:color w:val="000000"/>
          <w:sz w:val="20"/>
        </w:rPr>
        <w:t xml:space="preserve"> actions against individuals or entities for, among other things, knowingly presenting or causing to be presented false or fraudulent claims for payment by a federal healthcare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making a false statement or record material to payment of a false claim or avoiding, decreasing or concealing an obligation to pay money to the federal government, with potential liability including mandatory treble damages and significant per-claim penalties.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HIPAA. </w:t>
      </w:r>
      <w:r>
        <w:rPr>
          <w:rFonts w:ascii="Times New Roman" w:hAnsi="Times New Roman"/>
          <w:color w:val="000000"/>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Transparency Requirements. </w:t>
      </w: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Analogous State and Foreign Laws. </w:t>
      </w:r>
      <w:r>
        <w:rPr>
          <w:rFonts w:ascii="Times New Roman" w:hAnsi="Times New Roman"/>
          <w:color w:val="000000"/>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California, at least 18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considering or have already passed comprehensive privacy laws during the 2023 legislative sessions that will go into effect in 2024 and beyond. There are also states that are specifically regulating health information that may affect our business. For example, Washington state recently passed a health privacy law that will regulate the collection and sharing of health information, and the law also has a private right of action, which further increases the relevant compliance risk. These laws may impact our business activities, including our identification of research subjects, relationships with business partners and ultimately the marketing and distribution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120" w:after="283"/>
        <w:jc w:val="left"/>
        <w:rPr>
          <w:rFonts w:ascii="Times New Roman" w:hAnsi="Times New Roman"/>
          <w:sz w:val="20"/>
        </w:rPr>
      </w:pPr>
      <w:r>
        <w:rPr>
          <w:rFonts w:ascii="Times New Roman" w:hAnsi="Times New Roman"/>
          <w:color w:val="000000"/>
          <w:sz w:val="20"/>
        </w:rPr>
        <w:t>On February 10, 2025, President Trump issued an Executive Order directing the Attorney General to review the guidelines and policies governing FCPA investigations and enforcement actions. Per the Executive Order, this review will result in new DOJ FCPA guidelines intended to enhance American economic competitiveness and to safeguard national security interests. During the 180-day review period, any new FCPA investigations and enforcement actions are to be suspended absent authorization from the Attorney General, and all existing FCPA investigations and enforcement actions will be reviewed. Additionally, after the Attorney General issues revised guidelines, the Executive Order directs her to assess whether “remedial measures” related to past FCPA actions are warranted. We will need to carefully navigate these developments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executive team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executive leadership and scientific teams.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expand our organization,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34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and consultants may engage in misconduct or other improper activities, including non-compliance with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is highly volatile, which could result in substantial losses for purchasers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clinical trials of Haduvio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Haduvio or any future product candidates or competitors’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product candidates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estimated financial results or development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recommendations and changes in estimates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recent adverse changes in the domestic and international financial markets, the impacts of inflation and the implementation of trade barriers and tariffs and government action in response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the Nasdaq Global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and considerations described in this “Risk Factors”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and uncertainty surrounding U.S. trade policy could have a material adverse impact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past spring, the Trump Administration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or USMCA, and tariffs equaling 20% on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Prior to when the country-specific reciprocal tariffs were scheduled to take effect, the Trump Administration announced an extension of the deadline for the effective date of the country-specific tariffs for all remaining countries until August 1, 2025. Later, the U.S. and China reached a framework agreement that ultimately resulted in the suspension of the higher reciprocal tariffs on China until November 11,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2025. Since the April announcement, several countries have also reached deals with the U.S. that include reduced tariff rates and other measures. On July 31, 2025, President Trump issued an Executive Order detailing new reciprocal tariff rates for individual countries that took effect on August 7, 2025. The new reciprocal rates, which are consistent with the rates reflected in the trade deals already announced, range from 10% to 41% with imports from Switzerland receiving a 39% rate. The new rates do not apply to Canada, China, Mexico and a few other countries. Several countries have reached agreements with the U.S. that cap pharmaceutical tariffs at 15%.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U.S. would face a 100% tariff. At the same time, Trump indicated that these tariffs could be avoided by building pharmaceutical manufacturing facilities in the U.S. Thereafter, Trump delayed the October 1st effective date of the tariffs on branded or patented pharmaceutical products announcing that the Administration had now “begun preparing” tariffs on manufacturers that don’t build in the U.S. or enter into an MFN drug pricing agreement with the Trump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changes in tariffs that have been announced and/or implemented, and the underlying uncertainty currently surrounding tariffs and international trade, we could experience a negative impact to our costs of materials and production processes, and supply chain disruptions and delays as a result of these and any new tariff policies or trade restrictions.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the trading price and volume of our shares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shares of our common stock, including by us, employees and significant stockholders, could negatively affect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(formerly SVB Securities)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2020 ATM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 terminated upon effectiveness of the Shelf Registration Statement, at which point we were no longer able to issue and sell shares of our common stock under our prior 2020 ATM sales agreement. From time to time, we may offer and sell under the 2023 ATM Sales Agreement common stock registered under the Shelf Registration Statement pursuant to one or more “at-the-market” offerings. The extent to which we utilize the 2023 ATM Sales Agreement as a source of funding will depend on a number of factors, including the prevailing market price of our common stock, general market conditions and the extent to which we are able to secure funds from other sources. On June 2, 2025, we terminated the prospectus relating to the 2023 ATM Sales Agreement. We may not make any sales of our common stock pursuant to the 2023 ATM Sales Agreement unless and until a new prospectus or prospectus supplement relating to the shares of common stock to be issued and sold pursuant to the 2023 ATM Sales Agreement is filed. The 2023 ATM Sales Agreement otherwise remains in full force and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were not permitted to effect the exercise of any such warrant, and the Initial Private Placement Investor would not have been entitled to exercise any portion of any such warrant, if, upon giving effect to such exercise, the aggregate number of shares of common stock beneficially owned by the Initial Private Placement Investor, together with its affiliates, would have exceeded 4.99%, for the accompanying common stock warrants, or 9.99%, for the pre-funded warrants, of the number of shares of common stock outstanding immediately after giving effect to the exercise, as such percentage ownership was determined in accordance with the terms of such warrant, which percentage could have increased or decreased at the Initial Private Placement Investor’s election upon 61 days’ notice to us, subject to the terms of such warrants, provided that such percentage could not have exceeded 9.99%. We referred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covered the resale of the number of shares of common stock issued or issuable to the Initial Private Placement Investor without giving effect to the Initial Private Placement Beneficial Ownership Limitations, the Initial Private Placement Investor was not permitted to exercise, and subsequently could not resell the underlying shares of common stock of, any portion of the warrants to the extent such exercise would have resulted in the Initial Private Placement Investor exceeding the applicable Initial Private Placement Beneficial Ownership Limitation. The Initial Private Placement Investor could have resold all, some or none of the shares of common stock registered pursuant to the Initial Private Placement Form S-3 at any time or in its discretion, subject to the Initial Private Placement Beneficial Ownership Limitations. All of the pre-funded warrants and accompanying common stock warrants issued to the Initial Private Placement Investor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October 31, 2025, warrants issued to NEA to purchase 1,851,852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October 31, 2025, pre-funded warrants that we issued and sold in the April 2022 Private Placement to purchase 12,531,332 shares of common stock remained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October 31, 2025, pre-funded warrants that we issued and sold in the September 2022 Offering to purchase 4,717,616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Of the common stock warrants issued to the Initial Private Placement Investor at an exercise price of $1.37 per share, warrants to purchase an aggregate of 7,299,270 shares would have expired on April 5, 2025 and warrants to purchase an aggregate of 7,299,270 shares would have expired on October 5, 2028. All of the pre-funded warrants and accompanying common stock warrants issued to the Initial Private Placement Investor have been exercised. In addition, we issued to NEA warrants to purchase an aggregate of 3,703,704 shares of our common stock at an exercise price of $1.37 per share. Of the common stock warrants issued to NEA, warrants to purchase an aggregate of 1,851,852 shares of our common stock would have expired on April 18, 2025 and warrants to purchase an aggregate of 1,851,852 shares of our common stock will expire on October 18, 2028. On April 17, 2025, NEA exercised all of the warrants that would have expired on April 18, 2025. None of the accompanying common stock warrants issued to NEA in the private placement that expire on October 18, 2028 have been exercised. We issued pre-funded warrants to purchase up to an aggregate of 24,379,673 shares of our common stock to the purchasers in the April 2022 Private Placement, of which pre-funded warrants to purchase 12,531,332 shares of common stock remained outstanding as of October 31, 2025. Finally, we issued pre-funded warrants to purchase up to an aggregate of 14,247,330 shares of our common stock at an exercise price of $0.001 per share to certain purchasers in the September 2022 Offering, of which pre-funded warrants to purchase 4,717,616 shares of common stock remained outstanding as of October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the same amount and kind of securities, cash or property as they would have been entitled to receive if such securities had been converted into or exercised for shares of our common stock immediately prior to such sale of our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pursuant to the terms of the common stock warrants issued to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NEA may be entitled to receive a significantly larger portion of the total proceeds distributable to our stockholders than it would if it exercised the warrants immediately prior to the transaction, and our stockholders could receive significantly less than they otherwise would in such a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and terms of these warrants, we may find it more difficult to raise additional equity capital on favorable terms or at all while these warrants are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our executive officers and directors and their affiliates, who have significant influence over our business, which may prevent new investors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and their respective affiliates, beneficially own, in the aggregate, shares representing approximately 14.9% of our common stock as of October 31, 2025.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defer or prevent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entrench our management or the board of directors;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a merger, consolidation, takeover, sale, other business combination or other significant corporate transaction involving us that other stockholders may desire.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anticipate paying any cash dividends on our capital stock in the foreseeable future. Accordingly, stockholders must rely on appreciation in the price of our common stock, if any, for any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We will continue to be a “smaller reporting company” so long as (i) the market value of our stock held by non-affiliates is less than $250.0 million as of the most recently completed second fiscal quarter or (ii) our annual revenue is less than $100.0 million during the most recently completed fiscal year and the market value of our stock held by non-affiliates is less than $700.0 million as of the most recently completed second fiscal quarter. We remain a smaller reporting company as of June 30, 2025. Smaller reporting companies are permitted to provide simplified executive compensation disclosure in their filings; and they have certain other decreased disclosure obligations in their SEC filings, including, among other things, only being required to provide two years of audited financial statements in annual reports. For as long as we continue to be a smaller reporting company, we expect that we will take advantage of the reduced disclosure obligations available to us as a result of such classification. Decreased disclosure in our SEC filings as a result of our having availed ourselves of scaled disclosure may make it harder for investors to analyze our results of operations and financial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and particularly since we ceased being an “emerging growth company” we have incurred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 smaller reporting company as we had less than $100 million in annual revenue during the most recently completed fiscal year and less than $700 million in public float as of the most recently completed second fiscal quarter,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federal and state net operating loss carryforwards of $199.8 million and federal research and development tax credit carryforwards of $7.3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Sections 382 and 383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current law, the deduction for net operating losses arising in taxable years beginning after December 31, 2017 is limited to 80% of current-year taxable income (although such net operating losses may be carried forward indefinitely). There is also a risk that due to regulatory changes, such as suspensions on the use of net operating losses or other unforeseen reasons, our existing net operating losses could expire or otherwise become unavailable to offset future income tax liabilities. In addition, state net operating losses generated in one state cannot be used to offset income generated in another state. For these reasons, even if we attain profitability, we may be unable to use a material portion of our net operating losses and other tax attributes.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organizational documents and under Delaware law may prevent or frustrate attempts by our stockholders to change our management or hinder efforts to acquire a controlling interest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all members of the board are not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the board of directors or for proposing matters that can be acted 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a special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for trading on Nasdaq. We must satisfy Nasdaq’s continued listing requirements, including, among other things, a minimum closing bid price of $1.00 per share, or the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 Director and Officer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2025, none of our directors or officers adopted or terminated a Rule 10b5-1 trading arrangement or a non-Rule 10b5-1 trading arrangement (as defined in Item 408(c) of Regulation S-K).</w:t>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9235"/>
      </w:tblGrid>
      <w:tr>
        <w:trPr/>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5" w:type="dxa"/>
            <w:tcBorders/>
            <w:vAlign w:val="center"/>
          </w:tcPr>
          <w:p>
            <w:pPr>
              <w:pStyle w:val="TableContents"/>
              <w:bidi w:val="0"/>
              <w:spacing w:before="0" w:after="283"/>
              <w:jc w:val="left"/>
              <w:rPr>
                <w:sz w:val="4"/>
                <w:szCs w:val="4"/>
              </w:rPr>
            </w:pPr>
            <w:r>
              <w:rPr>
                <w:sz w:val="4"/>
                <w:szCs w:val="4"/>
              </w:rPr>
            </w:r>
          </w:p>
        </w:tc>
      </w:tr>
      <w:tr>
        <w:trPr/>
        <w:tc>
          <w:tcPr>
            <w:tcW w:w="82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10_1.htm">
              <w:r>
                <w:rPr>
                  <w:rStyle w:val="InternetLink"/>
                  <w:rFonts w:ascii="Times New Roman" w:hAnsi="Times New Roman"/>
                  <w:color w:val="0000FF"/>
                  <w:sz w:val="20"/>
                  <w:u w:val="single"/>
                </w:rPr>
                <w:t>Severance Agreement, dated August 14, 2025, by and between the Registrant and Lisa Delfini.</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1.htm">
              <w:r>
                <w:rPr>
                  <w:rStyle w:val="InternetLink"/>
                  <w:rFonts w:ascii="Times New Roman" w:hAnsi="Times New Roman"/>
                  <w:color w:val="0000FF"/>
                  <w:sz w:val="20"/>
                  <w:u w:val="single"/>
                </w:rPr>
                <w:t>Certification of Principal Executive and Principal Financial Officer Pursuant to Rules 13a-14(a) or 15d-14(a) under the Securities Exchange Act of 1934, as Adopted Pursuant to Section 302 of the Sarbanes-Oxley Act of 2002</w:t>
              </w:r>
            </w:hyperlink>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32.1**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jc w:val="left"/>
              <w:rPr/>
            </w:pPr>
            <w:hyperlink w:anchor="trvi-ex32_1.htm">
              <w:r>
                <w:rPr>
                  <w:rStyle w:val="InternetLink"/>
                  <w:rFonts w:ascii="Times New Roman" w:hAnsi="Times New Roman"/>
                  <w:color w:val="0000FF"/>
                  <w:sz w:val="20"/>
                  <w:u w:val="single"/>
                </w:rPr>
                <w:t>Certification of Principal Executive and Principal Financial Officer Pursuant to 18 U.S.C. Section 1350, as Adopted Pursuant to Section 906 of the Sarbanes-Oxley Act of 2002</w:t>
              </w:r>
            </w:hyperlink>
          </w:p>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101.INS*</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101.SCH*</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054" w:type="dxa"/>
        <w:jc w:val="left"/>
        <w:tblInd w:w="0" w:type="dxa"/>
        <w:tblLayout w:type="fixed"/>
        <w:tblCellMar>
          <w:top w:w="28" w:type="dxa"/>
          <w:left w:w="28" w:type="dxa"/>
          <w:bottom w:w="28" w:type="dxa"/>
          <w:right w:w="28" w:type="dxa"/>
        </w:tblCellMar>
      </w:tblPr>
      <w:tblGrid>
        <w:gridCol w:w="2206"/>
        <w:gridCol w:w="146"/>
        <w:gridCol w:w="406"/>
        <w:gridCol w:w="529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96" w:type="dxa"/>
            <w:tcBorders>
              <w:bottom w:val="single" w:sz="2" w:space="0" w:color="000000"/>
            </w:tcBorders>
            <w:shd w:fill="FFFFFF" w:val="clear"/>
            <w:tcMar>
              <w:top w:w="0" w:type="dxa"/>
              <w:left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Jennifer L. Good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L. Good</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trvi-ex10_1.htm"/>
      <w:bookmarkStart w:id="19" w:name="kstrviex10_1"/>
      <w:bookmarkEnd w:id="18"/>
      <w:bookmarkEnd w:id="19"/>
      <w:r>
        <w:rPr>
          <w:rFonts w:ascii="Times New Roman" w:hAnsi="Times New Roman"/>
          <w:b/>
          <w:color w:val="000000"/>
          <w:sz w:val="20"/>
        </w:rPr>
        <w:t>Exhibit 10.1</w:t>
      </w:r>
      <w:r>
        <w:br w:type="page"/>
      </w:r>
    </w:p>
    <w:p>
      <w:pPr>
        <w:pStyle w:val="TextBody"/>
        <w:bidi w:val="0"/>
        <w:jc w:val="left"/>
        <w:rPr/>
      </w:pPr>
      <w:r>
        <w:rPr/>
        <w:t> </w:t>
      </w:r>
    </w:p>
    <w:p>
      <w:pPr>
        <w:pStyle w:val="TextBody"/>
        <w:bidi w:val="0"/>
        <w:jc w:val="right"/>
        <w:rPr/>
      </w:pPr>
      <w:r>
        <w:rPr/>
        <w:drawing>
          <wp:inline distT="0" distB="0" distL="0" distR="0">
            <wp:extent cx="154305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742950"/>
                    </a:xfrm>
                    <a:prstGeom prst="rect">
                      <a:avLst/>
                    </a:prstGeom>
                  </pic:spPr>
                </pic:pic>
              </a:graphicData>
            </a:graphic>
          </wp:inline>
        </w:drawing>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August 14, 2025</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Dear Lisa:</w:t>
      </w:r>
    </w:p>
    <w:p>
      <w:pPr>
        <w:pStyle w:val="TextBody"/>
        <w:bidi w:val="0"/>
        <w:spacing w:before="0" w:after="240"/>
        <w:jc w:val="left"/>
        <w:rPr>
          <w:rFonts w:ascii="Times New Roman" w:hAnsi="Times New Roman"/>
          <w:sz w:val="20"/>
        </w:rPr>
      </w:pPr>
      <w:r>
        <w:rPr>
          <w:rFonts w:ascii="Times New Roman" w:hAnsi="Times New Roman"/>
          <w:color w:val="000000"/>
          <w:sz w:val="22"/>
        </w:rPr>
        <w:t>As we discussed, your employment with Trevi Therapeutics, Inc. (the “Company”) will end effective August 22, 2025</w:t>
      </w:r>
      <w:r>
        <w:rPr>
          <w:rFonts w:ascii="Times New Roman" w:hAnsi="Times New Roman"/>
          <w:color w:val="000000"/>
          <w:sz w:val="20"/>
        </w:rPr>
        <w:t xml:space="preserve"> </w:t>
      </w:r>
      <w:r>
        <w:rPr>
          <w:rFonts w:ascii="Times New Roman" w:hAnsi="Times New Roman"/>
          <w:color w:val="000000"/>
          <w:sz w:val="22"/>
        </w:rPr>
        <w:t>(the “Separation Date”). As we also discussed, you will be eligible to receive the severance benefits described in paragraph 1 below if you sign and return this letter agreement to me by September 5, 2025 (but no earlier than the Separation Date) and do not revoke your acceptance (as described below). By signing and returning this letter agreement and not revoking your acceptance, you will be entering into a binding agreement with the Company and will be agreeing to the terms and conditions set forth in the numbered paragraphs below, including the release of claims set forth in paragraph 2. Therefore, you are advised to consult with an attorney before signing this letter agreement and you have been given at least twenty-one (21) days to do so. If you sign this letter agreement, you may change your mind and revoke your acceptance during the seven (7) day period after you have signed it (the “Revocation Period”) by notifying me in writing. If you do not so revoke, this letter agreement will become a binding agreement between you and the Company upon the expiration of the Revocation Period.</w:t>
      </w:r>
    </w:p>
    <w:p>
      <w:pPr>
        <w:pStyle w:val="TextBody"/>
        <w:bidi w:val="0"/>
        <w:spacing w:before="0" w:after="240"/>
        <w:jc w:val="left"/>
        <w:rPr>
          <w:rFonts w:ascii="Times New Roman" w:hAnsi="Times New Roman"/>
          <w:sz w:val="20"/>
        </w:rPr>
      </w:pPr>
      <w:r>
        <w:rPr>
          <w:rFonts w:ascii="Times New Roman" w:hAnsi="Times New Roman"/>
          <w:color w:val="000000"/>
          <w:sz w:val="22"/>
        </w:rPr>
        <w:t>Although your receipt of the severance benefits is expressly conditioned on your timely entering into this letter agreement, the following will apply regardless of whether or not you do so:</w:t>
      </w:r>
      <w:r>
        <w:rPr>
          <w:rFonts w:ascii="Times New Roman" w:hAnsi="Times New Roman"/>
          <w:color w:val="000000"/>
          <w:sz w:val="20"/>
        </w:rPr>
        <w:t xml:space="preserve">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As of the Separation Date, all salary payments from the Company will cease and any benefits you had as of the Separation Date under Company-provided benefit plans, programs, or practices will terminate, except as required by federal or state law.</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You will receive the Accrued Obligations described in Section 6(a) of the Company’s Executive Separation Benefits and Retention Plan (the “Separation Benefits Plan”) in accordance with the terms and conditions of the Separation Benefits Plan.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may, if eligible and at your own cost, elect to continue receiving group medical insurance pursuant to the “COBRA” law. Please consult the COBRA materials to be provided under separate cover for details regarding these benefits.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are obligated to keep confidential and not to use or disclose any and all non-public information concerning the Company that you acquired during the course of your employment with the Company, including any non-public information concerning the Company’s business affairs, business prospects, and financial condition, except as otherwise permitted by paragraph 4(c) below. Further, you remain subject to your continuing obligations to the Company as set forth in the Invention and Non-Disclosure Agreement and Non-Competition and Non-Solicitation Agreement you previously executed for the benefit of the Company (together, the “Restrictive Covenant Agreements”), which remain in full force and effect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must return to the Company all Company property within two weeks after the Separation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will have 90 days following the Separation Date to exercise any stock options under the Company’s 2019 Stock Incentive Plan that were vested as of the Separation Date. After that 90-day period, your stock options will expire and you will no longer have any rights with respect thereto.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you elect to timely sign and return this letter agreement and do not revoke your acceptance within the Revocation Period, the following terms and conditions will also apply: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left"/>
        <w:rPr/>
      </w:pPr>
      <w:r>
        <w:rPr>
          <w:rFonts w:ascii="Times New Roman" w:hAnsi="Times New Roman"/>
          <w:b/>
          <w:color w:val="000000"/>
          <w:sz w:val="22"/>
          <w:u w:val="single"/>
        </w:rPr>
        <w:t>Severance Benefits</w:t>
      </w:r>
      <w:r>
        <w:rPr>
          <w:color w:val="000000"/>
        </w:rPr>
        <w:t xml:space="preserve"> – </w:t>
      </w:r>
      <w:r>
        <w:rPr>
          <w:rFonts w:ascii="Times New Roman" w:hAnsi="Times New Roman"/>
          <w:color w:val="000000"/>
          <w:sz w:val="22"/>
        </w:rPr>
        <w:t>Subject to the terms and conditions of this letter agreement and the Separation Benefits Plan, including without limitation the terms and conditions set forth in Sections 5, 8, 9 and 15 of the Separation Benefits Plan, the Company will provide you with the severance benefits (the “severance benefits”) described in Section 6(b) of the Separation Benefits Plan. You will not be eligible for, nor shall you have a right to receive, any payments or benefits from the Company following the Separation Date other than as set forth in this paragraph.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b/>
          <w:color w:val="000000"/>
          <w:sz w:val="22"/>
          <w:u w:val="single"/>
        </w:rPr>
        <w:t>Release of Claims</w:t>
      </w:r>
      <w:r>
        <w:rPr>
          <w:color w:val="000000"/>
        </w:rPr>
        <w:t xml:space="preserve"> – </w:t>
      </w:r>
      <w:r>
        <w:rPr>
          <w:rFonts w:ascii="Times New Roman" w:hAnsi="Times New Roman"/>
          <w:color w:val="000000"/>
          <w:sz w:val="22"/>
        </w:rPr>
        <w:t xml:space="preserve">In consideration of the severance benefits, which you acknowledge you would not otherwise be entitled to receive, you hereby fully, forever, irrevocably and unconditionally release, remise and discharge the Company, its past and present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whether known or unknown, including, but not limited to, any and all claims arising out of or relating to your employment with and/or separation from the Company, including, but not limited to, all claims under Title VII of the Civil Rights Act of 1964, 42 U.S.C. § 2000e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Equal Pay Act of 1963, Older Workers Benefit Protection Act of 1990, Americans With Disabilities Act of 1990, 42 U.S.C. § 12101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the Age Discrimination in Employment Act, 29 U.S.C. § 621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the Genetic Information Nondiscrimination Act of 2008, 42 U.S.C. § 2000ff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the Family and Medical Leave Act, 29 U.S.C. § 2601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the Worker Adjustment and Retraining Notification Act (“WARN”), 29 U.S.C. § 2101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the Rehabilitation Act of 1973, 29 U.S.C. § 701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Executive Order 11246, Executive Order 11141, the Fair Credit Reporting Act, 15 U.S.C. § 1681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and the Employee Retirement Income Security Act of 1974 (“ERISA”), 29 U.S.C. § 1001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rFonts w:ascii="Times New Roman" w:hAnsi="Times New Roman"/>
          <w:color w:val="000000"/>
          <w:sz w:val="22"/>
        </w:rPr>
        <w:t xml:space="preserve">, all as amended; including any rights or claims thereunder to unpaid wages, including overtime, bonuses, commissions, and accrued, unused vacation time; all claims arising out of </w:t>
      </w:r>
      <w:bookmarkStart w:id="20" w:name="ole_link32"/>
      <w:bookmarkEnd w:id="20"/>
      <w:r>
        <w:rPr>
          <w:rFonts w:ascii="Times New Roman" w:hAnsi="Times New Roman"/>
          <w:color w:val="000000"/>
          <w:sz w:val="22"/>
        </w:rPr>
        <w:t xml:space="preserve">the Connecticut Human Rights and Opportunities Act, Conn. Gen. Stat. § 46a-51 </w:t>
      </w:r>
      <w:r>
        <w:rPr>
          <w:rFonts w:ascii="Times New Roman" w:hAnsi="Times New Roman"/>
          <w:color w:val="000000"/>
          <w:sz w:val="22"/>
          <w:u w:val="single"/>
        </w:rPr>
        <w:t>et seq.</w:t>
      </w:r>
      <w:r>
        <w:rPr>
          <w:rFonts w:ascii="Times New Roman" w:hAnsi="Times New Roman"/>
          <w:color w:val="000000"/>
          <w:sz w:val="22"/>
        </w:rPr>
        <w:t xml:space="preserve">, the Connecticut Equal Pay Law, Conn. Gen. Stat. § 31-75 </w:t>
      </w:r>
      <w:r>
        <w:rPr>
          <w:rFonts w:ascii="Times New Roman" w:hAnsi="Times New Roman"/>
          <w:color w:val="000000"/>
          <w:sz w:val="22"/>
          <w:u w:val="single"/>
        </w:rPr>
        <w:t>et seq.</w:t>
      </w:r>
      <w:r>
        <w:rPr>
          <w:rFonts w:ascii="Times New Roman" w:hAnsi="Times New Roman"/>
          <w:color w:val="000000"/>
          <w:sz w:val="22"/>
        </w:rPr>
        <w:t xml:space="preserve">, the Connecticut Family and Medical Leave Law, Conn. Gen. Stat. § 31-51kk </w:t>
      </w:r>
      <w:r>
        <w:rPr>
          <w:rFonts w:ascii="Times New Roman" w:hAnsi="Times New Roman"/>
          <w:color w:val="000000"/>
          <w:sz w:val="22"/>
          <w:u w:val="single"/>
        </w:rPr>
        <w:t>et seq.</w:t>
      </w:r>
      <w:r>
        <w:rPr>
          <w:rFonts w:ascii="Times New Roman" w:hAnsi="Times New Roman"/>
          <w:color w:val="000000"/>
          <w:sz w:val="22"/>
        </w:rPr>
        <w:t xml:space="preserve">, Conn. Gen. Stat. § 31-71a </w:t>
      </w:r>
      <w:r>
        <w:rPr>
          <w:rFonts w:ascii="Times New Roman" w:hAnsi="Times New Roman"/>
          <w:color w:val="000000"/>
          <w:sz w:val="22"/>
          <w:u w:val="single"/>
        </w:rPr>
        <w:t>et</w:t>
      </w:r>
      <w:r>
        <w:rPr>
          <w:color w:val="000000"/>
        </w:rPr>
        <w:t xml:space="preserve"> </w:t>
      </w:r>
      <w:r>
        <w:rPr>
          <w:rFonts w:ascii="Times New Roman" w:hAnsi="Times New Roman"/>
          <w:color w:val="000000"/>
          <w:sz w:val="22"/>
          <w:u w:val="single"/>
        </w:rPr>
        <w:t>seq.</w:t>
      </w:r>
      <w:r>
        <w:rPr>
          <w:color w:val="000000"/>
        </w:rPr>
        <w:t xml:space="preserve"> </w:t>
      </w:r>
      <w:r>
        <w:rPr>
          <w:rFonts w:ascii="Times New Roman" w:hAnsi="Times New Roman"/>
          <w:color w:val="000000"/>
          <w:sz w:val="22"/>
        </w:rPr>
        <w:t xml:space="preserve">(Connecticut wage payment law), and Conn. Gen. Stat. § 31-51m and § 31-379 (Connecticut whistleblower protection laws), all as amended; all common law claims including, but not limited to, actions in defamation, intentional infliction of emotional distress, misrepresentation, fraud, wrongful discharge, and breach of contract (including, without limitation, all claims arising out of or related to your offer letter dated June 17, 2021 and the Separation Benefits Plan);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 or local statute or ordinance not expressly referenced above. </w:t>
      </w:r>
      <w:r>
        <w:rPr>
          <w:rFonts w:ascii="Times New Roman" w:hAnsi="Times New Roman"/>
          <w:i/>
          <w:color w:val="000000"/>
          <w:sz w:val="22"/>
        </w:rPr>
        <w:t xml:space="preserve">Notwithstanding the foregoing, nothing in this release of claims or in this letter agreement shall be deemed to prohibit you from filing a charge with, or participating in any investigation or proceeding before, any local, state or federal government agency, including, without limitation, the EEOC or a state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i/>
          <w:color w:val="000000"/>
          <w:sz w:val="22"/>
        </w:rPr>
      </w:pPr>
      <w:r>
        <w:rPr>
          <w:rFonts w:ascii="Times New Roman" w:hAnsi="Times New Roman"/>
          <w:i/>
          <w:color w:val="000000"/>
          <w:sz w:val="22"/>
        </w:rPr>
        <w:t>or local fair employment practices agency. You retain the right to participate in any such action but not the right to recover money damages or other individual legal or equitable relief awarded by any such governmental agency, including any payment, benefit, or attorneys’ fees, and you hereby waive any right or claim to any such relief; provided, however, that nothing herein shall bar or impede in any way your ability to seek or receive any monetary award or bounty from any governmental agency or regulatory or law enforcement authority in connection with protected whistleblower activity.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rFonts w:ascii="Times New Roman" w:hAnsi="Times New Roman"/>
          <w:b/>
          <w:color w:val="000000"/>
          <w:sz w:val="22"/>
          <w:u w:val="single"/>
        </w:rPr>
        <w:t>Continuing Obligations</w:t>
      </w:r>
      <w:r>
        <w:rPr>
          <w:color w:val="000000"/>
        </w:rPr>
        <w:t xml:space="preserve"> – </w:t>
      </w:r>
      <w:r>
        <w:rPr>
          <w:rFonts w:ascii="Times New Roman" w:hAnsi="Times New Roman"/>
          <w:color w:val="000000"/>
          <w:sz w:val="22"/>
        </w:rPr>
        <w:t xml:space="preserve">You acknowledge and reaffirm your confidentiality and non-disclosure obligations discussed on page 1 of this letter agreement, as well as the obligations set forth in the Restrictive Covenant Agreements, which obligations survive your separation from employment with the Company; provided, however, that you shall not be bound by the non-competition restrictions set forth in Section 1(a) of your Non-Competition and Non-Solicitation Agreement following the Separation Date.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left"/>
        <w:rPr/>
      </w:pPr>
      <w:r>
        <w:rPr>
          <w:rFonts w:ascii="Times New Roman" w:hAnsi="Times New Roman"/>
          <w:b/>
          <w:color w:val="000000"/>
          <w:sz w:val="22"/>
          <w:u w:val="single"/>
        </w:rPr>
        <w:t>Disclosures</w:t>
      </w:r>
      <w:r>
        <w:rPr>
          <w:color w:val="000000"/>
        </w:rPr>
        <w:t xml:space="preserve"> –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b/>
          <w:color w:val="000000"/>
          <w:sz w:val="22"/>
          <w:u w:val="single"/>
        </w:rPr>
        <w:t>Non-Disparagement</w:t>
      </w:r>
      <w:r>
        <w:rPr>
          <w:rFonts w:ascii="Times New Roman" w:hAnsi="Times New Roman"/>
          <w:color w:val="000000"/>
          <w:sz w:val="20"/>
        </w:rPr>
        <w:t xml:space="preserve"> – </w:t>
      </w:r>
      <w:r>
        <w:rPr>
          <w:rFonts w:ascii="Times New Roman" w:hAnsi="Times New Roman"/>
          <w:color w:val="000000"/>
          <w:sz w:val="22"/>
        </w:rPr>
        <w:t>Except as set forth in paragraph 4(c) below, you agree not to, in 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board member, consultant, client, or customer of the Company, regarding the Company or any of the other Released Parties, or regarding the business affairs, business prospects, or financial condition of the Company or any of the other Released Parties.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u w:val="single"/>
        </w:rPr>
        <w:t>Confidentiality</w:t>
      </w:r>
      <w:r>
        <w:rPr>
          <w:rFonts w:ascii="Times New Roman" w:hAnsi="Times New Roman"/>
          <w:color w:val="000000"/>
          <w:sz w:val="20"/>
        </w:rPr>
        <w:t xml:space="preserve"> – </w:t>
      </w:r>
      <w:r>
        <w:rPr>
          <w:rFonts w:ascii="Times New Roman" w:hAnsi="Times New Roman"/>
          <w:color w:val="000000"/>
          <w:sz w:val="22"/>
        </w:rPr>
        <w:t>Except as set forth in paragraph 4(c) below, you agree to maintain as confidential and not to disclose the terms and contents of this letter agreement, and the contents of the negotiations and discussions resulting in this letter agreement.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w:t>
      </w:r>
      <w:r>
        <w:rPr>
          <w:rFonts w:ascii="Times New Roman" w:hAnsi="Times New Roman"/>
          <w:b/>
          <w:color w:val="000000"/>
          <w:sz w:val="22"/>
          <w:u w:val="single"/>
        </w:rPr>
        <w:t>Permitted Disclosures</w:t>
      </w:r>
      <w:r>
        <w:rPr>
          <w:rFonts w:ascii="Times New Roman" w:hAnsi="Times New Roman"/>
          <w:color w:val="000000"/>
          <w:sz w:val="20"/>
        </w:rPr>
        <w:t xml:space="preserve"> – </w:t>
      </w:r>
      <w:r>
        <w:rPr>
          <w:rFonts w:ascii="Times New Roman" w:hAnsi="Times New Roman"/>
          <w:color w:val="000000"/>
          <w:sz w:val="22"/>
        </w:rPr>
        <w:t>Nothing in this letter agreement, including paragraphs 4(a) and 4(b) above or elsewhere, prohibits or restricts you from (i) communicating with, or voluntarily providing information you believe indicates possible or actual violations of the law to, local, state or federal government agencies (including but not limited to the Securities &amp; Exchange Commission), any legislative body, law enforcement, or any self-regulatory organizations or from making any other disclosures that are statutorily protected by the law of the state in which you reside, and/or (ii) making disclosures or communications to engage in protected, concerted activity or to otherwise exercise rights under Section 7 of the National Labor Relations Act. You are not required to notify the Company of any such communications.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left"/>
        <w:rPr/>
      </w:pPr>
      <w:r>
        <w:rPr>
          <w:rFonts w:ascii="Times New Roman" w:hAnsi="Times New Roman"/>
          <w:b/>
          <w:color w:val="000000"/>
          <w:sz w:val="22"/>
          <w:u w:val="single"/>
        </w:rPr>
        <w:t>Company Affiliation</w:t>
      </w:r>
      <w:r>
        <w:rPr>
          <w:color w:val="000000"/>
        </w:rPr>
        <w:t xml:space="preserve"> – </w:t>
      </w:r>
      <w:r>
        <w:rPr>
          <w:rFonts w:ascii="Times New Roman" w:hAnsi="Times New Roman"/>
          <w:color w:val="000000"/>
          <w:sz w:val="22"/>
        </w:rPr>
        <w:t xml:space="preserve">You agree that, following the Separation Date, you will not hold yourself out as an officer, employee, or otherwise as a representative of the Company, and you agree to update any directory information that indicates you are currently affiliated with the Company.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6.</w:t>
      </w:r>
    </w:p>
    <w:p>
      <w:pPr>
        <w:pStyle w:val="TextBody"/>
        <w:bidi w:val="0"/>
        <w:jc w:val="left"/>
        <w:rPr/>
      </w:pPr>
      <w:r>
        <w:rPr>
          <w:rFonts w:ascii="Times New Roman" w:hAnsi="Times New Roman"/>
          <w:b/>
          <w:color w:val="000000"/>
          <w:sz w:val="22"/>
          <w:u w:val="single"/>
        </w:rPr>
        <w:t>Return of Company Property</w:t>
      </w:r>
      <w:r>
        <w:rPr>
          <w:color w:val="000000"/>
        </w:rPr>
        <w:t xml:space="preserve"> – </w:t>
      </w:r>
      <w:r>
        <w:rPr>
          <w:rFonts w:ascii="Times New Roman" w:hAnsi="Times New Roman"/>
          <w:color w:val="000000"/>
          <w:sz w:val="22"/>
        </w:rPr>
        <w:t>You confirm that you have returned to the Company all keys, files, records (and copies thereof), equipment (including, but not limited to, computer hardware, software, printers, flash drives and other storage devices, wireless handheld devices, cellular phones, tablets, etc.), Company identification, and any other Company owned property in your possession or control, and that you have left intact all, and have otherwise not destroyed, deleted, or made inaccessible to the Company, any electronic Company documents, including, but not limited to, those that you developed or helped to develop during your employment, and that you have not (a) retained any copies in any form or media; (b) maintained access to any copies in any form, media, or location; (c) stored any copies in any physical or electronic locations that are not readily accessible or known to the Company or that remain accessible to you; or (d) sent, given, or made accessible any copies to any persons or entities that the Company has not authorized to receive such electronic or hard copies. You further confirm that you have cancelled all accounts for your benefit, if any, in the Company’s name, including but not limited to, credit cards, telephone charge cards, cellular phone accounts, and computer accounts.</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7.</w:t>
      </w:r>
    </w:p>
    <w:p>
      <w:pPr>
        <w:pStyle w:val="TextBody"/>
        <w:bidi w:val="0"/>
        <w:jc w:val="left"/>
        <w:rPr/>
      </w:pPr>
      <w:r>
        <w:rPr>
          <w:rFonts w:ascii="Times New Roman" w:hAnsi="Times New Roman"/>
          <w:b/>
          <w:color w:val="000000"/>
          <w:sz w:val="22"/>
          <w:u w:val="single"/>
        </w:rPr>
        <w:t>Business Expenses and Final Compensation</w:t>
      </w:r>
      <w:r>
        <w:rPr>
          <w:color w:val="000000"/>
        </w:rPr>
        <w:t xml:space="preserve"> – </w:t>
      </w:r>
      <w:r>
        <w:rPr>
          <w:rFonts w:ascii="Times New Roman" w:hAnsi="Times New Roman"/>
          <w:color w:val="000000"/>
          <w:sz w:val="22"/>
        </w:rPr>
        <w:t>You acknowledge that you have been reimbursed by the Company for all business expenses incurred in conjunction with the performance of your employment and that no other reimbursements are owed to you. You further acknowledge that you have received payment in full for all services rendered in conjunction with your employment by the Company, including payment for all wages, bonuses, commissions, and any accrued but unused vacation time, and that no other compensation is owed to you except as provided herein.</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8.</w:t>
      </w:r>
    </w:p>
    <w:p>
      <w:pPr>
        <w:pStyle w:val="TextBody"/>
        <w:bidi w:val="0"/>
        <w:jc w:val="left"/>
        <w:rPr/>
      </w:pPr>
      <w:r>
        <w:rPr>
          <w:rFonts w:ascii="Times New Roman" w:hAnsi="Times New Roman"/>
          <w:b/>
          <w:color w:val="000000"/>
          <w:sz w:val="22"/>
          <w:u w:val="single"/>
        </w:rPr>
        <w:t>Cooperation</w:t>
      </w:r>
      <w:r>
        <w:rPr>
          <w:color w:val="000000"/>
        </w:rPr>
        <w:t xml:space="preserve"> – </w:t>
      </w:r>
      <w:r>
        <w:rPr>
          <w:rFonts w:ascii="Times New Roman" w:hAnsi="Times New Roman"/>
          <w:color w:val="000000"/>
          <w:sz w:val="22"/>
        </w:rPr>
        <w:t>You agree to make yourself reasonably available and to cooperate with the Company in: (i) any internal investigation; (ii) any investigation, 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and/or (iii) any other administrative, regulatory, or judicial inquiry, investigation, proceeding or arbitration. You understand and agree that your reasonable cooperation includes, but is not limited to, making yourself available to the Company upon reasonable notice for interviews and factual investigations; appearing at the Company’s request to give testimony without requiring service of a subpoena or other legal process; volunteering to the Company pertinent information; and turning over all relevant documents which are in or may come into your possession. The term “cooperation” does not mean that you must provide information that is favorable to the Company; it means only that you will provide truthful information within your knowledge and possession upon request of the Company. You further agree that, to the extent permitted by law, you will notify the Company promptly in the event that you are served with a subpoena (other than a subpoena issued by a government agency), or in the event that you are asked to provide a third party (other than a government agency) with information concerning any actual or potential complaint or claim against the Company.</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left"/>
        <w:rPr/>
      </w:pPr>
      <w:r>
        <w:rPr>
          <w:rFonts w:ascii="Times New Roman" w:hAnsi="Times New Roman"/>
          <w:b/>
          <w:color w:val="000000"/>
          <w:sz w:val="22"/>
          <w:u w:val="single"/>
        </w:rPr>
        <w:t>Amendment and Waiver</w:t>
      </w:r>
      <w:r>
        <w:rPr>
          <w:color w:val="000000"/>
        </w:rPr>
        <w:t xml:space="preserve"> – </w:t>
      </w:r>
      <w:r>
        <w:rPr>
          <w:rFonts w:ascii="Times New Roman" w:hAnsi="Times New Roman"/>
          <w:color w:val="000000"/>
          <w:sz w:val="22"/>
        </w:rPr>
        <w:t>This letter agreement shall be binding upon the parties and may 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 A waiver or consent given by the Company on any one occasion shall be effective only in that instance and shall not be construed as a bar to or waiver of any right on any other occasion.</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left"/>
        <w:rPr/>
      </w:pPr>
      <w:r>
        <w:rPr>
          <w:rFonts w:ascii="Times New Roman" w:hAnsi="Times New Roman"/>
          <w:b/>
          <w:color w:val="000000"/>
          <w:sz w:val="22"/>
          <w:u w:val="single"/>
        </w:rPr>
        <w:t>Validity</w:t>
      </w:r>
      <w:r>
        <w:rPr>
          <w:color w:val="000000"/>
        </w:rPr>
        <w:t xml:space="preserve"> – </w:t>
      </w:r>
      <w:r>
        <w:rPr>
          <w:rFonts w:ascii="Times New Roman" w:hAnsi="Times New Roman"/>
          <w:color w:val="000000"/>
          <w:sz w:val="22"/>
        </w:rPr>
        <w:t>Should any provision of this letter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letter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left"/>
        <w:rPr/>
      </w:pPr>
      <w:r>
        <w:rPr>
          <w:rFonts w:ascii="Times New Roman" w:hAnsi="Times New Roman"/>
          <w:b/>
          <w:color w:val="000000"/>
          <w:sz w:val="22"/>
          <w:u w:val="single"/>
        </w:rPr>
        <w:t>Nature of Agreement</w:t>
      </w:r>
      <w:r>
        <w:rPr>
          <w:color w:val="000000"/>
        </w:rPr>
        <w:t xml:space="preserve"> – </w:t>
      </w:r>
      <w:r>
        <w:rPr>
          <w:rFonts w:ascii="Times New Roman" w:hAnsi="Times New Roman"/>
          <w:color w:val="000000"/>
          <w:sz w:val="22"/>
        </w:rPr>
        <w:t xml:space="preserve">You understand and agree that this letter agreement is a severance agreement and does not constitute an admission of liability or wrongdoing on the part of the Company or any of the other Released Parties.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left"/>
        <w:rPr/>
      </w:pPr>
      <w:r>
        <w:rPr>
          <w:rFonts w:ascii="Times New Roman" w:hAnsi="Times New Roman"/>
          <w:b/>
          <w:color w:val="000000"/>
          <w:sz w:val="22"/>
          <w:u w:val="single"/>
        </w:rPr>
        <w:t>Acknowledgments</w:t>
      </w:r>
      <w:r>
        <w:rPr>
          <w:color w:val="000000"/>
        </w:rPr>
        <w:t xml:space="preserve"> – </w:t>
      </w:r>
      <w:r>
        <w:rPr>
          <w:rFonts w:ascii="Times New Roman" w:hAnsi="Times New Roman"/>
          <w:color w:val="000000"/>
          <w:sz w:val="22"/>
        </w:rPr>
        <w:t>You acknowledge that you have been given at least twenty-one (21) days to consider this letter agreement, and that the Company is hereby advising you to consult with an attorney of your own choosing prior to signing this letter agreement. You understand that you may revoke your acceptance of this letter agreement for a period of seven (7) days after you sign this letter agreement by notifying me in writing, and the letter agreement shall not be effective or enforceable until the expiration of this seven (7) day revocation period. You understand and agree that by entering into this letter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left"/>
        <w:rPr/>
      </w:pPr>
      <w:r>
        <w:rPr>
          <w:rFonts w:ascii="Times New Roman" w:hAnsi="Times New Roman"/>
          <w:b/>
          <w:color w:val="000000"/>
          <w:sz w:val="22"/>
          <w:u w:val="single"/>
        </w:rPr>
        <w:t>Voluntary Assent</w:t>
      </w:r>
      <w:r>
        <w:rPr>
          <w:color w:val="000000"/>
        </w:rPr>
        <w:t xml:space="preserve"> – </w:t>
      </w:r>
      <w:r>
        <w:rPr>
          <w:rFonts w:ascii="Times New Roman" w:hAnsi="Times New Roman"/>
          <w:color w:val="000000"/>
          <w:sz w:val="22"/>
        </w:rPr>
        <w:t>You affirm that no other promises or agreements of any kind have been made to or with you by any person or entity whatsoever to cause you to sign this letter agreement, and that you fully understand the meaning and intent of this letter agreement. You further state and represent that you have carefully read this letter agreement, understand the contents herein, freely and voluntarily assent to all of the terms and conditions hereof, and sign your name of your own free act.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left"/>
        <w:rPr/>
      </w:pPr>
      <w:r>
        <w:rPr>
          <w:rFonts w:ascii="Times New Roman" w:hAnsi="Times New Roman"/>
          <w:b/>
          <w:color w:val="000000"/>
          <w:sz w:val="22"/>
          <w:u w:val="single"/>
        </w:rPr>
        <w:t>Applicable Law; Forum</w:t>
      </w:r>
      <w:r>
        <w:rPr>
          <w:color w:val="000000"/>
        </w:rPr>
        <w:t xml:space="preserve"> – </w:t>
      </w:r>
      <w:r>
        <w:rPr>
          <w:rFonts w:ascii="Times New Roman" w:hAnsi="Times New Roman"/>
          <w:color w:val="000000"/>
          <w:sz w:val="22"/>
        </w:rPr>
        <w:t>This letter agreement shall be interpreted and construed by the laws of the State of Connecticut, without regard to conflict of laws provisions. You hereby irrevocably submit to and acknowledge and recognize the jurisdiction of the courts of the State of Connecticut, or if appropriate, a federal court located in the State of Connecticut (which courts, for purposes of this letter agreement, are the only courts of competent jurisdiction), over any suit, action or other proceeding arising out of, under or in connection with this letter agreement or the subject matter hereof. You further hereby irrevocably waive any right to a trial by jury in any action, suit or other legal proceeding arising under or relating to any provision of this letter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left"/>
        <w:rPr/>
      </w:pPr>
      <w:r>
        <w:rPr>
          <w:rFonts w:ascii="Times New Roman" w:hAnsi="Times New Roman"/>
          <w:b/>
          <w:color w:val="000000"/>
          <w:sz w:val="22"/>
          <w:u w:val="single"/>
        </w:rPr>
        <w:t>Entire Agreement</w:t>
      </w:r>
      <w:r>
        <w:rPr>
          <w:color w:val="000000"/>
        </w:rPr>
        <w:t xml:space="preserve"> – </w:t>
      </w:r>
      <w:r>
        <w:rPr>
          <w:rFonts w:ascii="Times New Roman" w:hAnsi="Times New Roman"/>
          <w:color w:val="000000"/>
          <w:sz w:val="22"/>
        </w:rPr>
        <w:t xml:space="preserve">This letter agreement, along with the Separation Benefits Plan, contains and constitutes the entire understanding and agreement between the parties hereto with respect to your severance benefits and the settlement of claims against the Company and the other Released Parties and cancels all previous oral and written negotiations, agreements, and commitments in connection therewith. Electronic execution or delivery of this Agreement shall constitute legal, valid, and binding execution or delivery for all purposes.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left"/>
        <w:rPr/>
      </w:pPr>
      <w:r>
        <w:rPr>
          <w:rFonts w:ascii="Times New Roman" w:hAnsi="Times New Roman"/>
          <w:b/>
          <w:color w:val="000000"/>
          <w:sz w:val="22"/>
          <w:u w:val="single"/>
        </w:rPr>
        <w:t>Tax Acknowledgement</w:t>
      </w:r>
      <w:r>
        <w:rPr>
          <w:color w:val="000000"/>
        </w:rPr>
        <w:t xml:space="preserve"> – </w:t>
      </w:r>
      <w:r>
        <w:rPr>
          <w:rFonts w:ascii="Times New Roman" w:hAnsi="Times New Roman"/>
          <w:color w:val="000000"/>
          <w:sz w:val="22"/>
        </w:rPr>
        <w:t>In connection with the severance benefits provided to you pursuant to this letter agreement, the Company shall withhold and remit to the tax authorities the amounts required under applicable law, and you shall be responsible for all applicable taxes with respect to such severance benefits under applicable law. You acknowledge that you are not relying upon the advice or representation of the Company with respect to the tax treatment of any of the severance benefits set forth in paragraph 1 of this letter agreement.</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If you have any questions about the matters covered in this letter agreement, please call me.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Jennifer Good</w:t>
      </w:r>
      <w:r>
        <w:rPr>
          <w:rFonts w:ascii="Times New Roman" w:hAnsi="Times New Roman"/>
          <w:color w:val="000000"/>
          <w:sz w:val="22"/>
        </w:rPr>
        <w:t>___________________</w:t>
      </w:r>
    </w:p>
    <w:p>
      <w:pPr>
        <w:pStyle w:val="TextBody"/>
        <w:bidi w:val="0"/>
        <w:jc w:val="left"/>
        <w:rPr>
          <w:rFonts w:ascii="Times New Roman" w:hAnsi="Times New Roman"/>
          <w:sz w:val="20"/>
        </w:rPr>
      </w:pPr>
      <w:r>
        <w:rPr>
          <w:rFonts w:ascii="Times New Roman" w:hAnsi="Times New Roman"/>
          <w:color w:val="000000"/>
          <w:sz w:val="22"/>
        </w:rPr>
        <w:t>Jennifer Good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President and CEO</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hereby agree to the terms and conditions set forth above. I have been given at least twenty-one (21) days to consider this letter agreement, and I have chosen to execute this on the date below. I intend that this letter agreement will become a binding agreement between me and the Company if I do not revoke my acceptance within seven (7) days.</w:t>
      </w:r>
    </w:p>
    <w:tbl>
      <w:tblPr>
        <w:tblW w:w="8132" w:type="dxa"/>
        <w:jc w:val="left"/>
        <w:tblInd w:w="0" w:type="dxa"/>
        <w:tblLayout w:type="fixed"/>
        <w:tblCellMar>
          <w:top w:w="28" w:type="dxa"/>
          <w:left w:w="28" w:type="dxa"/>
          <w:bottom w:w="28" w:type="dxa"/>
          <w:right w:w="28" w:type="dxa"/>
        </w:tblCellMar>
      </w:tblPr>
      <w:tblGrid>
        <w:gridCol w:w="4246"/>
        <w:gridCol w:w="3886"/>
      </w:tblGrid>
      <w:tr>
        <w:trPr/>
        <w:tc>
          <w:tcPr>
            <w:tcW w:w="42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4246" w:type="dxa"/>
            <w:tcBorders>
              <w:top w:val="single" w:sz="8" w:space="0" w:color="000000"/>
              <w:left w:val="single" w:sz="8" w:space="0" w:color="000000"/>
              <w:bottom w:val="single" w:sz="8" w:space="0" w:color="000000"/>
              <w:right w:val="single" w:sz="8" w:space="0" w:color="000000"/>
            </w:tcBorders>
            <w:shd w:fill="FFFFFF" w:val="clear"/>
            <w:tcMar>
              <w:top w:w="81" w:type="dxa"/>
              <w:bottom w:w="81"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u w:val="single"/>
              </w:rPr>
              <w:t>/s/ Lisa Delfini</w:t>
            </w:r>
            <w:r>
              <w:rPr>
                <w:rFonts w:ascii="Times New Roman" w:hAnsi="Times New Roman"/>
                <w:color w:val="000000"/>
                <w:sz w:val="22"/>
              </w:rPr>
              <w:t>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Lisa Delfini</w:t>
            </w:r>
          </w:p>
        </w:tc>
        <w:tc>
          <w:tcPr>
            <w:tcW w:w="3886" w:type="dxa"/>
            <w:tcBorders>
              <w:top w:val="single" w:sz="8" w:space="0" w:color="000000"/>
              <w:bottom w:val="single" w:sz="8" w:space="0" w:color="000000"/>
              <w:right w:val="single" w:sz="8" w:space="0" w:color="000000"/>
            </w:tcBorders>
            <w:shd w:fill="FFFFFF" w:val="clear"/>
            <w:tcMar>
              <w:top w:w="81" w:type="dxa"/>
              <w:left w:w="0" w:type="dxa"/>
              <w:bottom w:w="81" w:type="dxa"/>
            </w:tcMar>
            <w:vAlign w:val="center"/>
          </w:tcPr>
          <w:p>
            <w:pPr>
              <w:pStyle w:val="TableContents"/>
              <w:bidi w:val="0"/>
              <w:jc w:val="left"/>
              <w:rPr/>
            </w:pPr>
            <w:r>
              <w:rPr/>
              <w:t> </w:t>
            </w:r>
          </w:p>
          <w:p>
            <w:pPr>
              <w:pStyle w:val="TableContents"/>
              <w:bidi w:val="0"/>
              <w:spacing w:before="0" w:after="120"/>
              <w:jc w:val="left"/>
              <w:rPr>
                <w:rFonts w:ascii="Times New Roman" w:hAnsi="Times New Roman"/>
                <w:sz w:val="22"/>
              </w:rPr>
            </w:pPr>
            <w:r>
              <w:rPr>
                <w:rFonts w:ascii="Times New Roman" w:hAnsi="Times New Roman"/>
                <w:color w:val="000000"/>
                <w:sz w:val="22"/>
              </w:rPr>
              <w:t xml:space="preserve">Date </w:t>
            </w:r>
            <w:r>
              <w:rPr>
                <w:rFonts w:ascii="Times New Roman" w:hAnsi="Times New Roman"/>
                <w:color w:val="000000"/>
                <w:sz w:val="22"/>
                <w:u w:val="single"/>
              </w:rPr>
              <w:t>8/26/2025</w:t>
            </w:r>
            <w:r>
              <w:rPr>
                <w:rFonts w:ascii="Times New Roman" w:hAnsi="Times New Roman"/>
                <w:color w:val="000000"/>
                <w:sz w:val="22"/>
              </w:rPr>
              <w:t>___________________</w:t>
            </w:r>
          </w:p>
        </w:tc>
      </w:tr>
    </w:tbl>
    <w:p>
      <w:pPr>
        <w:pStyle w:val="TextBody"/>
        <w:bidi w:val="0"/>
        <w:spacing w:before="0" w:after="240"/>
        <w:jc w:val="left"/>
        <w:rPr>
          <w:rFonts w:ascii="Times New Roman" w:hAnsi="Times New Roman"/>
          <w:sz w:val="20"/>
        </w:rPr>
      </w:pPr>
      <w:r>
        <w:rPr>
          <w:rFonts w:ascii="Times New Roman" w:hAnsi="Times New Roman"/>
          <w:color w:val="000000"/>
          <w:sz w:val="22"/>
        </w:rPr>
        <w:t>To be returned in a timely manner as set forth on the first page of this letter agreement.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trvi-ex31_1.htm"/>
      <w:bookmarkStart w:id="22" w:name="kstrvi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 Good,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8061" w:type="dxa"/>
        <w:jc w:val="left"/>
        <w:tblInd w:w="0" w:type="dxa"/>
        <w:tblLayout w:type="fixed"/>
        <w:tblCellMar>
          <w:top w:w="28" w:type="dxa"/>
          <w:left w:w="28" w:type="dxa"/>
          <w:bottom w:w="28" w:type="dxa"/>
          <w:right w:w="28" w:type="dxa"/>
        </w:tblCellMar>
      </w:tblPr>
      <w:tblGrid>
        <w:gridCol w:w="2206"/>
        <w:gridCol w:w="146"/>
        <w:gridCol w:w="146"/>
        <w:gridCol w:w="406"/>
        <w:gridCol w:w="146"/>
        <w:gridCol w:w="50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rvi-ex32_1.htm"/>
      <w:bookmarkStart w:id="24" w:name="kstrviex32_1"/>
      <w:bookmarkEnd w:id="23"/>
      <w:bookmarkEnd w:id="2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September 30, 2025,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2206"/>
        <w:gridCol w:w="146"/>
        <w:gridCol w:w="406"/>
        <w:gridCol w:w="146"/>
        <w:gridCol w:w="50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68988</Words>
  <Characters>380494</Characters>
  <CharactersWithSpaces>449716</CharactersWithSpaces>
  <Paragraphs>6009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